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7D86" w14:textId="77777777" w:rsidR="006815C9" w:rsidRDefault="006815C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44F7D87" w14:textId="6B7259DC" w:rsidR="006815C9" w:rsidRDefault="00F57F1D">
      <w:pPr>
        <w:pStyle w:val="Billname"/>
        <w:spacing w:before="700"/>
      </w:pPr>
      <w:r>
        <w:t>Senior Practitioner Regulation 2023</w:t>
      </w:r>
    </w:p>
    <w:p w14:paraId="544F7D88" w14:textId="43B0D3B1" w:rsidR="006815C9" w:rsidRDefault="00F5371D" w:rsidP="00091D34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Subordinate law SL</w:t>
      </w:r>
      <w:r w:rsidR="00224D4A">
        <w:rPr>
          <w:rFonts w:ascii="Arial" w:hAnsi="Arial" w:cs="Arial"/>
          <w:b/>
          <w:bCs/>
        </w:rPr>
        <w:t>2023</w:t>
      </w:r>
      <w:r w:rsidR="006815C9">
        <w:rPr>
          <w:rFonts w:ascii="Arial" w:hAnsi="Arial" w:cs="Arial"/>
          <w:b/>
          <w:bCs/>
        </w:rPr>
        <w:t>–</w:t>
      </w:r>
      <w:r w:rsidR="005B0FBC">
        <w:rPr>
          <w:rFonts w:ascii="Arial" w:hAnsi="Arial" w:cs="Arial"/>
          <w:b/>
          <w:bCs/>
        </w:rPr>
        <w:t>41</w:t>
      </w:r>
    </w:p>
    <w:p w14:paraId="544F7D89" w14:textId="77777777" w:rsidR="006815C9" w:rsidRDefault="006815C9" w:rsidP="00091D34">
      <w:pPr>
        <w:pStyle w:val="madeunder"/>
        <w:spacing w:before="300" w:after="0"/>
      </w:pPr>
      <w:r>
        <w:t xml:space="preserve">made under the  </w:t>
      </w:r>
    </w:p>
    <w:p w14:paraId="544F7D8A" w14:textId="19D265B6" w:rsidR="006815C9" w:rsidRDefault="00F57F1D" w:rsidP="00091D34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Senior Practitioner Act 2018</w:t>
      </w:r>
      <w:r w:rsidR="0012587E">
        <w:rPr>
          <w:rFonts w:cs="Arial"/>
          <w:sz w:val="20"/>
        </w:rPr>
        <w:t>, Section 53 (Regulation making power)</w:t>
      </w:r>
    </w:p>
    <w:p w14:paraId="544F7D8B" w14:textId="77777777" w:rsidR="006815C9" w:rsidRDefault="006815C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44F7D8C" w14:textId="77777777" w:rsidR="006815C9" w:rsidRDefault="006815C9">
      <w:pPr>
        <w:pStyle w:val="N-line3"/>
        <w:pBdr>
          <w:bottom w:val="none" w:sz="0" w:space="0" w:color="auto"/>
        </w:pBdr>
      </w:pPr>
    </w:p>
    <w:p w14:paraId="544F7D8D" w14:textId="77777777" w:rsidR="006815C9" w:rsidRDefault="006815C9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FE77964" w14:textId="6E40F3CD" w:rsidR="00073A20" w:rsidRDefault="00073A20" w:rsidP="00EE2C9E">
      <w:pPr>
        <w:spacing w:before="240" w:line="276" w:lineRule="auto"/>
        <w:rPr>
          <w:rFonts w:asciiTheme="minorHAnsi" w:hAnsiTheme="minorHAnsi" w:cstheme="minorHAnsi"/>
          <w:iCs/>
          <w:szCs w:val="24"/>
        </w:rPr>
      </w:pPr>
      <w:r w:rsidRPr="00073A20">
        <w:rPr>
          <w:rFonts w:asciiTheme="minorHAnsi" w:hAnsiTheme="minorHAnsi" w:cstheme="minorHAnsi"/>
          <w:iCs/>
          <w:szCs w:val="24"/>
        </w:rPr>
        <w:t>The</w:t>
      </w:r>
      <w:r w:rsidR="006B0442" w:rsidRPr="006B0442">
        <w:t xml:space="preserve"> </w:t>
      </w:r>
      <w:r w:rsidR="006B0442" w:rsidRPr="00555C2A">
        <w:rPr>
          <w:rFonts w:asciiTheme="minorHAnsi" w:hAnsiTheme="minorHAnsi" w:cstheme="minorHAnsi"/>
          <w:i/>
          <w:szCs w:val="24"/>
        </w:rPr>
        <w:t>Senior Practitioner Act 2018</w:t>
      </w:r>
      <w:r w:rsidR="006B0442" w:rsidRPr="006B0442">
        <w:rPr>
          <w:rFonts w:asciiTheme="minorHAnsi" w:hAnsiTheme="minorHAnsi" w:cstheme="minorHAnsi"/>
          <w:iCs/>
          <w:szCs w:val="24"/>
        </w:rPr>
        <w:t xml:space="preserve"> </w:t>
      </w:r>
      <w:r w:rsidR="0012587E">
        <w:rPr>
          <w:rFonts w:asciiTheme="minorHAnsi" w:hAnsiTheme="minorHAnsi" w:cstheme="minorHAnsi"/>
          <w:iCs/>
          <w:szCs w:val="24"/>
        </w:rPr>
        <w:t xml:space="preserve">(the Act) </w:t>
      </w:r>
      <w:r w:rsidRPr="00073A20">
        <w:rPr>
          <w:rFonts w:asciiTheme="minorHAnsi" w:hAnsiTheme="minorHAnsi" w:cstheme="minorHAnsi"/>
          <w:iCs/>
          <w:szCs w:val="24"/>
        </w:rPr>
        <w:t>provides a framework for the reduction and elimination of the use of restrictive practice</w:t>
      </w:r>
      <w:r w:rsidR="0012587E">
        <w:rPr>
          <w:rFonts w:asciiTheme="minorHAnsi" w:hAnsiTheme="minorHAnsi" w:cstheme="minorHAnsi"/>
          <w:iCs/>
          <w:szCs w:val="24"/>
        </w:rPr>
        <w:t>s</w:t>
      </w:r>
      <w:r w:rsidRPr="00073A20">
        <w:rPr>
          <w:rFonts w:asciiTheme="minorHAnsi" w:hAnsiTheme="minorHAnsi" w:cstheme="minorHAnsi"/>
          <w:iCs/>
          <w:szCs w:val="24"/>
        </w:rPr>
        <w:t>. Restricting a person’s freedom of movement can only be used as a last resort to protect that person or others from harm, in the least restrictive way and for the shortest time possible.</w:t>
      </w:r>
    </w:p>
    <w:p w14:paraId="77964577" w14:textId="6FB8F3C1" w:rsidR="00073A20" w:rsidRDefault="00073A20" w:rsidP="00EE2C9E">
      <w:pPr>
        <w:spacing w:before="240" w:line="276" w:lineRule="auto"/>
        <w:rPr>
          <w:rFonts w:asciiTheme="minorHAnsi" w:hAnsiTheme="minorHAnsi" w:cstheme="minorHAnsi"/>
          <w:iCs/>
          <w:szCs w:val="24"/>
        </w:rPr>
      </w:pPr>
      <w:r w:rsidRPr="00073A20">
        <w:rPr>
          <w:rFonts w:asciiTheme="minorHAnsi" w:hAnsiTheme="minorHAnsi" w:cstheme="minorHAnsi"/>
          <w:iCs/>
          <w:szCs w:val="24"/>
        </w:rPr>
        <w:t xml:space="preserve">The </w:t>
      </w:r>
      <w:r w:rsidRPr="00555C2A">
        <w:rPr>
          <w:rFonts w:asciiTheme="minorHAnsi" w:hAnsiTheme="minorHAnsi" w:cstheme="minorHAnsi"/>
          <w:i/>
          <w:szCs w:val="24"/>
        </w:rPr>
        <w:t>Senior Practitioner Regulation 2023</w:t>
      </w:r>
      <w:r w:rsidRPr="00073A20">
        <w:rPr>
          <w:rFonts w:asciiTheme="minorHAnsi" w:hAnsiTheme="minorHAnsi" w:cstheme="minorHAnsi"/>
          <w:iCs/>
          <w:szCs w:val="24"/>
        </w:rPr>
        <w:t xml:space="preserve"> </w:t>
      </w:r>
      <w:r w:rsidR="0012587E">
        <w:rPr>
          <w:rFonts w:asciiTheme="minorHAnsi" w:hAnsiTheme="minorHAnsi" w:cstheme="minorHAnsi"/>
          <w:iCs/>
          <w:szCs w:val="24"/>
        </w:rPr>
        <w:t xml:space="preserve">(the Regulation) </w:t>
      </w:r>
      <w:r w:rsidRPr="00073A20">
        <w:rPr>
          <w:rFonts w:asciiTheme="minorHAnsi" w:hAnsiTheme="minorHAnsi" w:cstheme="minorHAnsi"/>
          <w:iCs/>
          <w:szCs w:val="24"/>
        </w:rPr>
        <w:t xml:space="preserve">defines a prohibited restrictive practice and provides a list of physical restraints and punitive practices which are prohibited. </w:t>
      </w:r>
      <w:r w:rsidR="002E5C0D" w:rsidRPr="002E5C0D">
        <w:rPr>
          <w:rFonts w:asciiTheme="minorHAnsi" w:hAnsiTheme="minorHAnsi" w:cstheme="minorHAnsi"/>
          <w:iCs/>
          <w:szCs w:val="24"/>
        </w:rPr>
        <w:t>This list will bring the ACT in line with other jurisdictions as well as the NDIS Quality and Safeguards Commission</w:t>
      </w:r>
      <w:r w:rsidR="006B680C">
        <w:rPr>
          <w:rFonts w:asciiTheme="minorHAnsi" w:hAnsiTheme="minorHAnsi" w:cstheme="minorHAnsi"/>
          <w:iCs/>
          <w:szCs w:val="24"/>
        </w:rPr>
        <w:t>.</w:t>
      </w:r>
    </w:p>
    <w:p w14:paraId="10BC905C" w14:textId="4CD5EA65" w:rsidR="006B680C" w:rsidRDefault="006B680C" w:rsidP="00EE2C9E">
      <w:pPr>
        <w:spacing w:before="240" w:line="276" w:lineRule="auto"/>
        <w:rPr>
          <w:rFonts w:asciiTheme="minorHAnsi" w:hAnsiTheme="minorHAnsi" w:cstheme="minorHAnsi"/>
          <w:iCs/>
          <w:szCs w:val="24"/>
        </w:rPr>
      </w:pPr>
      <w:r w:rsidRPr="006B0442">
        <w:rPr>
          <w:rFonts w:asciiTheme="minorHAnsi" w:hAnsiTheme="minorHAnsi" w:cstheme="minorHAnsi"/>
          <w:iCs/>
          <w:szCs w:val="24"/>
        </w:rPr>
        <w:t>An amendment to remove subsection 7(1)(b)(vi) of the Senior Practitioner Act 2018 which defines a restrictive practice as including “verbal directions, or gestural conduct of a coercive nature” was passed by the Legislative Assembly on 22</w:t>
      </w:r>
      <w:r w:rsidR="0086241A">
        <w:rPr>
          <w:rFonts w:asciiTheme="minorHAnsi" w:hAnsiTheme="minorHAnsi" w:cstheme="minorHAnsi"/>
          <w:iCs/>
          <w:szCs w:val="24"/>
        </w:rPr>
        <w:t> </w:t>
      </w:r>
      <w:r w:rsidRPr="006B0442">
        <w:rPr>
          <w:rFonts w:asciiTheme="minorHAnsi" w:hAnsiTheme="minorHAnsi" w:cstheme="minorHAnsi"/>
          <w:iCs/>
          <w:szCs w:val="24"/>
        </w:rPr>
        <w:t>November 2022.</w:t>
      </w:r>
    </w:p>
    <w:p w14:paraId="2CFACB07" w14:textId="0AD305F2" w:rsidR="006B680C" w:rsidRDefault="006B680C" w:rsidP="00EE2C9E">
      <w:pPr>
        <w:spacing w:before="240" w:line="276" w:lineRule="auto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To ensure that </w:t>
      </w:r>
      <w:r w:rsidRPr="00073A20">
        <w:rPr>
          <w:rFonts w:asciiTheme="minorHAnsi" w:hAnsiTheme="minorHAnsi" w:cstheme="minorHAnsi"/>
          <w:iCs/>
          <w:szCs w:val="24"/>
        </w:rPr>
        <w:t xml:space="preserve">the removal of </w:t>
      </w:r>
      <w:r>
        <w:rPr>
          <w:rFonts w:asciiTheme="minorHAnsi" w:hAnsiTheme="minorHAnsi" w:cstheme="minorHAnsi"/>
          <w:iCs/>
          <w:szCs w:val="24"/>
        </w:rPr>
        <w:t>s</w:t>
      </w:r>
      <w:r w:rsidRPr="00073A20">
        <w:rPr>
          <w:rFonts w:asciiTheme="minorHAnsi" w:hAnsiTheme="minorHAnsi" w:cstheme="minorHAnsi"/>
          <w:iCs/>
          <w:szCs w:val="24"/>
        </w:rPr>
        <w:t xml:space="preserve">ubsection 7(1)(b)(vi) </w:t>
      </w:r>
      <w:r w:rsidR="00B65616">
        <w:rPr>
          <w:rFonts w:asciiTheme="minorHAnsi" w:hAnsiTheme="minorHAnsi" w:cstheme="minorHAnsi"/>
          <w:iCs/>
          <w:szCs w:val="24"/>
        </w:rPr>
        <w:t>does not convey the implication that</w:t>
      </w:r>
      <w:r w:rsidRPr="00073A20">
        <w:rPr>
          <w:rFonts w:asciiTheme="minorHAnsi" w:hAnsiTheme="minorHAnsi" w:cstheme="minorHAnsi"/>
          <w:iCs/>
          <w:szCs w:val="24"/>
        </w:rPr>
        <w:t xml:space="preserve"> </w:t>
      </w:r>
      <w:r w:rsidR="00B65616">
        <w:rPr>
          <w:rFonts w:asciiTheme="minorHAnsi" w:hAnsiTheme="minorHAnsi" w:cstheme="minorHAnsi"/>
          <w:iCs/>
          <w:szCs w:val="24"/>
        </w:rPr>
        <w:t>the practice</w:t>
      </w:r>
      <w:r w:rsidRPr="00073A20">
        <w:rPr>
          <w:rFonts w:asciiTheme="minorHAnsi" w:hAnsiTheme="minorHAnsi" w:cstheme="minorHAnsi"/>
          <w:iCs/>
          <w:szCs w:val="24"/>
        </w:rPr>
        <w:t xml:space="preserve"> is no longer considered a restrictive practice</w:t>
      </w:r>
      <w:r>
        <w:rPr>
          <w:rFonts w:asciiTheme="minorHAnsi" w:hAnsiTheme="minorHAnsi" w:cstheme="minorHAnsi"/>
          <w:iCs/>
          <w:szCs w:val="24"/>
        </w:rPr>
        <w:t xml:space="preserve">, </w:t>
      </w:r>
      <w:r w:rsidR="00B65616">
        <w:rPr>
          <w:rFonts w:asciiTheme="minorHAnsi" w:hAnsiTheme="minorHAnsi" w:cstheme="minorHAnsi"/>
          <w:iCs/>
          <w:szCs w:val="24"/>
        </w:rPr>
        <w:t xml:space="preserve">so can be used, </w:t>
      </w:r>
      <w:r>
        <w:rPr>
          <w:rFonts w:asciiTheme="minorHAnsi" w:hAnsiTheme="minorHAnsi" w:cstheme="minorHAnsi"/>
          <w:iCs/>
          <w:szCs w:val="24"/>
        </w:rPr>
        <w:t>it is included under the Regulation</w:t>
      </w:r>
      <w:r w:rsidRPr="00073A20">
        <w:rPr>
          <w:rFonts w:asciiTheme="minorHAnsi" w:hAnsiTheme="minorHAnsi" w:cstheme="minorHAnsi"/>
          <w:iCs/>
          <w:szCs w:val="24"/>
        </w:rPr>
        <w:t>.</w:t>
      </w:r>
    </w:p>
    <w:p w14:paraId="1B362355" w14:textId="234ED249" w:rsidR="00555C2A" w:rsidRDefault="0012587E" w:rsidP="00EE2C9E">
      <w:pPr>
        <w:spacing w:before="240" w:line="276" w:lineRule="auto"/>
        <w:rPr>
          <w:rFonts w:asciiTheme="minorHAnsi" w:hAnsiTheme="minorHAnsi" w:cstheme="minorHAnsi"/>
          <w:iCs/>
          <w:szCs w:val="24"/>
        </w:rPr>
      </w:pPr>
      <w:r w:rsidRPr="00073A20">
        <w:rPr>
          <w:rFonts w:asciiTheme="minorHAnsi" w:hAnsiTheme="minorHAnsi" w:cstheme="minorHAnsi"/>
          <w:iCs/>
          <w:szCs w:val="24"/>
        </w:rPr>
        <w:t>Th</w:t>
      </w:r>
      <w:r>
        <w:rPr>
          <w:rFonts w:asciiTheme="minorHAnsi" w:hAnsiTheme="minorHAnsi" w:cstheme="minorHAnsi"/>
          <w:iCs/>
          <w:szCs w:val="24"/>
        </w:rPr>
        <w:t xml:space="preserve">e </w:t>
      </w:r>
      <w:r w:rsidR="00073A20" w:rsidRPr="00073A20">
        <w:rPr>
          <w:rFonts w:asciiTheme="minorHAnsi" w:hAnsiTheme="minorHAnsi" w:cstheme="minorHAnsi"/>
          <w:iCs/>
          <w:szCs w:val="24"/>
        </w:rPr>
        <w:t xml:space="preserve">Regulation identifies those practices that are not to be used, which is supported by the offence under section 46 of the Act </w:t>
      </w:r>
      <w:r>
        <w:rPr>
          <w:rFonts w:asciiTheme="minorHAnsi" w:hAnsiTheme="minorHAnsi" w:cstheme="minorHAnsi"/>
          <w:iCs/>
          <w:szCs w:val="24"/>
        </w:rPr>
        <w:t>of</w:t>
      </w:r>
      <w:r w:rsidR="00073A20" w:rsidRPr="00073A20">
        <w:rPr>
          <w:rFonts w:asciiTheme="minorHAnsi" w:hAnsiTheme="minorHAnsi" w:cstheme="minorHAnsi"/>
          <w:iCs/>
          <w:szCs w:val="24"/>
        </w:rPr>
        <w:t xml:space="preserve"> us</w:t>
      </w:r>
      <w:r w:rsidR="00574A04">
        <w:rPr>
          <w:rFonts w:asciiTheme="minorHAnsi" w:hAnsiTheme="minorHAnsi" w:cstheme="minorHAnsi"/>
          <w:iCs/>
          <w:szCs w:val="24"/>
        </w:rPr>
        <w:t>ing</w:t>
      </w:r>
      <w:r w:rsidR="00073A20" w:rsidRPr="00073A20">
        <w:rPr>
          <w:rFonts w:asciiTheme="minorHAnsi" w:hAnsiTheme="minorHAnsi" w:cstheme="minorHAnsi"/>
          <w:iCs/>
          <w:szCs w:val="24"/>
        </w:rPr>
        <w:t xml:space="preserve"> a restrictive practice</w:t>
      </w:r>
      <w:r w:rsidR="00574A04">
        <w:rPr>
          <w:rFonts w:asciiTheme="minorHAnsi" w:hAnsiTheme="minorHAnsi" w:cstheme="minorHAnsi"/>
          <w:iCs/>
          <w:szCs w:val="24"/>
        </w:rPr>
        <w:t xml:space="preserve"> other than</w:t>
      </w:r>
      <w:r w:rsidR="00073A20" w:rsidRPr="00073A20">
        <w:rPr>
          <w:rFonts w:asciiTheme="minorHAnsi" w:hAnsiTheme="minorHAnsi" w:cstheme="minorHAnsi"/>
          <w:iCs/>
          <w:szCs w:val="24"/>
        </w:rPr>
        <w:t xml:space="preserve"> in accordance with the Act</w:t>
      </w:r>
      <w:r w:rsidR="00073A20">
        <w:rPr>
          <w:rFonts w:asciiTheme="minorHAnsi" w:hAnsiTheme="minorHAnsi" w:cstheme="minorHAnsi"/>
          <w:iCs/>
          <w:szCs w:val="24"/>
        </w:rPr>
        <w:t xml:space="preserve">. </w:t>
      </w:r>
    </w:p>
    <w:p w14:paraId="2D4AB47B" w14:textId="77777777" w:rsidR="00555C2A" w:rsidRDefault="00555C2A" w:rsidP="00187BB3">
      <w:pPr>
        <w:spacing w:before="120" w:line="276" w:lineRule="auto"/>
        <w:rPr>
          <w:rFonts w:asciiTheme="minorHAnsi" w:hAnsiTheme="minorHAnsi" w:cstheme="minorHAnsi"/>
          <w:iCs/>
          <w:szCs w:val="24"/>
        </w:rPr>
      </w:pPr>
    </w:p>
    <w:p w14:paraId="63891178" w14:textId="77777777" w:rsidR="00555C2A" w:rsidRDefault="00555C2A" w:rsidP="00187BB3">
      <w:pPr>
        <w:spacing w:before="120" w:line="276" w:lineRule="auto"/>
        <w:rPr>
          <w:rFonts w:asciiTheme="minorHAnsi" w:hAnsiTheme="minorHAnsi" w:cstheme="minorHAnsi"/>
          <w:iCs/>
          <w:szCs w:val="24"/>
        </w:rPr>
      </w:pPr>
    </w:p>
    <w:p w14:paraId="5E36ECB5" w14:textId="77777777" w:rsidR="00EE2C9E" w:rsidRDefault="00EE2C9E" w:rsidP="00187BB3">
      <w:pPr>
        <w:spacing w:before="120" w:line="276" w:lineRule="auto"/>
        <w:rPr>
          <w:rFonts w:asciiTheme="minorHAnsi" w:hAnsiTheme="minorHAnsi" w:cstheme="minorHAnsi"/>
          <w:iCs/>
          <w:szCs w:val="24"/>
        </w:rPr>
      </w:pPr>
    </w:p>
    <w:p w14:paraId="20643F1D" w14:textId="77777777" w:rsidR="00555C2A" w:rsidRDefault="00555C2A" w:rsidP="00187BB3">
      <w:pPr>
        <w:spacing w:before="120" w:line="276" w:lineRule="auto"/>
        <w:rPr>
          <w:rFonts w:asciiTheme="minorHAnsi" w:hAnsiTheme="minorHAnsi" w:cstheme="minorHAnsi"/>
          <w:iCs/>
          <w:szCs w:val="24"/>
        </w:rPr>
      </w:pPr>
    </w:p>
    <w:p w14:paraId="4132AF22" w14:textId="71F6B3FF" w:rsidR="00187BB3" w:rsidRPr="00187BB3" w:rsidRDefault="00187BB3" w:rsidP="00EE2C9E">
      <w:pPr>
        <w:spacing w:before="240" w:line="276" w:lineRule="auto"/>
        <w:rPr>
          <w:rFonts w:asciiTheme="minorHAnsi" w:hAnsiTheme="minorHAnsi" w:cstheme="minorHAnsi"/>
          <w:iCs/>
          <w:szCs w:val="24"/>
        </w:rPr>
      </w:pPr>
      <w:r w:rsidRPr="00187BB3">
        <w:rPr>
          <w:rFonts w:asciiTheme="minorHAnsi" w:hAnsiTheme="minorHAnsi" w:cstheme="minorHAnsi"/>
          <w:b/>
          <w:bCs/>
          <w:iCs/>
          <w:szCs w:val="24"/>
          <w:u w:val="single"/>
        </w:rPr>
        <w:lastRenderedPageBreak/>
        <w:t xml:space="preserve">Human rights implications </w:t>
      </w:r>
    </w:p>
    <w:p w14:paraId="4EB5EFE7" w14:textId="0B579F0C" w:rsidR="00187BB3" w:rsidRDefault="002E5C0D" w:rsidP="00EE2C9E">
      <w:pPr>
        <w:keepNext/>
        <w:spacing w:before="240" w:line="276" w:lineRule="auto"/>
        <w:outlineLvl w:val="1"/>
        <w:rPr>
          <w:rFonts w:asciiTheme="minorHAnsi" w:hAnsiTheme="minorHAnsi" w:cstheme="minorHAnsi"/>
          <w:iCs/>
          <w:szCs w:val="24"/>
        </w:rPr>
      </w:pPr>
      <w:r w:rsidRPr="002E5C0D">
        <w:rPr>
          <w:rFonts w:asciiTheme="minorHAnsi" w:hAnsiTheme="minorHAnsi" w:cstheme="minorHAnsi"/>
          <w:iCs/>
          <w:szCs w:val="24"/>
        </w:rPr>
        <w:t>During the development of this Instrument, due regard was given to its effect in</w:t>
      </w:r>
      <w:r>
        <w:rPr>
          <w:rFonts w:asciiTheme="minorHAnsi" w:hAnsiTheme="minorHAnsi" w:cstheme="minorHAnsi"/>
          <w:iCs/>
          <w:szCs w:val="24"/>
        </w:rPr>
        <w:t xml:space="preserve"> </w:t>
      </w:r>
      <w:r w:rsidRPr="002E5C0D">
        <w:rPr>
          <w:rFonts w:asciiTheme="minorHAnsi" w:hAnsiTheme="minorHAnsi" w:cstheme="minorHAnsi"/>
          <w:iCs/>
          <w:szCs w:val="24"/>
        </w:rPr>
        <w:t xml:space="preserve">relation to compatibility with human rights as set out in the </w:t>
      </w:r>
      <w:r w:rsidRPr="002E5C0D">
        <w:rPr>
          <w:rFonts w:asciiTheme="minorHAnsi" w:hAnsiTheme="minorHAnsi" w:cstheme="minorHAnsi"/>
          <w:i/>
          <w:szCs w:val="24"/>
        </w:rPr>
        <w:t>Human Rights Act</w:t>
      </w:r>
      <w:r>
        <w:rPr>
          <w:rFonts w:asciiTheme="minorHAnsi" w:hAnsiTheme="minorHAnsi" w:cstheme="minorHAnsi"/>
          <w:iCs/>
          <w:szCs w:val="24"/>
        </w:rPr>
        <w:t xml:space="preserve"> </w:t>
      </w:r>
      <w:r w:rsidRPr="002E5C0D">
        <w:rPr>
          <w:rFonts w:asciiTheme="minorHAnsi" w:hAnsiTheme="minorHAnsi" w:cstheme="minorHAnsi"/>
          <w:i/>
          <w:szCs w:val="24"/>
        </w:rPr>
        <w:t>2004</w:t>
      </w:r>
      <w:r w:rsidRPr="002E5C0D">
        <w:rPr>
          <w:rFonts w:asciiTheme="minorHAnsi" w:hAnsiTheme="minorHAnsi" w:cstheme="minorHAnsi"/>
          <w:iCs/>
          <w:szCs w:val="24"/>
        </w:rPr>
        <w:t xml:space="preserve"> (HRA).</w:t>
      </w:r>
    </w:p>
    <w:p w14:paraId="64392D0C" w14:textId="6C44721F" w:rsidR="002E5C0D" w:rsidRDefault="002E5C0D" w:rsidP="00EE2C9E">
      <w:pPr>
        <w:keepNext/>
        <w:spacing w:before="240" w:line="276" w:lineRule="auto"/>
        <w:outlineLvl w:val="1"/>
        <w:rPr>
          <w:rFonts w:asciiTheme="minorHAnsi" w:hAnsiTheme="minorHAnsi" w:cstheme="minorHAnsi"/>
          <w:iCs/>
          <w:szCs w:val="24"/>
        </w:rPr>
      </w:pPr>
      <w:r w:rsidRPr="002E5C0D">
        <w:rPr>
          <w:rFonts w:asciiTheme="minorHAnsi" w:hAnsiTheme="minorHAnsi" w:cstheme="minorHAnsi"/>
          <w:iCs/>
          <w:szCs w:val="24"/>
        </w:rPr>
        <w:t xml:space="preserve">The regulation engages the following rights under the </w:t>
      </w:r>
      <w:r w:rsidRPr="002E5C0D">
        <w:rPr>
          <w:rFonts w:asciiTheme="minorHAnsi" w:hAnsiTheme="minorHAnsi" w:cstheme="minorHAnsi"/>
          <w:i/>
          <w:szCs w:val="24"/>
        </w:rPr>
        <w:t>Human Rights Act 2004</w:t>
      </w:r>
      <w:r w:rsidRPr="002E5C0D">
        <w:rPr>
          <w:rFonts w:asciiTheme="minorHAnsi" w:hAnsiTheme="minorHAnsi" w:cstheme="minorHAnsi"/>
          <w:iCs/>
          <w:szCs w:val="24"/>
        </w:rPr>
        <w:t>:</w:t>
      </w:r>
    </w:p>
    <w:p w14:paraId="253DED61" w14:textId="62202B2D" w:rsidR="002E5C0D" w:rsidRDefault="002E5C0D" w:rsidP="00EE2C9E">
      <w:pPr>
        <w:pStyle w:val="ListParagraph"/>
        <w:keepNext/>
        <w:numPr>
          <w:ilvl w:val="0"/>
          <w:numId w:val="10"/>
        </w:numPr>
        <w:spacing w:before="120" w:line="276" w:lineRule="auto"/>
        <w:ind w:left="714" w:hanging="357"/>
        <w:contextualSpacing w:val="0"/>
        <w:outlineLvl w:val="1"/>
        <w:rPr>
          <w:rFonts w:asciiTheme="minorHAnsi" w:hAnsiTheme="minorHAnsi" w:cstheme="minorHAnsi"/>
          <w:iCs/>
          <w:szCs w:val="24"/>
        </w:rPr>
      </w:pPr>
      <w:r w:rsidRPr="002E5C0D">
        <w:rPr>
          <w:rFonts w:asciiTheme="minorHAnsi" w:hAnsiTheme="minorHAnsi" w:cstheme="minorHAnsi"/>
          <w:iCs/>
          <w:szCs w:val="24"/>
        </w:rPr>
        <w:t xml:space="preserve">Section </w:t>
      </w:r>
      <w:r>
        <w:rPr>
          <w:rFonts w:asciiTheme="minorHAnsi" w:hAnsiTheme="minorHAnsi" w:cstheme="minorHAnsi"/>
          <w:iCs/>
          <w:szCs w:val="24"/>
        </w:rPr>
        <w:t>10</w:t>
      </w:r>
      <w:r w:rsidRPr="002E5C0D">
        <w:rPr>
          <w:rFonts w:asciiTheme="minorHAnsi" w:hAnsiTheme="minorHAnsi" w:cstheme="minorHAnsi"/>
          <w:iCs/>
          <w:szCs w:val="24"/>
        </w:rPr>
        <w:t xml:space="preserve"> (</w:t>
      </w:r>
      <w:r>
        <w:rPr>
          <w:rFonts w:asciiTheme="minorHAnsi" w:hAnsiTheme="minorHAnsi" w:cstheme="minorHAnsi"/>
          <w:iCs/>
          <w:szCs w:val="24"/>
        </w:rPr>
        <w:t>1</w:t>
      </w:r>
      <w:r w:rsidRPr="002E5C0D">
        <w:rPr>
          <w:rFonts w:asciiTheme="minorHAnsi" w:hAnsiTheme="minorHAnsi" w:cstheme="minorHAnsi"/>
          <w:iCs/>
          <w:szCs w:val="24"/>
        </w:rPr>
        <w:t>)</w:t>
      </w:r>
      <w:r>
        <w:rPr>
          <w:rFonts w:asciiTheme="minorHAnsi" w:hAnsiTheme="minorHAnsi" w:cstheme="minorHAnsi"/>
          <w:iCs/>
          <w:szCs w:val="24"/>
        </w:rPr>
        <w:t>(b)</w:t>
      </w:r>
      <w:r w:rsidRPr="002E5C0D">
        <w:rPr>
          <w:rFonts w:asciiTheme="minorHAnsi" w:hAnsiTheme="minorHAnsi" w:cstheme="minorHAnsi"/>
          <w:iCs/>
          <w:szCs w:val="24"/>
        </w:rPr>
        <w:t>:</w:t>
      </w:r>
      <w:r>
        <w:rPr>
          <w:rFonts w:asciiTheme="minorHAnsi" w:hAnsiTheme="minorHAnsi" w:cstheme="minorHAnsi"/>
          <w:iCs/>
          <w:szCs w:val="24"/>
        </w:rPr>
        <w:t xml:space="preserve"> No-one may be treated or punished in a cruel, inhuman or degrading way. </w:t>
      </w:r>
    </w:p>
    <w:p w14:paraId="3E85C747" w14:textId="6674D379" w:rsidR="002E5C0D" w:rsidRDefault="002E5C0D" w:rsidP="00EE2C9E">
      <w:pPr>
        <w:pStyle w:val="ListParagraph"/>
        <w:keepNext/>
        <w:numPr>
          <w:ilvl w:val="0"/>
          <w:numId w:val="10"/>
        </w:numPr>
        <w:spacing w:before="120" w:line="276" w:lineRule="auto"/>
        <w:ind w:left="714" w:hanging="357"/>
        <w:contextualSpacing w:val="0"/>
        <w:outlineLvl w:val="1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Section 11 (2): </w:t>
      </w:r>
      <w:r w:rsidRPr="002E5C0D">
        <w:rPr>
          <w:rFonts w:asciiTheme="minorHAnsi" w:hAnsiTheme="minorHAnsi" w:cstheme="minorHAnsi"/>
          <w:iCs/>
          <w:szCs w:val="24"/>
        </w:rPr>
        <w:t>Every child has the right to the protection needed by the child because of being a child, without distinction or discrimination of any kind</w:t>
      </w:r>
    </w:p>
    <w:p w14:paraId="30F7F233" w14:textId="56DC4DA8" w:rsidR="002E5C0D" w:rsidRDefault="002E5C0D" w:rsidP="00EE2C9E">
      <w:pPr>
        <w:pStyle w:val="ListParagraph"/>
        <w:keepNext/>
        <w:numPr>
          <w:ilvl w:val="0"/>
          <w:numId w:val="10"/>
        </w:numPr>
        <w:spacing w:before="120" w:line="276" w:lineRule="auto"/>
        <w:ind w:left="714" w:hanging="357"/>
        <w:contextualSpacing w:val="0"/>
        <w:outlineLvl w:val="1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Section 18 (2): </w:t>
      </w:r>
      <w:r w:rsidRPr="002E5C0D">
        <w:rPr>
          <w:rFonts w:asciiTheme="minorHAnsi" w:hAnsiTheme="minorHAnsi" w:cstheme="minorHAnsi"/>
          <w:iCs/>
          <w:szCs w:val="24"/>
        </w:rPr>
        <w:t>No-one may be deprived of liberty, except on the grounds and in accordance with the procedures established by law.</w:t>
      </w:r>
    </w:p>
    <w:p w14:paraId="6B4F090F" w14:textId="03B9A504" w:rsidR="005B7F10" w:rsidRPr="005B7F10" w:rsidRDefault="005B7F10" w:rsidP="00EE2C9E">
      <w:pPr>
        <w:keepNext/>
        <w:spacing w:before="240" w:line="276" w:lineRule="auto"/>
        <w:outlineLvl w:val="1"/>
        <w:rPr>
          <w:rFonts w:asciiTheme="minorHAnsi" w:hAnsiTheme="minorHAnsi" w:cstheme="minorHAnsi"/>
          <w:iCs/>
          <w:szCs w:val="24"/>
        </w:rPr>
      </w:pPr>
      <w:r w:rsidRPr="005B7F10">
        <w:rPr>
          <w:rFonts w:asciiTheme="minorHAnsi" w:hAnsiTheme="minorHAnsi" w:cstheme="minorHAnsi"/>
          <w:iCs/>
          <w:szCs w:val="24"/>
        </w:rPr>
        <w:t>The Senior Practitioner Act 2018 Section 6(e)(</w:t>
      </w:r>
      <w:proofErr w:type="spellStart"/>
      <w:r w:rsidRPr="005B7F10">
        <w:rPr>
          <w:rFonts w:asciiTheme="minorHAnsi" w:hAnsiTheme="minorHAnsi" w:cstheme="minorHAnsi"/>
          <w:iCs/>
          <w:szCs w:val="24"/>
        </w:rPr>
        <w:t>i</w:t>
      </w:r>
      <w:proofErr w:type="spellEnd"/>
      <w:r w:rsidRPr="005B7F10">
        <w:rPr>
          <w:rFonts w:asciiTheme="minorHAnsi" w:hAnsiTheme="minorHAnsi" w:cstheme="minorHAnsi"/>
          <w:iCs/>
          <w:szCs w:val="24"/>
        </w:rPr>
        <w:t>) establishes that the objects of the Act are to regulate the use of restrictive practices by a provider in relation to a person in a way that is consistent with a person’s human rights.</w:t>
      </w:r>
    </w:p>
    <w:p w14:paraId="38D9301A" w14:textId="518DA57D" w:rsidR="005B7F10" w:rsidRPr="005B7F10" w:rsidRDefault="005B7F10" w:rsidP="00EE2C9E">
      <w:pPr>
        <w:keepNext/>
        <w:spacing w:before="240" w:line="276" w:lineRule="auto"/>
        <w:outlineLvl w:val="1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Through the establishment of this regulation </w:t>
      </w:r>
      <w:r w:rsidR="006B680C">
        <w:rPr>
          <w:rFonts w:asciiTheme="minorHAnsi" w:hAnsiTheme="minorHAnsi" w:cstheme="minorHAnsi"/>
          <w:iCs/>
          <w:szCs w:val="24"/>
        </w:rPr>
        <w:t xml:space="preserve">human rights are upheld as it </w:t>
      </w:r>
      <w:r>
        <w:rPr>
          <w:rFonts w:asciiTheme="minorHAnsi" w:hAnsiTheme="minorHAnsi" w:cstheme="minorHAnsi"/>
          <w:iCs/>
          <w:szCs w:val="24"/>
        </w:rPr>
        <w:t xml:space="preserve">ensures that those practices that are not consistent with a person’s human rights are </w:t>
      </w:r>
      <w:r w:rsidR="00224D4A">
        <w:rPr>
          <w:rFonts w:asciiTheme="minorHAnsi" w:hAnsiTheme="minorHAnsi" w:cstheme="minorHAnsi"/>
          <w:iCs/>
          <w:szCs w:val="24"/>
        </w:rPr>
        <w:t>established</w:t>
      </w:r>
      <w:r>
        <w:rPr>
          <w:rFonts w:asciiTheme="minorHAnsi" w:hAnsiTheme="minorHAnsi" w:cstheme="minorHAnsi"/>
          <w:iCs/>
          <w:szCs w:val="24"/>
        </w:rPr>
        <w:t xml:space="preserve"> and are punishable through the </w:t>
      </w:r>
      <w:r w:rsidRPr="00F85A41">
        <w:rPr>
          <w:rFonts w:asciiTheme="minorHAnsi" w:hAnsiTheme="minorHAnsi" w:cstheme="minorHAnsi"/>
          <w:i/>
          <w:szCs w:val="24"/>
        </w:rPr>
        <w:t>Senior Practitioner Act 2018</w:t>
      </w:r>
      <w:r>
        <w:rPr>
          <w:rFonts w:asciiTheme="minorHAnsi" w:hAnsiTheme="minorHAnsi" w:cstheme="minorHAnsi"/>
          <w:iCs/>
          <w:szCs w:val="24"/>
        </w:rPr>
        <w:t xml:space="preserve">. </w:t>
      </w:r>
    </w:p>
    <w:p w14:paraId="7D1F3C0F" w14:textId="34C15F5D" w:rsidR="00187BB3" w:rsidRPr="00187BB3" w:rsidRDefault="00187BB3" w:rsidP="00EE2C9E">
      <w:pPr>
        <w:keepNext/>
        <w:spacing w:before="240" w:line="276" w:lineRule="auto"/>
        <w:outlineLvl w:val="1"/>
        <w:rPr>
          <w:rFonts w:asciiTheme="minorHAnsi" w:eastAsia="Calibri" w:hAnsiTheme="minorHAnsi" w:cstheme="minorHAnsi"/>
          <w:b/>
          <w:szCs w:val="24"/>
        </w:rPr>
      </w:pPr>
      <w:r w:rsidRPr="00187BB3">
        <w:rPr>
          <w:rFonts w:asciiTheme="minorHAnsi" w:eastAsia="Calibri" w:hAnsiTheme="minorHAnsi" w:cstheme="minorHAnsi"/>
          <w:b/>
          <w:szCs w:val="24"/>
        </w:rPr>
        <w:t xml:space="preserve">Clause Notes </w:t>
      </w:r>
    </w:p>
    <w:p w14:paraId="3250183E" w14:textId="29AD4E54" w:rsidR="00187BB3" w:rsidRPr="00187BB3" w:rsidRDefault="00187BB3" w:rsidP="00EE2C9E">
      <w:pPr>
        <w:keepNext/>
        <w:spacing w:before="240" w:line="276" w:lineRule="auto"/>
        <w:outlineLvl w:val="2"/>
        <w:rPr>
          <w:rFonts w:asciiTheme="minorHAnsi" w:eastAsia="Calibri" w:hAnsiTheme="minorHAnsi" w:cstheme="minorHAnsi"/>
          <w:b/>
          <w:szCs w:val="24"/>
        </w:rPr>
      </w:pPr>
      <w:r w:rsidRPr="00187BB3">
        <w:rPr>
          <w:rFonts w:asciiTheme="minorHAnsi" w:eastAsia="Calibri" w:hAnsiTheme="minorHAnsi" w:cstheme="minorHAnsi"/>
          <w:b/>
          <w:szCs w:val="24"/>
        </w:rPr>
        <w:t xml:space="preserve">Clause </w:t>
      </w:r>
      <w:r w:rsidRPr="00187BB3">
        <w:rPr>
          <w:rFonts w:asciiTheme="minorHAnsi" w:eastAsia="Calibri" w:hAnsiTheme="minorHAnsi" w:cstheme="minorHAnsi"/>
          <w:b/>
          <w:szCs w:val="24"/>
        </w:rPr>
        <w:fldChar w:fldCharType="begin"/>
      </w:r>
      <w:r w:rsidRPr="00187BB3">
        <w:rPr>
          <w:rFonts w:asciiTheme="minorHAnsi" w:eastAsia="Calibri" w:hAnsiTheme="minorHAnsi" w:cstheme="minorHAnsi"/>
          <w:b/>
          <w:szCs w:val="24"/>
        </w:rPr>
        <w:instrText xml:space="preserve"> SEQ Clause \* ARABIC </w:instrText>
      </w:r>
      <w:r w:rsidRPr="00187BB3">
        <w:rPr>
          <w:rFonts w:asciiTheme="minorHAnsi" w:eastAsia="Calibri" w:hAnsiTheme="minorHAnsi" w:cstheme="minorHAnsi"/>
          <w:b/>
          <w:szCs w:val="24"/>
        </w:rPr>
        <w:fldChar w:fldCharType="separate"/>
      </w:r>
      <w:r w:rsidR="002C6D9F">
        <w:rPr>
          <w:rFonts w:asciiTheme="minorHAnsi" w:eastAsia="Calibri" w:hAnsiTheme="minorHAnsi" w:cstheme="minorHAnsi"/>
          <w:b/>
          <w:noProof/>
          <w:szCs w:val="24"/>
        </w:rPr>
        <w:t>1</w:t>
      </w:r>
      <w:r w:rsidRPr="00187BB3">
        <w:rPr>
          <w:rFonts w:asciiTheme="minorHAnsi" w:eastAsia="Calibri" w:hAnsiTheme="minorHAnsi" w:cstheme="minorHAnsi"/>
          <w:b/>
          <w:szCs w:val="24"/>
        </w:rPr>
        <w:fldChar w:fldCharType="end"/>
      </w:r>
      <w:r w:rsidRPr="00187BB3">
        <w:rPr>
          <w:rFonts w:asciiTheme="minorHAnsi" w:eastAsia="Calibri" w:hAnsiTheme="minorHAnsi" w:cstheme="minorHAnsi"/>
          <w:b/>
          <w:szCs w:val="24"/>
        </w:rPr>
        <w:t xml:space="preserve"> — Name of Regulation</w:t>
      </w:r>
    </w:p>
    <w:p w14:paraId="45BEC1B0" w14:textId="18E5BBD2" w:rsidR="00187BB3" w:rsidRPr="00187BB3" w:rsidRDefault="00187BB3" w:rsidP="00EE2C9E">
      <w:pPr>
        <w:spacing w:before="240" w:line="276" w:lineRule="auto"/>
        <w:rPr>
          <w:rFonts w:asciiTheme="minorHAnsi" w:eastAsia="Calibri" w:hAnsiTheme="minorHAnsi" w:cstheme="minorHAnsi"/>
        </w:rPr>
      </w:pPr>
      <w:r w:rsidRPr="00187BB3">
        <w:rPr>
          <w:rFonts w:asciiTheme="minorHAnsi" w:eastAsia="Calibri" w:hAnsiTheme="minorHAnsi" w:cstheme="minorHAnsi"/>
        </w:rPr>
        <w:t xml:space="preserve">This clause provides that the name of the regulation is the </w:t>
      </w:r>
      <w:r>
        <w:rPr>
          <w:rFonts w:asciiTheme="minorHAnsi" w:eastAsia="Calibri" w:hAnsiTheme="minorHAnsi" w:cstheme="minorHAnsi"/>
        </w:rPr>
        <w:t>Senior Practitioner Regulation 2023</w:t>
      </w:r>
      <w:r w:rsidRPr="00187BB3">
        <w:rPr>
          <w:rFonts w:asciiTheme="minorHAnsi" w:eastAsia="Calibri" w:hAnsiTheme="minorHAnsi" w:cstheme="minorHAnsi"/>
        </w:rPr>
        <w:t>.</w:t>
      </w:r>
    </w:p>
    <w:p w14:paraId="42195B7F" w14:textId="125BEB7E" w:rsidR="00187BB3" w:rsidRPr="00187BB3" w:rsidRDefault="00187BB3" w:rsidP="00EE2C9E">
      <w:pPr>
        <w:keepNext/>
        <w:spacing w:before="240" w:line="276" w:lineRule="auto"/>
        <w:outlineLvl w:val="2"/>
        <w:rPr>
          <w:rFonts w:asciiTheme="minorHAnsi" w:eastAsia="Calibri" w:hAnsiTheme="minorHAnsi" w:cstheme="minorHAnsi"/>
          <w:b/>
          <w:szCs w:val="24"/>
        </w:rPr>
      </w:pPr>
      <w:r w:rsidRPr="00187BB3">
        <w:rPr>
          <w:rFonts w:asciiTheme="minorHAnsi" w:eastAsia="Calibri" w:hAnsiTheme="minorHAnsi" w:cstheme="minorHAnsi"/>
          <w:b/>
          <w:szCs w:val="24"/>
        </w:rPr>
        <w:t xml:space="preserve">Clause </w:t>
      </w:r>
      <w:r w:rsidRPr="00187BB3">
        <w:rPr>
          <w:rFonts w:asciiTheme="minorHAnsi" w:eastAsia="Calibri" w:hAnsiTheme="minorHAnsi" w:cstheme="minorHAnsi"/>
          <w:b/>
          <w:szCs w:val="24"/>
        </w:rPr>
        <w:fldChar w:fldCharType="begin"/>
      </w:r>
      <w:r w:rsidRPr="00187BB3">
        <w:rPr>
          <w:rFonts w:asciiTheme="minorHAnsi" w:eastAsia="Calibri" w:hAnsiTheme="minorHAnsi" w:cstheme="minorHAnsi"/>
          <w:b/>
          <w:szCs w:val="24"/>
        </w:rPr>
        <w:instrText xml:space="preserve"> SEQ Clause \* ARABIC </w:instrText>
      </w:r>
      <w:r w:rsidRPr="00187BB3">
        <w:rPr>
          <w:rFonts w:asciiTheme="minorHAnsi" w:eastAsia="Calibri" w:hAnsiTheme="minorHAnsi" w:cstheme="minorHAnsi"/>
          <w:b/>
          <w:szCs w:val="24"/>
        </w:rPr>
        <w:fldChar w:fldCharType="separate"/>
      </w:r>
      <w:r w:rsidR="002C6D9F">
        <w:rPr>
          <w:rFonts w:asciiTheme="minorHAnsi" w:eastAsia="Calibri" w:hAnsiTheme="minorHAnsi" w:cstheme="minorHAnsi"/>
          <w:b/>
          <w:noProof/>
          <w:szCs w:val="24"/>
        </w:rPr>
        <w:t>2</w:t>
      </w:r>
      <w:r w:rsidRPr="00187BB3">
        <w:rPr>
          <w:rFonts w:asciiTheme="minorHAnsi" w:eastAsia="Calibri" w:hAnsiTheme="minorHAnsi" w:cstheme="minorHAnsi"/>
          <w:b/>
          <w:szCs w:val="24"/>
        </w:rPr>
        <w:fldChar w:fldCharType="end"/>
      </w:r>
      <w:r w:rsidRPr="00187BB3">
        <w:rPr>
          <w:rFonts w:asciiTheme="minorHAnsi" w:eastAsia="Calibri" w:hAnsiTheme="minorHAnsi" w:cstheme="minorHAnsi"/>
          <w:b/>
          <w:szCs w:val="24"/>
        </w:rPr>
        <w:t xml:space="preserve"> — Commencement</w:t>
      </w:r>
    </w:p>
    <w:p w14:paraId="61D7F9D1" w14:textId="77777777" w:rsidR="00187BB3" w:rsidRPr="00187BB3" w:rsidRDefault="00187BB3" w:rsidP="00EE2C9E">
      <w:pPr>
        <w:spacing w:before="240" w:line="276" w:lineRule="auto"/>
        <w:ind w:right="-57"/>
        <w:rPr>
          <w:rFonts w:asciiTheme="minorHAnsi" w:eastAsia="Calibri" w:hAnsiTheme="minorHAnsi" w:cstheme="minorHAnsi"/>
        </w:rPr>
      </w:pPr>
      <w:r w:rsidRPr="00187BB3">
        <w:rPr>
          <w:rFonts w:asciiTheme="minorHAnsi" w:eastAsia="Calibri" w:hAnsiTheme="minorHAnsi" w:cstheme="minorHAnsi"/>
        </w:rPr>
        <w:t xml:space="preserve">This clause provides that the Regulation commences the day after its notification day. </w:t>
      </w:r>
    </w:p>
    <w:p w14:paraId="544F7D8E" w14:textId="77777777" w:rsidR="006815C9" w:rsidRDefault="006815C9"/>
    <w:sectPr w:rsidR="006815C9" w:rsidSect="00C16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F7D91" w14:textId="77777777" w:rsidR="006815C9" w:rsidRDefault="006815C9" w:rsidP="006815C9">
      <w:r>
        <w:separator/>
      </w:r>
    </w:p>
  </w:endnote>
  <w:endnote w:type="continuationSeparator" w:id="0">
    <w:p w14:paraId="544F7D92" w14:textId="77777777" w:rsidR="006815C9" w:rsidRDefault="006815C9" w:rsidP="0068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7D95" w14:textId="77777777" w:rsidR="00091D34" w:rsidRDefault="00091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7D96" w14:textId="4780EC22" w:rsidR="00091D34" w:rsidRPr="0014349A" w:rsidRDefault="0014349A" w:rsidP="0014349A">
    <w:pPr>
      <w:pStyle w:val="Footer"/>
      <w:jc w:val="center"/>
      <w:rPr>
        <w:rFonts w:cs="Arial"/>
        <w:sz w:val="14"/>
      </w:rPr>
    </w:pPr>
    <w:r w:rsidRPr="0014349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7D98" w14:textId="77777777" w:rsidR="00091D34" w:rsidRDefault="0009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7D8F" w14:textId="77777777" w:rsidR="006815C9" w:rsidRDefault="006815C9" w:rsidP="006815C9">
      <w:r>
        <w:separator/>
      </w:r>
    </w:p>
  </w:footnote>
  <w:footnote w:type="continuationSeparator" w:id="0">
    <w:p w14:paraId="544F7D90" w14:textId="77777777" w:rsidR="006815C9" w:rsidRDefault="006815C9" w:rsidP="0068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7D93" w14:textId="77777777" w:rsidR="00091D34" w:rsidRDefault="00091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7D94" w14:textId="77777777" w:rsidR="00091D34" w:rsidRDefault="00091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7D97" w14:textId="77777777" w:rsidR="00091D34" w:rsidRDefault="0009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F310574"/>
    <w:multiLevelType w:val="hybridMultilevel"/>
    <w:tmpl w:val="D9CAB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454CF"/>
    <w:multiLevelType w:val="multilevel"/>
    <w:tmpl w:val="B3E8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4948907">
    <w:abstractNumId w:val="2"/>
  </w:num>
  <w:num w:numId="2" w16cid:durableId="1599364151">
    <w:abstractNumId w:val="0"/>
  </w:num>
  <w:num w:numId="3" w16cid:durableId="536507730">
    <w:abstractNumId w:val="3"/>
  </w:num>
  <w:num w:numId="4" w16cid:durableId="799885625">
    <w:abstractNumId w:val="6"/>
  </w:num>
  <w:num w:numId="5" w16cid:durableId="364137836">
    <w:abstractNumId w:val="9"/>
  </w:num>
  <w:num w:numId="6" w16cid:durableId="2053116">
    <w:abstractNumId w:val="1"/>
  </w:num>
  <w:num w:numId="7" w16cid:durableId="585892599">
    <w:abstractNumId w:val="4"/>
  </w:num>
  <w:num w:numId="8" w16cid:durableId="1167358981">
    <w:abstractNumId w:val="5"/>
  </w:num>
  <w:num w:numId="9" w16cid:durableId="657536061">
    <w:abstractNumId w:val="8"/>
  </w:num>
  <w:num w:numId="10" w16cid:durableId="200096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1D"/>
    <w:rsid w:val="00040E22"/>
    <w:rsid w:val="000450CC"/>
    <w:rsid w:val="00073A20"/>
    <w:rsid w:val="00091D34"/>
    <w:rsid w:val="00097D08"/>
    <w:rsid w:val="000A64D0"/>
    <w:rsid w:val="0012587E"/>
    <w:rsid w:val="0014349A"/>
    <w:rsid w:val="00187BB3"/>
    <w:rsid w:val="00206327"/>
    <w:rsid w:val="00216878"/>
    <w:rsid w:val="00224D4A"/>
    <w:rsid w:val="002C6D9F"/>
    <w:rsid w:val="002E5C0D"/>
    <w:rsid w:val="00555C2A"/>
    <w:rsid w:val="00574A04"/>
    <w:rsid w:val="005B0FBC"/>
    <w:rsid w:val="005B7F10"/>
    <w:rsid w:val="006815C9"/>
    <w:rsid w:val="006B0442"/>
    <w:rsid w:val="006B680C"/>
    <w:rsid w:val="006E7046"/>
    <w:rsid w:val="007570EB"/>
    <w:rsid w:val="007E5815"/>
    <w:rsid w:val="008511EC"/>
    <w:rsid w:val="0086241A"/>
    <w:rsid w:val="0096353A"/>
    <w:rsid w:val="009B590A"/>
    <w:rsid w:val="00AD35A5"/>
    <w:rsid w:val="00B65616"/>
    <w:rsid w:val="00C1618B"/>
    <w:rsid w:val="00C40897"/>
    <w:rsid w:val="00EE2C9E"/>
    <w:rsid w:val="00F5371D"/>
    <w:rsid w:val="00F57F1D"/>
    <w:rsid w:val="00F8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F7D86"/>
  <w15:docId w15:val="{44EDC86D-0069-4582-B49A-2BADA6F7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8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18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1618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C1618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C1618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618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C1618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1618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C1618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C1618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1618B"/>
    <w:pPr>
      <w:spacing w:before="180" w:after="60"/>
      <w:jc w:val="both"/>
    </w:pPr>
  </w:style>
  <w:style w:type="paragraph" w:customStyle="1" w:styleId="CoverActName">
    <w:name w:val="CoverActNam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C1618B"/>
    <w:pPr>
      <w:tabs>
        <w:tab w:val="left" w:pos="2880"/>
      </w:tabs>
    </w:pPr>
  </w:style>
  <w:style w:type="paragraph" w:customStyle="1" w:styleId="Apara">
    <w:name w:val="A para"/>
    <w:basedOn w:val="Normal"/>
    <w:rsid w:val="00C1618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C1618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C1618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C1618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C1618B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C1618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C1618B"/>
  </w:style>
  <w:style w:type="paragraph" w:customStyle="1" w:styleId="CoverInForce">
    <w:name w:val="CoverInForc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C1618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C1618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C1618B"/>
  </w:style>
  <w:style w:type="paragraph" w:customStyle="1" w:styleId="Aparabullet">
    <w:name w:val="A para bullet"/>
    <w:basedOn w:val="Normal"/>
    <w:rsid w:val="00C1618B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C1618B"/>
  </w:style>
  <w:style w:type="paragraph" w:styleId="TOC2">
    <w:name w:val="toc 2"/>
    <w:basedOn w:val="Normal"/>
    <w:next w:val="Normal"/>
    <w:autoRedefine/>
    <w:semiHidden/>
    <w:rsid w:val="00C1618B"/>
    <w:pPr>
      <w:ind w:left="240"/>
    </w:pPr>
  </w:style>
  <w:style w:type="paragraph" w:styleId="TOC3">
    <w:name w:val="toc 3"/>
    <w:basedOn w:val="Normal"/>
    <w:next w:val="Normal"/>
    <w:autoRedefine/>
    <w:semiHidden/>
    <w:rsid w:val="00C1618B"/>
    <w:pPr>
      <w:ind w:left="480"/>
    </w:pPr>
  </w:style>
  <w:style w:type="paragraph" w:styleId="TOC4">
    <w:name w:val="toc 4"/>
    <w:basedOn w:val="Normal"/>
    <w:next w:val="Normal"/>
    <w:autoRedefine/>
    <w:semiHidden/>
    <w:rsid w:val="00C1618B"/>
    <w:pPr>
      <w:ind w:left="720"/>
    </w:pPr>
  </w:style>
  <w:style w:type="paragraph" w:styleId="TOC5">
    <w:name w:val="toc 5"/>
    <w:basedOn w:val="Normal"/>
    <w:next w:val="Normal"/>
    <w:autoRedefine/>
    <w:semiHidden/>
    <w:rsid w:val="00C1618B"/>
    <w:pPr>
      <w:ind w:left="960"/>
    </w:pPr>
  </w:style>
  <w:style w:type="paragraph" w:styleId="TOC6">
    <w:name w:val="toc 6"/>
    <w:basedOn w:val="Normal"/>
    <w:next w:val="Normal"/>
    <w:autoRedefine/>
    <w:semiHidden/>
    <w:rsid w:val="00C1618B"/>
    <w:pPr>
      <w:ind w:left="1200"/>
    </w:pPr>
  </w:style>
  <w:style w:type="paragraph" w:styleId="TOC7">
    <w:name w:val="toc 7"/>
    <w:basedOn w:val="Normal"/>
    <w:next w:val="Normal"/>
    <w:autoRedefine/>
    <w:semiHidden/>
    <w:rsid w:val="00C1618B"/>
    <w:pPr>
      <w:ind w:left="1440"/>
    </w:pPr>
  </w:style>
  <w:style w:type="paragraph" w:styleId="TOC8">
    <w:name w:val="toc 8"/>
    <w:basedOn w:val="Normal"/>
    <w:next w:val="Normal"/>
    <w:autoRedefine/>
    <w:semiHidden/>
    <w:rsid w:val="00C1618B"/>
    <w:pPr>
      <w:ind w:left="1680"/>
    </w:pPr>
  </w:style>
  <w:style w:type="paragraph" w:styleId="TOC9">
    <w:name w:val="toc 9"/>
    <w:basedOn w:val="Normal"/>
    <w:next w:val="Normal"/>
    <w:autoRedefine/>
    <w:semiHidden/>
    <w:rsid w:val="00C1618B"/>
    <w:pPr>
      <w:ind w:left="1920"/>
    </w:pPr>
  </w:style>
  <w:style w:type="character" w:styleId="Hyperlink">
    <w:name w:val="Hyperlink"/>
    <w:basedOn w:val="DefaultParagraphFont"/>
    <w:semiHidden/>
    <w:rsid w:val="00C1618B"/>
    <w:rPr>
      <w:color w:val="0000FF"/>
      <w:u w:val="single"/>
    </w:rPr>
  </w:style>
  <w:style w:type="paragraph" w:styleId="BodyTextIndent">
    <w:name w:val="Body Text Indent"/>
    <w:basedOn w:val="Normal"/>
    <w:semiHidden/>
    <w:rsid w:val="00C1618B"/>
    <w:pPr>
      <w:spacing w:before="120" w:after="60"/>
      <w:ind w:left="709"/>
    </w:pPr>
  </w:style>
  <w:style w:type="paragraph" w:customStyle="1" w:styleId="Minister">
    <w:name w:val="Minister"/>
    <w:basedOn w:val="Normal"/>
    <w:rsid w:val="00C1618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C1618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C1618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C1618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C1618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C1618B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C1618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C1618B"/>
  </w:style>
  <w:style w:type="paragraph" w:styleId="ListParagraph">
    <w:name w:val="List Paragraph"/>
    <w:basedOn w:val="Normal"/>
    <w:uiPriority w:val="34"/>
    <w:qFormat/>
    <w:rsid w:val="002E5C0D"/>
    <w:pPr>
      <w:ind w:left="720"/>
      <w:contextualSpacing/>
    </w:pPr>
  </w:style>
  <w:style w:type="paragraph" w:styleId="Revision">
    <w:name w:val="Revision"/>
    <w:hidden/>
    <w:uiPriority w:val="99"/>
    <w:semiHidden/>
    <w:rsid w:val="0012587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2397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2023-12-17T10:29:00Z</cp:lastPrinted>
  <dcterms:created xsi:type="dcterms:W3CDTF">2023-12-20T00:06:00Z</dcterms:created>
  <dcterms:modified xsi:type="dcterms:W3CDTF">2023-12-20T00:06:00Z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11360160</vt:lpwstr>
  </property>
  <property fmtid="{D5CDD505-2E9C-101B-9397-08002B2CF9AE}" pid="4" name="JMSREQUIREDCHECKIN">
    <vt:lpwstr/>
  </property>
</Properties>
</file>