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8E722" w14:textId="77777777" w:rsidR="00324DC2" w:rsidRDefault="00324DC2" w:rsidP="00324DC2">
      <w:pPr>
        <w:spacing w:before="120"/>
        <w:rPr>
          <w:rFonts w:ascii="Arial" w:hAnsi="Arial" w:cs="Arial"/>
        </w:rPr>
      </w:pPr>
      <w:bookmarkStart w:id="0" w:name="_Toc44738651"/>
      <w:r>
        <w:rPr>
          <w:rFonts w:ascii="Arial" w:hAnsi="Arial" w:cs="Arial"/>
        </w:rPr>
        <w:t>Australian Capital Territory</w:t>
      </w:r>
    </w:p>
    <w:p w14:paraId="2887E24A" w14:textId="54B48416" w:rsidR="00324DC2" w:rsidRPr="002F1A2A" w:rsidRDefault="00324DC2" w:rsidP="00324DC2">
      <w:pPr>
        <w:pStyle w:val="Heading1"/>
      </w:pPr>
      <w:r>
        <w:t>City Renewal Authority and Suburban Land Agency</w:t>
      </w:r>
      <w:r w:rsidRPr="002F1A2A">
        <w:t xml:space="preserve"> (</w:t>
      </w:r>
      <w:r>
        <w:t xml:space="preserve">Authority </w:t>
      </w:r>
      <w:r w:rsidR="0079328C">
        <w:t xml:space="preserve">Board </w:t>
      </w:r>
      <w:r>
        <w:t>Member</w:t>
      </w:r>
      <w:r w:rsidRPr="002F1A2A">
        <w:t xml:space="preserve">) </w:t>
      </w:r>
      <w:r>
        <w:t>Appointment 20</w:t>
      </w:r>
      <w:r w:rsidR="00C876B8">
        <w:t>2</w:t>
      </w:r>
      <w:r w:rsidR="001D6D9B">
        <w:t>4</w:t>
      </w:r>
      <w:r w:rsidR="00073983">
        <w:t xml:space="preserve"> </w:t>
      </w:r>
      <w:r w:rsidR="00E111B4">
        <w:t xml:space="preserve">(No </w:t>
      </w:r>
      <w:r w:rsidR="00533A9B">
        <w:t>1</w:t>
      </w:r>
      <w:r w:rsidR="00E111B4">
        <w:t>)</w:t>
      </w:r>
    </w:p>
    <w:p w14:paraId="0000E9AF" w14:textId="046AB050" w:rsidR="00324DC2" w:rsidRPr="002F1A2A" w:rsidRDefault="00324DC2" w:rsidP="00153670">
      <w:pPr>
        <w:pStyle w:val="Heading2"/>
        <w:spacing w:before="340" w:after="0"/>
      </w:pPr>
      <w:r w:rsidRPr="002F1A2A">
        <w:t xml:space="preserve">Disallowable instrument </w:t>
      </w:r>
      <w:r w:rsidRPr="001B4337">
        <w:t>DI20</w:t>
      </w:r>
      <w:r w:rsidR="00C876B8" w:rsidRPr="001B4337">
        <w:t>2</w:t>
      </w:r>
      <w:r w:rsidR="001D6D9B">
        <w:t>4</w:t>
      </w:r>
      <w:r w:rsidR="0049579C">
        <w:t>-18</w:t>
      </w:r>
    </w:p>
    <w:p w14:paraId="3E1185E9" w14:textId="77777777" w:rsidR="00324DC2" w:rsidRDefault="00324DC2" w:rsidP="00153670">
      <w:pPr>
        <w:pStyle w:val="madeunder"/>
        <w:spacing w:before="300" w:after="0"/>
      </w:pPr>
      <w:r>
        <w:t xml:space="preserve">made under the  </w:t>
      </w:r>
    </w:p>
    <w:p w14:paraId="414B2359" w14:textId="130769E5" w:rsidR="00324DC2" w:rsidRPr="00136B89" w:rsidRDefault="00324DC2" w:rsidP="00153670">
      <w:pPr>
        <w:pStyle w:val="CoverActName"/>
        <w:spacing w:before="320" w:after="0"/>
        <w:jc w:val="left"/>
      </w:pPr>
      <w:r>
        <w:rPr>
          <w:rFonts w:cs="Arial"/>
          <w:sz w:val="20"/>
        </w:rPr>
        <w:t>City Renewal Authority and Suburban Land Agency Act 2017, s</w:t>
      </w:r>
      <w:r w:rsidR="004B6D30">
        <w:rPr>
          <w:rFonts w:cs="Arial"/>
          <w:sz w:val="20"/>
        </w:rPr>
        <w:t xml:space="preserve"> </w:t>
      </w:r>
      <w:r>
        <w:rPr>
          <w:rFonts w:cs="Arial"/>
          <w:sz w:val="20"/>
        </w:rPr>
        <w:t>15 (Establishment of governing board for authority)</w:t>
      </w:r>
    </w:p>
    <w:p w14:paraId="7A97DD94" w14:textId="77777777" w:rsidR="00324DC2" w:rsidRPr="002F1A2A" w:rsidRDefault="00324DC2" w:rsidP="00153670">
      <w:pPr>
        <w:pStyle w:val="Heading3"/>
        <w:ind w:right="567"/>
      </w:pPr>
      <w:r w:rsidRPr="002F1A2A">
        <w:t>EXPLANATORY STATEMENT</w:t>
      </w:r>
    </w:p>
    <w:p w14:paraId="2F1C6536" w14:textId="77777777" w:rsidR="00324DC2" w:rsidRDefault="00324DC2" w:rsidP="00324DC2">
      <w:pPr>
        <w:pStyle w:val="N-line3"/>
        <w:pBdr>
          <w:bottom w:val="none" w:sz="0" w:space="0" w:color="auto"/>
        </w:pBdr>
      </w:pPr>
    </w:p>
    <w:p w14:paraId="6F639890" w14:textId="77777777" w:rsidR="00324DC2" w:rsidRDefault="00324DC2" w:rsidP="00324DC2">
      <w:pPr>
        <w:pStyle w:val="N-line3"/>
        <w:pBdr>
          <w:top w:val="single" w:sz="12" w:space="1" w:color="auto"/>
          <w:bottom w:val="none" w:sz="0" w:space="0" w:color="auto"/>
        </w:pBdr>
      </w:pPr>
    </w:p>
    <w:bookmarkEnd w:id="0"/>
    <w:p w14:paraId="5AE0C53F" w14:textId="5D9B1D86" w:rsidR="00324DC2" w:rsidRDefault="00324DC2" w:rsidP="00324DC2">
      <w:r>
        <w:t xml:space="preserve">This explanatory statement relates to the </w:t>
      </w:r>
      <w:r>
        <w:rPr>
          <w:i/>
        </w:rPr>
        <w:t xml:space="preserve">City Renewal Authority and Suburban Land Agency (Authority </w:t>
      </w:r>
      <w:r w:rsidR="0079328C">
        <w:rPr>
          <w:i/>
        </w:rPr>
        <w:t xml:space="preserve">Board </w:t>
      </w:r>
      <w:r>
        <w:rPr>
          <w:i/>
        </w:rPr>
        <w:t>Member) Appointment 20</w:t>
      </w:r>
      <w:r w:rsidR="00C876B8">
        <w:rPr>
          <w:i/>
        </w:rPr>
        <w:t>2</w:t>
      </w:r>
      <w:r w:rsidR="001D6D9B">
        <w:rPr>
          <w:i/>
        </w:rPr>
        <w:t>4</w:t>
      </w:r>
      <w:r w:rsidR="00073983">
        <w:rPr>
          <w:i/>
        </w:rPr>
        <w:t xml:space="preserve"> (No </w:t>
      </w:r>
      <w:r w:rsidR="00533A9B">
        <w:rPr>
          <w:i/>
        </w:rPr>
        <w:t>1</w:t>
      </w:r>
      <w:r w:rsidR="00073983">
        <w:rPr>
          <w:i/>
        </w:rPr>
        <w:t>)</w:t>
      </w:r>
      <w:r>
        <w:rPr>
          <w:i/>
        </w:rPr>
        <w:t xml:space="preserve"> </w:t>
      </w:r>
      <w:r>
        <w:t>as made by the Chief Minister. It has been prepared in order to assist the reader of the instrument and to help inform debate on it. It does not form part of the instrument and has not been endorsed by the Legislative Assembly.</w:t>
      </w:r>
    </w:p>
    <w:p w14:paraId="7BFBE251" w14:textId="77777777" w:rsidR="00324DC2" w:rsidRDefault="00324DC2" w:rsidP="00324DC2"/>
    <w:p w14:paraId="092634DD" w14:textId="77777777" w:rsidR="00324DC2" w:rsidRDefault="00324DC2" w:rsidP="00324DC2">
      <w:pPr>
        <w:rPr>
          <w:b/>
        </w:rPr>
      </w:pPr>
      <w:r>
        <w:rPr>
          <w:b/>
        </w:rPr>
        <w:t>Overview</w:t>
      </w:r>
    </w:p>
    <w:p w14:paraId="7A5127D1" w14:textId="2C53C65C" w:rsidR="00324DC2" w:rsidRDefault="00324DC2" w:rsidP="00324DC2">
      <w:r>
        <w:t xml:space="preserve">Section 7 of the </w:t>
      </w:r>
      <w:r>
        <w:rPr>
          <w:i/>
        </w:rPr>
        <w:t>City Renewal Authority and Suburban Land Agency Act 2017</w:t>
      </w:r>
      <w:r>
        <w:t xml:space="preserve"> (the </w:t>
      </w:r>
      <w:r w:rsidRPr="0079328C">
        <w:rPr>
          <w:b/>
          <w:bCs/>
          <w:i/>
          <w:iCs/>
        </w:rPr>
        <w:t>Act</w:t>
      </w:r>
      <w:r>
        <w:t>) establishes the City Renewal Authority (</w:t>
      </w:r>
      <w:r w:rsidR="0079328C">
        <w:t xml:space="preserve">the </w:t>
      </w:r>
      <w:r w:rsidR="0079328C">
        <w:rPr>
          <w:b/>
          <w:bCs/>
          <w:i/>
          <w:iCs/>
        </w:rPr>
        <w:t>a</w:t>
      </w:r>
      <w:r w:rsidR="00C020A4" w:rsidRPr="0079328C">
        <w:rPr>
          <w:b/>
          <w:bCs/>
          <w:i/>
          <w:iCs/>
        </w:rPr>
        <w:t>uthority</w:t>
      </w:r>
      <w:r>
        <w:t xml:space="preserve">). Section 15 of the Act establishes </w:t>
      </w:r>
      <w:r w:rsidR="00F64C12">
        <w:t xml:space="preserve">the </w:t>
      </w:r>
      <w:r>
        <w:t xml:space="preserve">governing board for the </w:t>
      </w:r>
      <w:r w:rsidR="0079328C">
        <w:t>a</w:t>
      </w:r>
      <w:r w:rsidR="00C020A4">
        <w:t>uthority</w:t>
      </w:r>
      <w:r>
        <w:t xml:space="preserve">. For the purposes of the </w:t>
      </w:r>
      <w:r>
        <w:rPr>
          <w:i/>
        </w:rPr>
        <w:t>Financial Management Act 1996</w:t>
      </w:r>
      <w:r>
        <w:t xml:space="preserve"> (</w:t>
      </w:r>
      <w:r w:rsidR="0079328C">
        <w:t xml:space="preserve">the </w:t>
      </w:r>
      <w:r w:rsidRPr="0079328C">
        <w:rPr>
          <w:b/>
          <w:bCs/>
          <w:i/>
          <w:iCs/>
        </w:rPr>
        <w:t>FMA</w:t>
      </w:r>
      <w:r>
        <w:t xml:space="preserve">) the </w:t>
      </w:r>
      <w:r w:rsidR="0079328C">
        <w:t>a</w:t>
      </w:r>
      <w:r w:rsidR="00C020A4">
        <w:t>uthority</w:t>
      </w:r>
      <w:r>
        <w:t xml:space="preserve"> is a territory authority, and therefore </w:t>
      </w:r>
      <w:r w:rsidR="0079328C">
        <w:t>p</w:t>
      </w:r>
      <w:r>
        <w:t>arts 8 and 9 of that Act apply. Section 78</w:t>
      </w:r>
      <w:r w:rsidR="0079328C">
        <w:t xml:space="preserve"> </w:t>
      </w:r>
      <w:r>
        <w:t>(7)</w:t>
      </w:r>
      <w:r w:rsidR="0079328C">
        <w:t xml:space="preserve"> </w:t>
      </w:r>
      <w:r>
        <w:t>(b) of the FMA provides that an appointment of a member to a governing board of a territory authority is an appointment under the provision of the establishing Act that establishes the governing board. In this case, s</w:t>
      </w:r>
      <w:r w:rsidR="0079328C">
        <w:t xml:space="preserve">ection </w:t>
      </w:r>
      <w:r>
        <w:t>15 of the Act is the relevant provision of the establishing Act.</w:t>
      </w:r>
    </w:p>
    <w:p w14:paraId="167163CE" w14:textId="77777777" w:rsidR="00324DC2" w:rsidRDefault="00324DC2" w:rsidP="00324DC2"/>
    <w:p w14:paraId="170E9873" w14:textId="4247C586" w:rsidR="00324DC2" w:rsidRDefault="00324DC2" w:rsidP="00324DC2">
      <w:r>
        <w:t xml:space="preserve">Section 78 of the FMA provides for the appointment of authority boards generally. The Minister with responsibility for a territory authority may appoint members of the </w:t>
      </w:r>
      <w:r w:rsidR="004765EE">
        <w:t xml:space="preserve">governing board of the </w:t>
      </w:r>
      <w:r>
        <w:t>authority. The Minister must apply the criteria in s</w:t>
      </w:r>
      <w:r w:rsidR="0079328C">
        <w:t xml:space="preserve">ection </w:t>
      </w:r>
      <w:r>
        <w:t>78 of the FMA and must, as far as practicable, ensure that each discipline and area of expertise mentioned in s</w:t>
      </w:r>
      <w:r w:rsidR="0079328C">
        <w:t xml:space="preserve">ection </w:t>
      </w:r>
      <w:r>
        <w:t>21</w:t>
      </w:r>
      <w:r w:rsidR="0079328C">
        <w:t xml:space="preserve"> </w:t>
      </w:r>
      <w:r>
        <w:t>(2) of the Act is represented among the appointed members. A member must have knowledge of and experience in at least one of the disciplines and areas of expertise prescribed in s</w:t>
      </w:r>
      <w:r w:rsidR="0079328C">
        <w:t xml:space="preserve">ection </w:t>
      </w:r>
      <w:r>
        <w:t>21</w:t>
      </w:r>
      <w:r w:rsidR="0079328C">
        <w:t xml:space="preserve"> </w:t>
      </w:r>
      <w:r>
        <w:t>(2) of the Act.</w:t>
      </w:r>
    </w:p>
    <w:p w14:paraId="01E47FDC" w14:textId="77777777" w:rsidR="00EC226A" w:rsidRDefault="00EC226A" w:rsidP="00324DC2"/>
    <w:p w14:paraId="31233206" w14:textId="1B0C4D20" w:rsidR="00EC226A" w:rsidRPr="00EC226A" w:rsidRDefault="00EC226A" w:rsidP="00324DC2">
      <w:pPr>
        <w:rPr>
          <w:iCs/>
        </w:rPr>
      </w:pPr>
      <w:r>
        <w:t xml:space="preserve">In addition, section 21 (5) of the Act provides that a regulation may prescribe other criteria </w:t>
      </w:r>
      <w:r w:rsidR="00A0072E">
        <w:t>for</w:t>
      </w:r>
      <w:r>
        <w:t xml:space="preserve"> the appointment of a person as an expert member. Section 3 of the </w:t>
      </w:r>
      <w:r w:rsidRPr="00EC226A">
        <w:rPr>
          <w:i/>
        </w:rPr>
        <w:t>City Renewal Authority and Suburban Land Agency Regulation 2017</w:t>
      </w:r>
      <w:r>
        <w:rPr>
          <w:iCs/>
        </w:rPr>
        <w:t xml:space="preserve"> prescribes a criterion for the appointment of one expert member is a nomination of the person by the </w:t>
      </w:r>
      <w:r>
        <w:rPr>
          <w:iCs/>
        </w:rPr>
        <w:lastRenderedPageBreak/>
        <w:t xml:space="preserve">Minister responsible for the National Capital Authority (NCA). On </w:t>
      </w:r>
      <w:r w:rsidR="00A0072E">
        <w:rPr>
          <w:iCs/>
        </w:rPr>
        <w:t xml:space="preserve">8 December 2023, the Hon Kristy McBain MP, Minister for Regional Development, Local Government and Territories nominated Mr </w:t>
      </w:r>
      <w:r w:rsidR="00A0072E">
        <w:t xml:space="preserve">James Willson as a member for the </w:t>
      </w:r>
      <w:r w:rsidR="00790E13">
        <w:t xml:space="preserve">authority </w:t>
      </w:r>
      <w:r w:rsidR="00A0072E">
        <w:t>board.</w:t>
      </w:r>
    </w:p>
    <w:p w14:paraId="25FB399D" w14:textId="77777777" w:rsidR="00324DC2" w:rsidRDefault="00324DC2" w:rsidP="00324DC2"/>
    <w:p w14:paraId="526FDB26" w14:textId="01A68A8B" w:rsidR="004765EE" w:rsidRPr="004765EE" w:rsidRDefault="004765EE" w:rsidP="004765EE">
      <w:pPr>
        <w:keepNext/>
        <w:rPr>
          <w:b/>
          <w:bCs/>
        </w:rPr>
      </w:pPr>
      <w:r w:rsidRPr="004765EE">
        <w:rPr>
          <w:b/>
          <w:bCs/>
        </w:rPr>
        <w:t>Appointment</w:t>
      </w:r>
    </w:p>
    <w:p w14:paraId="59DA86FC" w14:textId="7971EF02" w:rsidR="00A0072E" w:rsidRDefault="00324DC2" w:rsidP="00324DC2">
      <w:r>
        <w:t xml:space="preserve">This instrument appoints </w:t>
      </w:r>
      <w:r w:rsidR="00055070">
        <w:t>M</w:t>
      </w:r>
      <w:r w:rsidR="001D6D9B">
        <w:t>r</w:t>
      </w:r>
      <w:r w:rsidR="00A53DD7">
        <w:t xml:space="preserve"> </w:t>
      </w:r>
      <w:r w:rsidR="001D6D9B">
        <w:t>Willson</w:t>
      </w:r>
      <w:r>
        <w:t xml:space="preserve"> as a</w:t>
      </w:r>
      <w:r w:rsidR="00730500">
        <w:t>n expert</w:t>
      </w:r>
      <w:r>
        <w:t xml:space="preserve"> member of the </w:t>
      </w:r>
      <w:r w:rsidR="004857A2">
        <w:t xml:space="preserve">authority </w:t>
      </w:r>
      <w:r w:rsidR="0079328C">
        <w:t>board</w:t>
      </w:r>
      <w:r>
        <w:t xml:space="preserve"> for </w:t>
      </w:r>
      <w:r w:rsidR="00C876B8">
        <w:t xml:space="preserve">the </w:t>
      </w:r>
      <w:r>
        <w:t xml:space="preserve">period </w:t>
      </w:r>
      <w:r w:rsidR="009D42FE">
        <w:t>8</w:t>
      </w:r>
      <w:r w:rsidR="00A53DD7">
        <w:t xml:space="preserve"> </w:t>
      </w:r>
      <w:r w:rsidR="009D42FE">
        <w:t>February 2024</w:t>
      </w:r>
      <w:r w:rsidR="00C876B8">
        <w:t xml:space="preserve"> to </w:t>
      </w:r>
      <w:r w:rsidR="009D42FE">
        <w:t>7</w:t>
      </w:r>
      <w:r w:rsidR="00A53DD7">
        <w:t xml:space="preserve"> </w:t>
      </w:r>
      <w:r w:rsidR="009D42FE">
        <w:t>February 2027</w:t>
      </w:r>
      <w:r>
        <w:t xml:space="preserve">. </w:t>
      </w:r>
      <w:r w:rsidR="00A0072E">
        <w:t>Mr Willson has 22 years of experience running businesses, is the Managing Director and agency founder of CRE8IVE, and is a long-tern Canberra entrepreneur who is committed to the Canberra region.</w:t>
      </w:r>
    </w:p>
    <w:p w14:paraId="5F58B814" w14:textId="77777777" w:rsidR="00A0072E" w:rsidRDefault="00A0072E" w:rsidP="00324DC2"/>
    <w:p w14:paraId="137D6C48" w14:textId="3A062E6B" w:rsidR="00E45525" w:rsidRDefault="009D42FE" w:rsidP="00324DC2">
      <w:pPr>
        <w:rPr>
          <w:rFonts w:cs="Calibri"/>
          <w:szCs w:val="24"/>
          <w:lang w:val="en-GB"/>
        </w:rPr>
      </w:pPr>
      <w:r>
        <w:t>Mr Willson</w:t>
      </w:r>
      <w:r w:rsidR="00A0072E">
        <w:t xml:space="preserve"> is a current member of the NCA Board, </w:t>
      </w:r>
      <w:r w:rsidR="00E45525">
        <w:t xml:space="preserve">as well as the boards of CIT Solutions, the </w:t>
      </w:r>
      <w:r w:rsidR="004857A2">
        <w:t>Canberra</w:t>
      </w:r>
      <w:r w:rsidR="00E45525">
        <w:t xml:space="preserve"> Grammer School and RSPCA ACT. Ms Willson</w:t>
      </w:r>
      <w:r w:rsidR="00A0072E">
        <w:rPr>
          <w:rFonts w:cs="Calibri"/>
          <w:szCs w:val="24"/>
          <w:lang w:val="en-GB"/>
        </w:rPr>
        <w:t xml:space="preserve">’s </w:t>
      </w:r>
      <w:r w:rsidR="00E45525">
        <w:rPr>
          <w:rFonts w:cs="Calibri"/>
          <w:szCs w:val="24"/>
          <w:lang w:val="en-GB"/>
        </w:rPr>
        <w:t xml:space="preserve">previous board positions </w:t>
      </w:r>
      <w:r w:rsidR="004857A2">
        <w:rPr>
          <w:rFonts w:cs="Calibri"/>
          <w:szCs w:val="24"/>
          <w:lang w:val="en-GB"/>
        </w:rPr>
        <w:t>include</w:t>
      </w:r>
      <w:r w:rsidR="00E45525">
        <w:rPr>
          <w:rFonts w:cs="Calibri"/>
          <w:szCs w:val="24"/>
          <w:lang w:val="en-GB"/>
        </w:rPr>
        <w:t xml:space="preserve"> Regional Development Australia ACT, the Australian Foundation for Mental Health Research, Canberra Business Chamber and the Canberra Hospital Foundation.</w:t>
      </w:r>
    </w:p>
    <w:p w14:paraId="6D793F18" w14:textId="77777777" w:rsidR="00E45525" w:rsidRDefault="00E45525" w:rsidP="00324DC2">
      <w:pPr>
        <w:rPr>
          <w:rFonts w:cs="Calibri"/>
          <w:szCs w:val="24"/>
          <w:lang w:val="en-GB"/>
        </w:rPr>
      </w:pPr>
    </w:p>
    <w:p w14:paraId="7822FDB6" w14:textId="1B38EFC5" w:rsidR="00E45525" w:rsidRDefault="00E45525" w:rsidP="00E45525">
      <w:r>
        <w:t xml:space="preserve">Considered against the terms of the Act, </w:t>
      </w:r>
      <w:r w:rsidRPr="00E45525">
        <w:t xml:space="preserve">Mr Willson’s </w:t>
      </w:r>
      <w:r>
        <w:t>knowledge and experience</w:t>
      </w:r>
      <w:r w:rsidRPr="00E45525">
        <w:t xml:space="preserve"> in marketing, digital</w:t>
      </w:r>
      <w:r w:rsidR="00D26E4E">
        <w:t xml:space="preserve"> </w:t>
      </w:r>
      <w:r w:rsidRPr="00E45525">
        <w:t xml:space="preserve">video, advertising, and audio, will enable him to contribute to the board </w:t>
      </w:r>
      <w:r>
        <w:t>across the following disciplines:</w:t>
      </w:r>
      <w:r w:rsidRPr="00E45525">
        <w:t xml:space="preserve"> </w:t>
      </w:r>
    </w:p>
    <w:p w14:paraId="02AF417D" w14:textId="77777777" w:rsidR="00E45525" w:rsidRPr="00E45525" w:rsidRDefault="00E45525" w:rsidP="00E45525">
      <w:pPr>
        <w:pStyle w:val="ListParagraph"/>
        <w:numPr>
          <w:ilvl w:val="0"/>
          <w:numId w:val="1"/>
        </w:numPr>
        <w:rPr>
          <w:rFonts w:ascii="Times New Roman" w:hAnsi="Times New Roman"/>
          <w:sz w:val="24"/>
          <w:szCs w:val="24"/>
        </w:rPr>
      </w:pPr>
      <w:r w:rsidRPr="00E45525">
        <w:rPr>
          <w:rFonts w:ascii="Times New Roman" w:hAnsi="Times New Roman"/>
          <w:sz w:val="24"/>
          <w:szCs w:val="24"/>
        </w:rPr>
        <w:t>urban renewal;</w:t>
      </w:r>
    </w:p>
    <w:p w14:paraId="5FED5FEE" w14:textId="77777777" w:rsidR="00E45525" w:rsidRPr="00E45525" w:rsidRDefault="00E45525" w:rsidP="00E45525">
      <w:pPr>
        <w:pStyle w:val="ListParagraph"/>
        <w:numPr>
          <w:ilvl w:val="0"/>
          <w:numId w:val="1"/>
        </w:numPr>
        <w:rPr>
          <w:rFonts w:ascii="Times New Roman" w:hAnsi="Times New Roman"/>
          <w:sz w:val="24"/>
          <w:szCs w:val="24"/>
        </w:rPr>
      </w:pPr>
      <w:r w:rsidRPr="00E45525">
        <w:rPr>
          <w:rFonts w:ascii="Times New Roman" w:hAnsi="Times New Roman"/>
          <w:sz w:val="24"/>
          <w:szCs w:val="24"/>
        </w:rPr>
        <w:t>urban design;</w:t>
      </w:r>
    </w:p>
    <w:p w14:paraId="0431F648" w14:textId="7FF6E49C" w:rsidR="00E45525" w:rsidRPr="00E45525" w:rsidRDefault="00E45525" w:rsidP="00E45525">
      <w:pPr>
        <w:pStyle w:val="ListParagraph"/>
        <w:numPr>
          <w:ilvl w:val="0"/>
          <w:numId w:val="1"/>
        </w:numPr>
        <w:rPr>
          <w:rFonts w:ascii="Times New Roman" w:hAnsi="Times New Roman"/>
          <w:sz w:val="24"/>
          <w:szCs w:val="24"/>
        </w:rPr>
      </w:pPr>
      <w:r w:rsidRPr="00E45525">
        <w:rPr>
          <w:rFonts w:ascii="Times New Roman" w:hAnsi="Times New Roman"/>
          <w:sz w:val="24"/>
          <w:szCs w:val="24"/>
        </w:rPr>
        <w:t>financing major development; and</w:t>
      </w:r>
    </w:p>
    <w:p w14:paraId="775D9FCD" w14:textId="71E52CDC" w:rsidR="00E45525" w:rsidRPr="00E45525" w:rsidRDefault="00E45525" w:rsidP="00E45525">
      <w:pPr>
        <w:pStyle w:val="ListParagraph"/>
        <w:numPr>
          <w:ilvl w:val="0"/>
          <w:numId w:val="1"/>
        </w:numPr>
        <w:rPr>
          <w:rFonts w:ascii="Times New Roman" w:hAnsi="Times New Roman"/>
          <w:sz w:val="24"/>
          <w:szCs w:val="24"/>
        </w:rPr>
      </w:pPr>
      <w:r w:rsidRPr="00E45525">
        <w:rPr>
          <w:rFonts w:ascii="Times New Roman" w:hAnsi="Times New Roman"/>
          <w:sz w:val="24"/>
          <w:szCs w:val="24"/>
        </w:rPr>
        <w:t>affordable/community/public housing.</w:t>
      </w:r>
    </w:p>
    <w:p w14:paraId="2BE3B31F" w14:textId="77777777" w:rsidR="00E22990" w:rsidRDefault="00E22990" w:rsidP="00324DC2">
      <w:pPr>
        <w:rPr>
          <w:rFonts w:cs="Arial"/>
          <w:szCs w:val="24"/>
        </w:rPr>
      </w:pPr>
    </w:p>
    <w:p w14:paraId="7D38D479" w14:textId="72532A76" w:rsidR="00C62D8B" w:rsidRDefault="00C62D8B" w:rsidP="00C62D8B">
      <w:bookmarkStart w:id="1" w:name="_Hlk99633638"/>
      <w:r>
        <w:t xml:space="preserve">Section 21 (4) of the Act provides that a member of the board must not be a public servant. </w:t>
      </w:r>
      <w:r w:rsidR="00E45525">
        <w:t>Mr Willson</w:t>
      </w:r>
      <w:r w:rsidR="00A53DD7">
        <w:t xml:space="preserve"> </w:t>
      </w:r>
      <w:r>
        <w:t>is not a public servant.</w:t>
      </w:r>
    </w:p>
    <w:bookmarkEnd w:id="1"/>
    <w:p w14:paraId="73E0C64B" w14:textId="77777777" w:rsidR="0079328C" w:rsidRDefault="0079328C" w:rsidP="001E0AA7"/>
    <w:p w14:paraId="431F6342" w14:textId="68CE7648" w:rsidR="004765EE" w:rsidRPr="004765EE" w:rsidRDefault="004765EE" w:rsidP="001E0AA7">
      <w:pPr>
        <w:rPr>
          <w:b/>
          <w:bCs/>
        </w:rPr>
      </w:pPr>
      <w:r w:rsidRPr="004765EE">
        <w:rPr>
          <w:b/>
          <w:bCs/>
        </w:rPr>
        <w:t>Consultation</w:t>
      </w:r>
    </w:p>
    <w:p w14:paraId="2F296AC5" w14:textId="7B90DF29" w:rsidR="001E0AA7" w:rsidRDefault="001E0AA7" w:rsidP="001E0AA7">
      <w:r>
        <w:t xml:space="preserve">Division 19.3.3 of the </w:t>
      </w:r>
      <w:r>
        <w:rPr>
          <w:i/>
        </w:rPr>
        <w:t xml:space="preserve">Legislation Act </w:t>
      </w:r>
      <w:r w:rsidRPr="00DD6956">
        <w:rPr>
          <w:i/>
        </w:rPr>
        <w:t>2001</w:t>
      </w:r>
      <w:r>
        <w:t xml:space="preserve"> </w:t>
      </w:r>
      <w:r w:rsidR="00533A9B">
        <w:t xml:space="preserve">(the </w:t>
      </w:r>
      <w:r w:rsidR="00533A9B" w:rsidRPr="00D26E4E">
        <w:rPr>
          <w:b/>
          <w:bCs/>
          <w:i/>
          <w:iCs/>
        </w:rPr>
        <w:t>Legislation Act</w:t>
      </w:r>
      <w:r w:rsidR="00533A9B">
        <w:t xml:space="preserve">) </w:t>
      </w:r>
      <w:r>
        <w:t xml:space="preserve">applies as </w:t>
      </w:r>
      <w:r w:rsidR="00E45525">
        <w:t>Mr Willson</w:t>
      </w:r>
      <w:r w:rsidR="00C62D8B">
        <w:t xml:space="preserve"> </w:t>
      </w:r>
      <w:r>
        <w:t xml:space="preserve">is not a public servant, </w:t>
      </w:r>
      <w:bookmarkStart w:id="2" w:name="_Hlk118723923"/>
      <w:r>
        <w:t>is appointed for longer than 6 months</w:t>
      </w:r>
      <w:r w:rsidR="00C62D8B">
        <w:t>,</w:t>
      </w:r>
      <w:bookmarkEnd w:id="2"/>
      <w:r w:rsidR="00C62D8B">
        <w:t xml:space="preserve"> </w:t>
      </w:r>
      <w:r>
        <w:t>and will have functions beyond advising the Minister. In accordance with s</w:t>
      </w:r>
      <w:r w:rsidR="0079328C">
        <w:t xml:space="preserve">ection </w:t>
      </w:r>
      <w:r>
        <w:t xml:space="preserve">228 of the Legislation </w:t>
      </w:r>
      <w:r w:rsidRPr="00EE51C0">
        <w:t xml:space="preserve">Act, </w:t>
      </w:r>
      <w:r>
        <w:t xml:space="preserve">the Standing Committee on </w:t>
      </w:r>
      <w:r w:rsidR="00C876B8" w:rsidRPr="00C876B8">
        <w:t xml:space="preserve">Planning, Transport and City Services </w:t>
      </w:r>
      <w:r>
        <w:t>has been consulted</w:t>
      </w:r>
      <w:r w:rsidR="00C020A4">
        <w:t xml:space="preserve"> and noted the appointment</w:t>
      </w:r>
      <w:r w:rsidRPr="00EE51C0">
        <w:t>. The appointment is a disallowable instrument by operation of s</w:t>
      </w:r>
      <w:r w:rsidR="0079328C">
        <w:t xml:space="preserve">ection </w:t>
      </w:r>
      <w:r w:rsidRPr="00EE51C0">
        <w:t>229 of the Legislation Act</w:t>
      </w:r>
      <w:r w:rsidRPr="002745DB">
        <w:t>.</w:t>
      </w:r>
    </w:p>
    <w:p w14:paraId="62F1D6D7" w14:textId="77777777" w:rsidR="00324DC2" w:rsidRDefault="00324DC2" w:rsidP="00324DC2"/>
    <w:p w14:paraId="36BAFF3B" w14:textId="7EF070F7" w:rsidR="004765EE" w:rsidRPr="004765EE" w:rsidRDefault="004765EE" w:rsidP="00324DC2">
      <w:pPr>
        <w:rPr>
          <w:b/>
          <w:bCs/>
        </w:rPr>
      </w:pPr>
      <w:r w:rsidRPr="004765EE">
        <w:rPr>
          <w:b/>
          <w:bCs/>
        </w:rPr>
        <w:t>Regulatory impact statement</w:t>
      </w:r>
    </w:p>
    <w:p w14:paraId="07D4FB36" w14:textId="3EDE51F3" w:rsidR="0079328C" w:rsidRDefault="00324DC2" w:rsidP="00324DC2">
      <w:r w:rsidRPr="0081787C">
        <w:t>The instrument is not likely to impose appreciable costs on the community, or part of</w:t>
      </w:r>
      <w:r>
        <w:t xml:space="preserve"> </w:t>
      </w:r>
      <w:r w:rsidRPr="0081787C">
        <w:t>the community and therefore a regulatory impact statement (</w:t>
      </w:r>
      <w:r w:rsidR="0079328C">
        <w:t xml:space="preserve">a </w:t>
      </w:r>
      <w:r w:rsidRPr="0079328C">
        <w:rPr>
          <w:b/>
          <w:bCs/>
          <w:i/>
          <w:iCs/>
        </w:rPr>
        <w:t>RIS</w:t>
      </w:r>
      <w:r w:rsidRPr="0081787C">
        <w:t>) is not required</w:t>
      </w:r>
      <w:r>
        <w:t xml:space="preserve"> </w:t>
      </w:r>
      <w:r w:rsidRPr="0081787C">
        <w:t>(Legislation Act, s</w:t>
      </w:r>
      <w:r w:rsidR="0079328C">
        <w:t xml:space="preserve">ection </w:t>
      </w:r>
      <w:r w:rsidRPr="0081787C">
        <w:t>34). Further, a RIS is unnecessary, in accordance with the</w:t>
      </w:r>
      <w:r>
        <w:t xml:space="preserve"> </w:t>
      </w:r>
      <w:r w:rsidRPr="0081787C">
        <w:t>Legislation Act</w:t>
      </w:r>
      <w:r w:rsidR="0079328C">
        <w:t xml:space="preserve">, </w:t>
      </w:r>
      <w:r w:rsidRPr="0081787C">
        <w:t>s</w:t>
      </w:r>
      <w:r w:rsidR="0079328C">
        <w:t xml:space="preserve">ection </w:t>
      </w:r>
      <w:r w:rsidRPr="0081787C">
        <w:t>36</w:t>
      </w:r>
      <w:r w:rsidR="0079328C">
        <w:t xml:space="preserve"> </w:t>
      </w:r>
      <w:r w:rsidRPr="0081787C">
        <w:t>(1)</w:t>
      </w:r>
      <w:r w:rsidR="0079328C">
        <w:t xml:space="preserve"> </w:t>
      </w:r>
      <w:r w:rsidRPr="0081787C">
        <w:t>(b), as the disallowable instrument does not operate to the</w:t>
      </w:r>
      <w:r>
        <w:t xml:space="preserve"> </w:t>
      </w:r>
      <w:r w:rsidRPr="0081787C">
        <w:t>disadvantage of anyone by adversely affecting the person’s rights, or imposing</w:t>
      </w:r>
      <w:r>
        <w:t xml:space="preserve"> </w:t>
      </w:r>
      <w:r w:rsidRPr="0081787C">
        <w:t>liabilities on the person.</w:t>
      </w:r>
    </w:p>
    <w:p w14:paraId="316A8F54" w14:textId="77777777" w:rsidR="0079328C" w:rsidRDefault="0079328C" w:rsidP="00324DC2"/>
    <w:p w14:paraId="73601A23" w14:textId="13F92BE3" w:rsidR="004765EE" w:rsidRPr="004765EE" w:rsidRDefault="004765EE" w:rsidP="004765EE">
      <w:pPr>
        <w:keepNext/>
        <w:rPr>
          <w:b/>
          <w:bCs/>
        </w:rPr>
      </w:pPr>
      <w:r w:rsidRPr="004765EE">
        <w:rPr>
          <w:b/>
          <w:bCs/>
        </w:rPr>
        <w:t>Remuneration</w:t>
      </w:r>
    </w:p>
    <w:p w14:paraId="10F7FCF3" w14:textId="6AF790B3" w:rsidR="00324DC2" w:rsidRDefault="00533A9B" w:rsidP="00324DC2">
      <w:bookmarkStart w:id="3" w:name="_Hlk128038762"/>
      <w:r>
        <w:t>Remuneration for the board is set by the ACT Remuneration Tribunal under Determination 1</w:t>
      </w:r>
      <w:r w:rsidR="004857A2">
        <w:t>8</w:t>
      </w:r>
      <w:r>
        <w:t xml:space="preserve"> of 202</w:t>
      </w:r>
      <w:r w:rsidR="004857A2">
        <w:t>3</w:t>
      </w:r>
      <w:r>
        <w:t xml:space="preserve"> (Part-time Public Office Holders) and is met by the authority’s budget.</w:t>
      </w:r>
      <w:bookmarkEnd w:id="3"/>
    </w:p>
    <w:p w14:paraId="61DA11AB" w14:textId="77777777" w:rsidR="001B4337" w:rsidRDefault="001B4337" w:rsidP="00324DC2"/>
    <w:p w14:paraId="7A68F2FE" w14:textId="6B9173B3" w:rsidR="004765EE" w:rsidRDefault="004765EE" w:rsidP="009A7561">
      <w:pPr>
        <w:autoSpaceDE w:val="0"/>
        <w:autoSpaceDN w:val="0"/>
        <w:adjustRightInd w:val="0"/>
      </w:pPr>
      <w:r w:rsidRPr="004765EE">
        <w:rPr>
          <w:b/>
          <w:bCs/>
        </w:rPr>
        <w:lastRenderedPageBreak/>
        <w:t>Scrutiny Committee Terms of Reference</w:t>
      </w:r>
    </w:p>
    <w:p w14:paraId="552F287A" w14:textId="77777777" w:rsidR="00324DC2" w:rsidRDefault="00324DC2" w:rsidP="00324DC2">
      <w:r w:rsidRPr="0081787C">
        <w:t>The instrument is consistent with the Legislative Assembly’s Scrutiny of Bills</w:t>
      </w:r>
      <w:r>
        <w:t xml:space="preserve"> </w:t>
      </w:r>
      <w:r w:rsidRPr="0081787C">
        <w:t>Committee Terms of Reference. In particular, the instrument:</w:t>
      </w:r>
    </w:p>
    <w:p w14:paraId="0D30B5A0" w14:textId="7FCE101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Is made under a ministerial power found in the Act</w:t>
      </w:r>
      <w:r w:rsidR="0079328C">
        <w:rPr>
          <w:rFonts w:ascii="Times New Roman" w:hAnsi="Times New Roman"/>
          <w:sz w:val="24"/>
          <w:szCs w:val="20"/>
        </w:rPr>
        <w:t xml:space="preserve"> (s</w:t>
      </w:r>
      <w:r w:rsidRPr="0070019A">
        <w:rPr>
          <w:rFonts w:ascii="Times New Roman" w:hAnsi="Times New Roman"/>
          <w:sz w:val="24"/>
          <w:szCs w:val="20"/>
        </w:rPr>
        <w:t>ee s</w:t>
      </w:r>
      <w:r w:rsidR="0079328C">
        <w:rPr>
          <w:rFonts w:ascii="Times New Roman" w:hAnsi="Times New Roman"/>
          <w:sz w:val="24"/>
          <w:szCs w:val="20"/>
        </w:rPr>
        <w:t xml:space="preserve">ection </w:t>
      </w:r>
      <w:r w:rsidRPr="0070019A">
        <w:rPr>
          <w:rFonts w:ascii="Times New Roman" w:hAnsi="Times New Roman"/>
          <w:sz w:val="24"/>
          <w:szCs w:val="20"/>
        </w:rPr>
        <w:t>15 of the Act and s</w:t>
      </w:r>
      <w:r w:rsidR="0079328C">
        <w:rPr>
          <w:rFonts w:ascii="Times New Roman" w:hAnsi="Times New Roman"/>
          <w:sz w:val="24"/>
          <w:szCs w:val="20"/>
        </w:rPr>
        <w:t>ection</w:t>
      </w:r>
      <w:r w:rsidRPr="0070019A">
        <w:rPr>
          <w:rFonts w:ascii="Times New Roman" w:hAnsi="Times New Roman"/>
          <w:sz w:val="24"/>
          <w:szCs w:val="20"/>
        </w:rPr>
        <w:t xml:space="preserve"> 78</w:t>
      </w:r>
      <w:r w:rsidR="00F64C12">
        <w:rPr>
          <w:rFonts w:ascii="Times New Roman" w:hAnsi="Times New Roman"/>
          <w:sz w:val="24"/>
          <w:szCs w:val="20"/>
        </w:rPr>
        <w:t xml:space="preserve"> </w:t>
      </w:r>
      <w:r w:rsidRPr="0070019A">
        <w:rPr>
          <w:rFonts w:ascii="Times New Roman" w:hAnsi="Times New Roman"/>
          <w:sz w:val="24"/>
          <w:szCs w:val="20"/>
        </w:rPr>
        <w:t>of the FMA</w:t>
      </w:r>
      <w:r w:rsidR="00D26E4E">
        <w:rPr>
          <w:rFonts w:ascii="Times New Roman" w:hAnsi="Times New Roman"/>
          <w:sz w:val="24"/>
          <w:szCs w:val="20"/>
        </w:rPr>
        <w:t>)</w:t>
      </w:r>
      <w:r w:rsidRPr="0070019A">
        <w:rPr>
          <w:rFonts w:ascii="Times New Roman" w:hAnsi="Times New Roman"/>
          <w:sz w:val="24"/>
          <w:szCs w:val="20"/>
        </w:rPr>
        <w:t>.</w:t>
      </w:r>
    </w:p>
    <w:p w14:paraId="20B484C8" w14:textId="31E578CE" w:rsidR="00324DC2" w:rsidRPr="00CA3390" w:rsidRDefault="00324DC2" w:rsidP="00324DC2">
      <w:pPr>
        <w:pStyle w:val="ListParagraph"/>
        <w:numPr>
          <w:ilvl w:val="0"/>
          <w:numId w:val="2"/>
        </w:numPr>
        <w:spacing w:after="0" w:line="240" w:lineRule="auto"/>
        <w:rPr>
          <w:rFonts w:ascii="Times New Roman" w:hAnsi="Times New Roman"/>
          <w:sz w:val="24"/>
          <w:szCs w:val="20"/>
        </w:rPr>
      </w:pPr>
      <w:r w:rsidRPr="0070019A">
        <w:rPr>
          <w:rFonts w:ascii="Times New Roman" w:hAnsi="Times New Roman"/>
          <w:sz w:val="24"/>
          <w:szCs w:val="20"/>
        </w:rPr>
        <w:t xml:space="preserve">Is in accordance with the general objects of the Act under which it is made. The appointment of a </w:t>
      </w:r>
      <w:r w:rsidR="00F64C12">
        <w:rPr>
          <w:rFonts w:ascii="Times New Roman" w:hAnsi="Times New Roman"/>
          <w:sz w:val="24"/>
          <w:szCs w:val="20"/>
        </w:rPr>
        <w:t>member</w:t>
      </w:r>
      <w:r w:rsidRPr="0070019A">
        <w:rPr>
          <w:rFonts w:ascii="Times New Roman" w:hAnsi="Times New Roman"/>
          <w:sz w:val="24"/>
          <w:szCs w:val="20"/>
        </w:rPr>
        <w:t xml:space="preserve"> to the </w:t>
      </w:r>
      <w:r w:rsidR="0079328C">
        <w:rPr>
          <w:rFonts w:ascii="Times New Roman" w:hAnsi="Times New Roman"/>
          <w:sz w:val="24"/>
          <w:szCs w:val="20"/>
        </w:rPr>
        <w:t>b</w:t>
      </w:r>
      <w:r w:rsidRPr="0070019A">
        <w:rPr>
          <w:rFonts w:ascii="Times New Roman" w:hAnsi="Times New Roman"/>
          <w:sz w:val="24"/>
          <w:szCs w:val="20"/>
        </w:rPr>
        <w:t xml:space="preserve">oard is integral to </w:t>
      </w:r>
      <w:r w:rsidR="0079328C">
        <w:rPr>
          <w:rFonts w:ascii="Times New Roman" w:hAnsi="Times New Roman"/>
          <w:sz w:val="24"/>
          <w:szCs w:val="20"/>
        </w:rPr>
        <w:t>the authority’s</w:t>
      </w:r>
      <w:r w:rsidRPr="0070019A">
        <w:rPr>
          <w:rFonts w:ascii="Times New Roman" w:hAnsi="Times New Roman"/>
          <w:sz w:val="24"/>
          <w:szCs w:val="20"/>
        </w:rPr>
        <w:t xml:space="preserve"> operation</w:t>
      </w:r>
      <w:r w:rsidR="004765EE">
        <w:rPr>
          <w:rFonts w:ascii="Times New Roman" w:hAnsi="Times New Roman"/>
          <w:sz w:val="24"/>
          <w:szCs w:val="20"/>
        </w:rPr>
        <w:t>s</w:t>
      </w:r>
      <w:r w:rsidRPr="0070019A">
        <w:rPr>
          <w:rFonts w:ascii="Times New Roman" w:hAnsi="Times New Roman"/>
          <w:sz w:val="24"/>
          <w:szCs w:val="20"/>
        </w:rPr>
        <w:t xml:space="preserve"> and achieving the objects of the Act.</w:t>
      </w:r>
    </w:p>
    <w:p w14:paraId="4856B556" w14:textId="77777777" w:rsidR="00F64C12" w:rsidRPr="00F64C12" w:rsidRDefault="00324DC2" w:rsidP="00F64C12">
      <w:pPr>
        <w:pStyle w:val="ListParagraph"/>
        <w:numPr>
          <w:ilvl w:val="0"/>
          <w:numId w:val="2"/>
        </w:numPr>
        <w:spacing w:after="0" w:line="240" w:lineRule="auto"/>
      </w:pPr>
      <w:r>
        <w:rPr>
          <w:rFonts w:ascii="Times New Roman" w:hAnsi="Times New Roman"/>
          <w:sz w:val="24"/>
          <w:szCs w:val="20"/>
        </w:rPr>
        <w:t xml:space="preserve">Does not unduly trespass on rights previously established by law. </w:t>
      </w:r>
    </w:p>
    <w:p w14:paraId="4177856D" w14:textId="3311C151" w:rsidR="001520D2" w:rsidRPr="00ED3F04" w:rsidRDefault="00324DC2" w:rsidP="00F64C12">
      <w:pPr>
        <w:pStyle w:val="ListParagraph"/>
        <w:numPr>
          <w:ilvl w:val="0"/>
          <w:numId w:val="2"/>
        </w:numPr>
        <w:spacing w:after="0" w:line="240" w:lineRule="auto"/>
        <w:rPr>
          <w:rFonts w:ascii="Times New Roman" w:hAnsi="Times New Roman"/>
          <w:sz w:val="24"/>
          <w:szCs w:val="24"/>
        </w:rPr>
      </w:pPr>
      <w:r w:rsidRPr="00ED3F04">
        <w:rPr>
          <w:rFonts w:ascii="Times New Roman" w:hAnsi="Times New Roman"/>
          <w:sz w:val="24"/>
          <w:szCs w:val="24"/>
        </w:rPr>
        <w:t>Does not make rights, liberties and/or obligations unduly dependent upon non</w:t>
      </w:r>
      <w:r w:rsidRPr="00ED3F04">
        <w:rPr>
          <w:rFonts w:ascii="Times New Roman" w:hAnsi="Times New Roman"/>
          <w:sz w:val="24"/>
          <w:szCs w:val="24"/>
        </w:rPr>
        <w:noBreakHyphen/>
        <w:t xml:space="preserve">reviewable decisions. The instrument enables formal appointment of a member of the </w:t>
      </w:r>
      <w:r w:rsidR="004765EE">
        <w:rPr>
          <w:rFonts w:ascii="Times New Roman" w:hAnsi="Times New Roman"/>
          <w:sz w:val="24"/>
          <w:szCs w:val="24"/>
        </w:rPr>
        <w:t>b</w:t>
      </w:r>
      <w:r w:rsidRPr="00ED3F04">
        <w:rPr>
          <w:rFonts w:ascii="Times New Roman" w:hAnsi="Times New Roman"/>
          <w:sz w:val="24"/>
          <w:szCs w:val="24"/>
        </w:rPr>
        <w:t>oard.</w:t>
      </w:r>
    </w:p>
    <w:p w14:paraId="214670A1" w14:textId="77777777" w:rsidR="00ED3F04" w:rsidRDefault="00ED3F04" w:rsidP="00324DC2">
      <w:pPr>
        <w:autoSpaceDE w:val="0"/>
        <w:autoSpaceDN w:val="0"/>
        <w:adjustRightInd w:val="0"/>
        <w:rPr>
          <w:b/>
          <w:bCs/>
          <w:szCs w:val="24"/>
          <w:lang w:eastAsia="en-AU"/>
        </w:rPr>
      </w:pPr>
    </w:p>
    <w:sectPr w:rsidR="00ED3F04" w:rsidSect="004C4A40">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E90A5D" w14:textId="77777777" w:rsidR="00905AA6" w:rsidRDefault="00905AA6" w:rsidP="00324DC2">
      <w:r>
        <w:separator/>
      </w:r>
    </w:p>
  </w:endnote>
  <w:endnote w:type="continuationSeparator" w:id="0">
    <w:p w14:paraId="652C38EE" w14:textId="77777777" w:rsidR="00905AA6" w:rsidRDefault="00905AA6" w:rsidP="0032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56566" w14:textId="77777777" w:rsidR="007D7BD8" w:rsidRDefault="007D7B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F2B0" w14:textId="47371767" w:rsidR="00D73C82" w:rsidRPr="007D7BD8" w:rsidRDefault="007D7BD8" w:rsidP="007D7BD8">
    <w:pPr>
      <w:pStyle w:val="Footer"/>
      <w:jc w:val="center"/>
      <w:rPr>
        <w:rFonts w:cs="Arial"/>
        <w:sz w:val="14"/>
      </w:rPr>
    </w:pPr>
    <w:r w:rsidRPr="007D7B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1C248" w14:textId="77777777" w:rsidR="007D7BD8" w:rsidRDefault="007D7BD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750240" w14:textId="77777777" w:rsidR="00905AA6" w:rsidRDefault="00905AA6" w:rsidP="00324DC2">
      <w:r>
        <w:separator/>
      </w:r>
    </w:p>
  </w:footnote>
  <w:footnote w:type="continuationSeparator" w:id="0">
    <w:p w14:paraId="437FFC07" w14:textId="77777777" w:rsidR="00905AA6" w:rsidRDefault="00905AA6" w:rsidP="00324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D8F16" w14:textId="77777777" w:rsidR="007D7BD8" w:rsidRDefault="007D7B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AC5DE" w14:textId="77777777" w:rsidR="007D7BD8" w:rsidRDefault="007D7B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82419" w14:textId="77777777" w:rsidR="007D7BD8" w:rsidRDefault="007D7B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352DF8"/>
    <w:multiLevelType w:val="hybridMultilevel"/>
    <w:tmpl w:val="5B7634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4756735E"/>
    <w:multiLevelType w:val="hybridMultilevel"/>
    <w:tmpl w:val="4EF2F9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EE26EE0"/>
    <w:multiLevelType w:val="hybridMultilevel"/>
    <w:tmpl w:val="9FCCF560"/>
    <w:lvl w:ilvl="0" w:tplc="0C09000F">
      <w:start w:val="1"/>
      <w:numFmt w:val="decimal"/>
      <w:lvlText w:val="%1."/>
      <w:lvlJc w:val="left"/>
      <w:pPr>
        <w:ind w:left="360" w:hanging="360"/>
      </w:pPr>
      <w:rPr>
        <w:rFonts w:cs="Times New Roman"/>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num w:numId="1" w16cid:durableId="1024401961">
    <w:abstractNumId w:val="0"/>
  </w:num>
  <w:num w:numId="2" w16cid:durableId="1421632933">
    <w:abstractNumId w:val="2"/>
  </w:num>
  <w:num w:numId="3" w16cid:durableId="14771389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DC2"/>
    <w:rsid w:val="00012CEC"/>
    <w:rsid w:val="0002242C"/>
    <w:rsid w:val="00055070"/>
    <w:rsid w:val="00073983"/>
    <w:rsid w:val="000E5347"/>
    <w:rsid w:val="000F1962"/>
    <w:rsid w:val="00151D90"/>
    <w:rsid w:val="001520D2"/>
    <w:rsid w:val="00153670"/>
    <w:rsid w:val="00154352"/>
    <w:rsid w:val="00165ABE"/>
    <w:rsid w:val="00174116"/>
    <w:rsid w:val="001B4337"/>
    <w:rsid w:val="001D6D9B"/>
    <w:rsid w:val="001E0AA7"/>
    <w:rsid w:val="00224594"/>
    <w:rsid w:val="00284375"/>
    <w:rsid w:val="00291C4D"/>
    <w:rsid w:val="002F3F7A"/>
    <w:rsid w:val="002F4F82"/>
    <w:rsid w:val="00324DC2"/>
    <w:rsid w:val="003935DE"/>
    <w:rsid w:val="003E2AA1"/>
    <w:rsid w:val="00414C7B"/>
    <w:rsid w:val="004765EE"/>
    <w:rsid w:val="004857A2"/>
    <w:rsid w:val="0049579C"/>
    <w:rsid w:val="004B6D30"/>
    <w:rsid w:val="004F4EAE"/>
    <w:rsid w:val="00533A9B"/>
    <w:rsid w:val="005562C4"/>
    <w:rsid w:val="00581312"/>
    <w:rsid w:val="005C1DC3"/>
    <w:rsid w:val="00633CC4"/>
    <w:rsid w:val="00646182"/>
    <w:rsid w:val="0067712E"/>
    <w:rsid w:val="00687C9C"/>
    <w:rsid w:val="007006B4"/>
    <w:rsid w:val="00730500"/>
    <w:rsid w:val="00780370"/>
    <w:rsid w:val="00790E13"/>
    <w:rsid w:val="0079328C"/>
    <w:rsid w:val="007D06F2"/>
    <w:rsid w:val="007D7BD8"/>
    <w:rsid w:val="00873648"/>
    <w:rsid w:val="009003D2"/>
    <w:rsid w:val="00905AA6"/>
    <w:rsid w:val="009158E3"/>
    <w:rsid w:val="00985E80"/>
    <w:rsid w:val="009A7561"/>
    <w:rsid w:val="009D42FE"/>
    <w:rsid w:val="009E6CB3"/>
    <w:rsid w:val="00A0072E"/>
    <w:rsid w:val="00A36187"/>
    <w:rsid w:val="00A53DD7"/>
    <w:rsid w:val="00A87C97"/>
    <w:rsid w:val="00AC06B3"/>
    <w:rsid w:val="00B64DCB"/>
    <w:rsid w:val="00B81378"/>
    <w:rsid w:val="00BC1D51"/>
    <w:rsid w:val="00C020A4"/>
    <w:rsid w:val="00C479F6"/>
    <w:rsid w:val="00C62D8B"/>
    <w:rsid w:val="00C66421"/>
    <w:rsid w:val="00C71654"/>
    <w:rsid w:val="00C876B8"/>
    <w:rsid w:val="00CE7169"/>
    <w:rsid w:val="00D15CEF"/>
    <w:rsid w:val="00D26E4E"/>
    <w:rsid w:val="00D402DC"/>
    <w:rsid w:val="00D41AA8"/>
    <w:rsid w:val="00D73C82"/>
    <w:rsid w:val="00DC7CB4"/>
    <w:rsid w:val="00DD7FBE"/>
    <w:rsid w:val="00E111B4"/>
    <w:rsid w:val="00E22990"/>
    <w:rsid w:val="00E32FA0"/>
    <w:rsid w:val="00E45525"/>
    <w:rsid w:val="00E46E03"/>
    <w:rsid w:val="00E713BA"/>
    <w:rsid w:val="00E910B9"/>
    <w:rsid w:val="00EC226A"/>
    <w:rsid w:val="00ED3F04"/>
    <w:rsid w:val="00F318B3"/>
    <w:rsid w:val="00F64C12"/>
    <w:rsid w:val="00F931EE"/>
    <w:rsid w:val="00FC10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952DE6"/>
  <w15:chartTrackingRefBased/>
  <w15:docId w15:val="{5BECFF05-AE64-4CA6-AD31-7F837C4CF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4DC2"/>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324DC2"/>
    <w:pPr>
      <w:tabs>
        <w:tab w:val="left" w:pos="2400"/>
        <w:tab w:val="left" w:pos="2880"/>
      </w:tabs>
      <w:spacing w:before="700" w:after="100"/>
      <w:outlineLvl w:val="0"/>
    </w:pPr>
    <w:rPr>
      <w:rFonts w:ascii="Arial" w:hAnsi="Arial"/>
      <w:b/>
      <w:sz w:val="40"/>
    </w:rPr>
  </w:style>
  <w:style w:type="paragraph" w:styleId="Heading2">
    <w:name w:val="heading 2"/>
    <w:basedOn w:val="Normal"/>
    <w:next w:val="Normal"/>
    <w:link w:val="Heading2Char"/>
    <w:uiPriority w:val="9"/>
    <w:qFormat/>
    <w:rsid w:val="00324DC2"/>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24DC2"/>
    <w:pPr>
      <w:spacing w:before="360"/>
      <w:ind w:right="565"/>
      <w:outlineLvl w:val="2"/>
    </w:pPr>
    <w:rPr>
      <w:rFonts w:ascii="Arial" w:hAnsi="Arial" w:cs="Arial"/>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4DC2"/>
    <w:rPr>
      <w:rFonts w:ascii="Arial" w:eastAsia="Times New Roman" w:hAnsi="Arial" w:cs="Times New Roman"/>
      <w:b/>
      <w:sz w:val="40"/>
      <w:szCs w:val="20"/>
    </w:rPr>
  </w:style>
  <w:style w:type="character" w:customStyle="1" w:styleId="Heading2Char">
    <w:name w:val="Heading 2 Char"/>
    <w:basedOn w:val="DefaultParagraphFont"/>
    <w:link w:val="Heading2"/>
    <w:uiPriority w:val="9"/>
    <w:rsid w:val="00324DC2"/>
    <w:rPr>
      <w:rFonts w:ascii="Arial" w:eastAsia="Times New Roman" w:hAnsi="Arial" w:cs="Arial"/>
      <w:b/>
      <w:bCs/>
      <w:sz w:val="24"/>
      <w:szCs w:val="20"/>
    </w:rPr>
  </w:style>
  <w:style w:type="character" w:customStyle="1" w:styleId="Heading3Char">
    <w:name w:val="Heading 3 Char"/>
    <w:basedOn w:val="DefaultParagraphFont"/>
    <w:link w:val="Heading3"/>
    <w:uiPriority w:val="9"/>
    <w:rsid w:val="00324DC2"/>
    <w:rPr>
      <w:rFonts w:ascii="Arial" w:eastAsia="Times New Roman" w:hAnsi="Arial" w:cs="Arial"/>
      <w:b/>
      <w:bCs/>
      <w:sz w:val="28"/>
      <w:szCs w:val="28"/>
    </w:rPr>
  </w:style>
  <w:style w:type="paragraph" w:styleId="Footer">
    <w:name w:val="footer"/>
    <w:basedOn w:val="Normal"/>
    <w:link w:val="FooterChar"/>
    <w:uiPriority w:val="99"/>
    <w:rsid w:val="00324DC2"/>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324DC2"/>
    <w:rPr>
      <w:rFonts w:ascii="Arial" w:eastAsia="Times New Roman" w:hAnsi="Arial" w:cs="Times New Roman"/>
      <w:sz w:val="18"/>
      <w:szCs w:val="20"/>
    </w:rPr>
  </w:style>
  <w:style w:type="paragraph" w:customStyle="1" w:styleId="N-line3">
    <w:name w:val="N-line3"/>
    <w:basedOn w:val="Normal"/>
    <w:next w:val="Normal"/>
    <w:rsid w:val="00324DC2"/>
    <w:pPr>
      <w:pBdr>
        <w:bottom w:val="single" w:sz="12" w:space="1" w:color="auto"/>
      </w:pBdr>
      <w:jc w:val="both"/>
    </w:pPr>
  </w:style>
  <w:style w:type="paragraph" w:customStyle="1" w:styleId="madeunder">
    <w:name w:val="made under"/>
    <w:basedOn w:val="Normal"/>
    <w:rsid w:val="00324DC2"/>
    <w:pPr>
      <w:spacing w:before="180" w:after="60"/>
      <w:jc w:val="both"/>
    </w:pPr>
  </w:style>
  <w:style w:type="paragraph" w:customStyle="1" w:styleId="CoverActName">
    <w:name w:val="CoverActName"/>
    <w:basedOn w:val="Normal"/>
    <w:rsid w:val="00324DC2"/>
    <w:pPr>
      <w:tabs>
        <w:tab w:val="left" w:pos="2600"/>
      </w:tabs>
      <w:spacing w:before="200" w:after="60"/>
      <w:jc w:val="both"/>
    </w:pPr>
    <w:rPr>
      <w:rFonts w:ascii="Arial" w:hAnsi="Arial"/>
      <w:b/>
    </w:rPr>
  </w:style>
  <w:style w:type="paragraph" w:styleId="Header">
    <w:name w:val="header"/>
    <w:basedOn w:val="Normal"/>
    <w:link w:val="HeaderChar"/>
    <w:uiPriority w:val="99"/>
    <w:rsid w:val="00324DC2"/>
    <w:pPr>
      <w:tabs>
        <w:tab w:val="left" w:pos="2880"/>
        <w:tab w:val="center" w:pos="4153"/>
        <w:tab w:val="right" w:pos="8306"/>
      </w:tabs>
    </w:pPr>
  </w:style>
  <w:style w:type="character" w:customStyle="1" w:styleId="HeaderChar">
    <w:name w:val="Header Char"/>
    <w:basedOn w:val="DefaultParagraphFont"/>
    <w:link w:val="Header"/>
    <w:uiPriority w:val="99"/>
    <w:rsid w:val="00324DC2"/>
    <w:rPr>
      <w:rFonts w:ascii="Times New Roman" w:eastAsia="Times New Roman" w:hAnsi="Times New Roman" w:cs="Times New Roman"/>
      <w:sz w:val="24"/>
      <w:szCs w:val="20"/>
    </w:rPr>
  </w:style>
  <w:style w:type="paragraph" w:styleId="ListParagraph">
    <w:name w:val="List Paragraph"/>
    <w:basedOn w:val="Normal"/>
    <w:uiPriority w:val="34"/>
    <w:qFormat/>
    <w:rsid w:val="00324DC2"/>
    <w:pPr>
      <w:spacing w:after="160" w:line="259" w:lineRule="auto"/>
      <w:ind w:left="720"/>
      <w:contextualSpacing/>
    </w:pPr>
    <w:rPr>
      <w:rFonts w:asciiTheme="minorHAnsi" w:hAnsiTheme="minorHAnsi"/>
      <w:sz w:val="22"/>
      <w:szCs w:val="22"/>
    </w:rPr>
  </w:style>
  <w:style w:type="character" w:styleId="CommentReference">
    <w:name w:val="annotation reference"/>
    <w:basedOn w:val="DefaultParagraphFont"/>
    <w:uiPriority w:val="99"/>
    <w:semiHidden/>
    <w:unhideWhenUsed/>
    <w:rsid w:val="00073983"/>
    <w:rPr>
      <w:sz w:val="16"/>
      <w:szCs w:val="16"/>
    </w:rPr>
  </w:style>
  <w:style w:type="paragraph" w:styleId="CommentText">
    <w:name w:val="annotation text"/>
    <w:basedOn w:val="Normal"/>
    <w:link w:val="CommentTextChar"/>
    <w:uiPriority w:val="99"/>
    <w:semiHidden/>
    <w:unhideWhenUsed/>
    <w:rsid w:val="00073983"/>
    <w:rPr>
      <w:sz w:val="20"/>
    </w:rPr>
  </w:style>
  <w:style w:type="character" w:customStyle="1" w:styleId="CommentTextChar">
    <w:name w:val="Comment Text Char"/>
    <w:basedOn w:val="DefaultParagraphFont"/>
    <w:link w:val="CommentText"/>
    <w:uiPriority w:val="99"/>
    <w:semiHidden/>
    <w:rsid w:val="0007398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73983"/>
    <w:rPr>
      <w:b/>
      <w:bCs/>
    </w:rPr>
  </w:style>
  <w:style w:type="character" w:customStyle="1" w:styleId="CommentSubjectChar">
    <w:name w:val="Comment Subject Char"/>
    <w:basedOn w:val="CommentTextChar"/>
    <w:link w:val="CommentSubject"/>
    <w:uiPriority w:val="99"/>
    <w:semiHidden/>
    <w:rsid w:val="00073983"/>
    <w:rPr>
      <w:rFonts w:ascii="Times New Roman" w:eastAsia="Times New Roman" w:hAnsi="Times New Roman" w:cs="Times New Roman"/>
      <w:b/>
      <w:bCs/>
      <w:sz w:val="20"/>
      <w:szCs w:val="20"/>
    </w:rPr>
  </w:style>
  <w:style w:type="paragraph" w:styleId="Revision">
    <w:name w:val="Revision"/>
    <w:hidden/>
    <w:uiPriority w:val="99"/>
    <w:semiHidden/>
    <w:rsid w:val="00073983"/>
    <w:pPr>
      <w:spacing w:after="0" w:line="240" w:lineRule="auto"/>
    </w:pPr>
    <w:rPr>
      <w:rFonts w:ascii="Times New Roman" w:eastAsia="Times New Roman" w:hAnsi="Times New Roman" w:cs="Times New Roman"/>
      <w:sz w:val="24"/>
      <w:szCs w:val="20"/>
    </w:rPr>
  </w:style>
  <w:style w:type="paragraph" w:styleId="BodyText">
    <w:name w:val="Body Text"/>
    <w:basedOn w:val="Normal"/>
    <w:link w:val="BodyTextChar"/>
    <w:unhideWhenUsed/>
    <w:qFormat/>
    <w:rsid w:val="00012CEC"/>
    <w:pPr>
      <w:spacing w:before="200"/>
    </w:pPr>
    <w:rPr>
      <w:rFonts w:ascii="Arial" w:hAnsi="Arial"/>
      <w:sz w:val="22"/>
      <w:szCs w:val="22"/>
    </w:rPr>
  </w:style>
  <w:style w:type="character" w:customStyle="1" w:styleId="BodyTextChar">
    <w:name w:val="Body Text Char"/>
    <w:basedOn w:val="DefaultParagraphFont"/>
    <w:link w:val="BodyText"/>
    <w:rsid w:val="00012CEC"/>
    <w:rPr>
      <w:rFonts w:ascii="Arial" w:eastAsia="Times New Roman" w:hAnsi="Arial" w:cs="Times New Roman"/>
    </w:rPr>
  </w:style>
  <w:style w:type="paragraph" w:customStyle="1" w:styleId="Default">
    <w:name w:val="Default"/>
    <w:rsid w:val="00012CEC"/>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semiHidden/>
    <w:unhideWhenUsed/>
    <w:rsid w:val="00EC226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A45460003</value>
    </field>
    <field name="Objective-Title">
      <value order="0">Attachment C - ES - CRA Board Appointment 2024 (No 1) - Mr James Willson</value>
    </field>
    <field name="Objective-Description">
      <value order="0"/>
    </field>
    <field name="Objective-CreationStamp">
      <value order="0">2024-02-01T03:03:30Z</value>
    </field>
    <field name="Objective-IsApproved">
      <value order="0">false</value>
    </field>
    <field name="Objective-IsPublished">
      <value order="0">true</value>
    </field>
    <field name="Objective-DatePublished">
      <value order="0">2024-02-05T01:04:20Z</value>
    </field>
    <field name="Objective-ModificationStamp">
      <value order="0">2024-02-05T01:04:20Z</value>
    </field>
    <field name="Objective-Owner">
      <value order="0">Fiona Codd</value>
    </field>
    <field name="Objective-Path">
      <value order="0">Whole of ACT Government:EPSDD - Environment Planning and Sustainable Development Directorate:07. Ministerial, Cabinet and Government Relations:06. Ministerials:2024 - Ministerials Briefs and Correspondence:City Renewal Authority:23/129219 Ministerial Information Brief - Barr - Appointment of NCA Nominee - Instruments for Signing</value>
    </field>
    <field name="Objective-Parent">
      <value order="0">23/129219 Ministerial Information Brief - Barr - Appointment of NCA Nominee - Instruments for Signing</value>
    </field>
    <field name="Objective-State">
      <value order="0">Published</value>
    </field>
    <field name="Objective-VersionId">
      <value order="0">vA56883398</value>
    </field>
    <field name="Objective-Version">
      <value order="0">4.0</value>
    </field>
    <field name="Objective-VersionNumber">
      <value order="0">4</value>
    </field>
    <field name="Objective-VersionComment">
      <value order="0"/>
    </field>
    <field name="Objective-FileNumber">
      <value order="0">1-2023/129219</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879</Words>
  <Characters>4601</Characters>
  <Application>Microsoft Office Word</Application>
  <DocSecurity>0</DocSecurity>
  <Lines>101</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Wrigley, Bronwyn</dc:creator>
  <cp:keywords/>
  <dc:description/>
  <cp:lastModifiedBy>PCODCS</cp:lastModifiedBy>
  <cp:revision>4</cp:revision>
  <dcterms:created xsi:type="dcterms:W3CDTF">2024-02-05T01:07:00Z</dcterms:created>
  <dcterms:modified xsi:type="dcterms:W3CDTF">2024-02-05T01:07:00Z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A45460003</vt:lpwstr>
  </property>
  <property fmtid="{D5CDD505-2E9C-101B-9397-08002B2CF9AE}" pid="4" name="Objective-Title">
    <vt:lpwstr>Attachment C - ES - CRA Board Appointment 2024 (No 1) - Mr James Willson</vt:lpwstr>
  </property>
  <property fmtid="{D5CDD505-2E9C-101B-9397-08002B2CF9AE}" pid="5" name="Objective-Comment">
    <vt:lpwstr/>
  </property>
  <property fmtid="{D5CDD505-2E9C-101B-9397-08002B2CF9AE}" pid="6" name="Objective-CreationStamp">
    <vt:filetime>2024-02-01T03:03:30Z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2024-02-05T01:04:20Z</vt:filetime>
  </property>
  <property fmtid="{D5CDD505-2E9C-101B-9397-08002B2CF9AE}" pid="10" name="Objective-ModificationStamp">
    <vt:filetime>2024-02-05T01:04:20Z</vt:filetime>
  </property>
  <property fmtid="{D5CDD505-2E9C-101B-9397-08002B2CF9AE}" pid="11" name="Objective-Owner">
    <vt:lpwstr>Fiona Codd</vt:lpwstr>
  </property>
  <property fmtid="{D5CDD505-2E9C-101B-9397-08002B2CF9AE}" pid="12" name="Objective-Path">
    <vt:lpwstr>Whole of ACT Government:EPSDD - Environment Planning and Sustainable Development Directorate:07. Ministerial, Cabinet and Government Relations:06. Ministerials:2024 - Ministerials Briefs and Correspondence:City Renewal Authority:23/129219 Ministerial Information Brief - Barr - Appointment of NCA Nominee - Instruments for Signing:</vt:lpwstr>
  </property>
  <property fmtid="{D5CDD505-2E9C-101B-9397-08002B2CF9AE}" pid="13" name="Objective-Parent">
    <vt:lpwstr>23/129219 Ministerial Information Brief - Barr - Appointment of NCA Nominee - Instruments for Signing</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1-2023/129219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Objective-Description">
    <vt:lpwstr/>
  </property>
  <property fmtid="{D5CDD505-2E9C-101B-9397-08002B2CF9AE}" pid="44" name="Objective-VersionId">
    <vt:lpwstr>vA56883398</vt:lpwstr>
  </property>
</Properties>
</file>