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9BFF6" w14:textId="1E10BA9B" w:rsidR="00510B38" w:rsidRPr="00B27540" w:rsidRDefault="7F9DA4C7" w:rsidP="24854DE7">
      <w:pPr>
        <w:jc w:val="center"/>
        <w:rPr>
          <w:b/>
          <w:bCs/>
          <w:sz w:val="24"/>
          <w:szCs w:val="24"/>
        </w:rPr>
      </w:pPr>
      <w:r w:rsidRPr="7F9DA4C7">
        <w:rPr>
          <w:b/>
          <w:bCs/>
          <w:sz w:val="24"/>
          <w:szCs w:val="24"/>
        </w:rPr>
        <w:t>202</w:t>
      </w:r>
      <w:r w:rsidR="002E67F4">
        <w:rPr>
          <w:b/>
          <w:bCs/>
          <w:sz w:val="24"/>
          <w:szCs w:val="24"/>
        </w:rPr>
        <w:t>4</w:t>
      </w:r>
    </w:p>
    <w:p w14:paraId="0A37501D" w14:textId="4E6A5093" w:rsidR="00510B38" w:rsidRPr="00B27540" w:rsidRDefault="00510B38" w:rsidP="00510B38">
      <w:pPr>
        <w:jc w:val="center"/>
        <w:rPr>
          <w:b/>
          <w:bCs/>
          <w:sz w:val="24"/>
          <w:szCs w:val="24"/>
        </w:rPr>
      </w:pPr>
    </w:p>
    <w:p w14:paraId="5DAB6C7B" w14:textId="77777777" w:rsidR="00510B38" w:rsidRPr="00B27540" w:rsidRDefault="00510B38" w:rsidP="00510B38">
      <w:pPr>
        <w:jc w:val="center"/>
        <w:rPr>
          <w:b/>
          <w:bCs/>
          <w:sz w:val="24"/>
          <w:szCs w:val="24"/>
        </w:rPr>
      </w:pPr>
    </w:p>
    <w:p w14:paraId="02EB378F" w14:textId="77777777" w:rsidR="00510B38" w:rsidRPr="00B27540" w:rsidRDefault="00510B38" w:rsidP="00510B38">
      <w:pPr>
        <w:jc w:val="center"/>
        <w:rPr>
          <w:b/>
          <w:sz w:val="24"/>
          <w:szCs w:val="24"/>
        </w:rPr>
      </w:pPr>
    </w:p>
    <w:p w14:paraId="6A05A809" w14:textId="77777777" w:rsidR="00510B38" w:rsidRPr="00B27540" w:rsidRDefault="00510B38" w:rsidP="00510B38">
      <w:pPr>
        <w:jc w:val="center"/>
        <w:rPr>
          <w:b/>
          <w:sz w:val="24"/>
          <w:szCs w:val="24"/>
        </w:rPr>
      </w:pPr>
    </w:p>
    <w:p w14:paraId="1E0D7D24" w14:textId="77777777" w:rsidR="00510B38" w:rsidRPr="00B27540" w:rsidRDefault="00510B38" w:rsidP="00510B38">
      <w:pPr>
        <w:jc w:val="center"/>
        <w:rPr>
          <w:b/>
          <w:bCs/>
          <w:sz w:val="24"/>
          <w:szCs w:val="24"/>
        </w:rPr>
      </w:pPr>
      <w:r w:rsidRPr="00B27540">
        <w:rPr>
          <w:b/>
          <w:bCs/>
          <w:sz w:val="24"/>
          <w:szCs w:val="24"/>
        </w:rPr>
        <w:t>THE LEGISLATIVE ASSEMBLY FOR THE</w:t>
      </w:r>
      <w:r w:rsidRPr="00B27540">
        <w:rPr>
          <w:b/>
          <w:bCs/>
          <w:sz w:val="24"/>
          <w:szCs w:val="24"/>
        </w:rPr>
        <w:br/>
        <w:t>AUSTRALIAN CAPITAL TERRITORY</w:t>
      </w:r>
    </w:p>
    <w:p w14:paraId="5A39BBE3" w14:textId="77777777" w:rsidR="00510B38" w:rsidRPr="00B27540" w:rsidRDefault="00510B38" w:rsidP="00510B38">
      <w:pPr>
        <w:jc w:val="center"/>
        <w:rPr>
          <w:b/>
          <w:sz w:val="24"/>
          <w:szCs w:val="24"/>
        </w:rPr>
      </w:pPr>
    </w:p>
    <w:p w14:paraId="41C8F396" w14:textId="77777777" w:rsidR="00510B38" w:rsidRPr="00B27540" w:rsidRDefault="00510B38" w:rsidP="00510B38">
      <w:pPr>
        <w:jc w:val="center"/>
        <w:rPr>
          <w:b/>
          <w:sz w:val="24"/>
          <w:szCs w:val="24"/>
        </w:rPr>
      </w:pPr>
    </w:p>
    <w:p w14:paraId="72A3D3EC" w14:textId="77777777" w:rsidR="00510B38" w:rsidRPr="00B27540" w:rsidRDefault="00510B38" w:rsidP="00510B38">
      <w:pPr>
        <w:jc w:val="center"/>
        <w:rPr>
          <w:b/>
          <w:sz w:val="24"/>
          <w:szCs w:val="24"/>
        </w:rPr>
      </w:pPr>
    </w:p>
    <w:p w14:paraId="0D0B940D" w14:textId="77777777" w:rsidR="00510B38" w:rsidRPr="00B27540" w:rsidRDefault="00510B38" w:rsidP="00510B38">
      <w:pPr>
        <w:jc w:val="center"/>
        <w:rPr>
          <w:b/>
          <w:sz w:val="24"/>
          <w:szCs w:val="24"/>
        </w:rPr>
      </w:pPr>
    </w:p>
    <w:p w14:paraId="76D42350" w14:textId="07DCC80E" w:rsidR="00DB615D" w:rsidRPr="00B27540" w:rsidRDefault="008B5C5D" w:rsidP="00DB615D">
      <w:pPr>
        <w:jc w:val="center"/>
        <w:rPr>
          <w:b/>
          <w:bCs/>
          <w:sz w:val="24"/>
          <w:szCs w:val="24"/>
        </w:rPr>
      </w:pPr>
      <w:r w:rsidRPr="008B5C5D">
        <w:rPr>
          <w:b/>
          <w:bCs/>
          <w:sz w:val="24"/>
          <w:szCs w:val="24"/>
        </w:rPr>
        <w:t>WORKPLACE LEGISLATION AMENDMENT BILL 202</w:t>
      </w:r>
      <w:r w:rsidR="002E67F4">
        <w:rPr>
          <w:b/>
          <w:bCs/>
          <w:sz w:val="24"/>
          <w:szCs w:val="24"/>
        </w:rPr>
        <w:t>4</w:t>
      </w:r>
    </w:p>
    <w:p w14:paraId="0E27B00A" w14:textId="77777777" w:rsidR="00510B38" w:rsidRPr="00B27540" w:rsidRDefault="00510B38" w:rsidP="00510B38">
      <w:pPr>
        <w:jc w:val="center"/>
        <w:rPr>
          <w:b/>
          <w:sz w:val="24"/>
          <w:szCs w:val="24"/>
        </w:rPr>
      </w:pPr>
    </w:p>
    <w:p w14:paraId="60061E4C" w14:textId="77777777" w:rsidR="00510B38" w:rsidRPr="00B27540" w:rsidRDefault="00510B38" w:rsidP="00510B38">
      <w:pPr>
        <w:jc w:val="center"/>
        <w:rPr>
          <w:b/>
          <w:sz w:val="24"/>
          <w:szCs w:val="24"/>
        </w:rPr>
      </w:pPr>
    </w:p>
    <w:p w14:paraId="5246A84B" w14:textId="727E0A42" w:rsidR="00510B38" w:rsidRPr="00F167FF" w:rsidRDefault="004332F1" w:rsidP="00F167FF">
      <w:pPr>
        <w:pStyle w:val="NoSpacing"/>
        <w:jc w:val="center"/>
        <w:rPr>
          <w:b/>
          <w:bCs/>
          <w:sz w:val="24"/>
          <w:szCs w:val="24"/>
        </w:rPr>
      </w:pPr>
      <w:r w:rsidRPr="00F167FF">
        <w:rPr>
          <w:b/>
          <w:bCs/>
          <w:sz w:val="24"/>
          <w:szCs w:val="24"/>
        </w:rPr>
        <w:t>EXPLANATORY STATEMENT</w:t>
      </w:r>
    </w:p>
    <w:p w14:paraId="1F0BF296" w14:textId="067DE041" w:rsidR="0026577B" w:rsidRPr="008B5C5D" w:rsidRDefault="0026577B" w:rsidP="00F167FF">
      <w:pPr>
        <w:pStyle w:val="NoSpacing"/>
        <w:jc w:val="center"/>
        <w:rPr>
          <w:b/>
          <w:bCs/>
          <w:sz w:val="24"/>
          <w:szCs w:val="24"/>
        </w:rPr>
      </w:pPr>
      <w:r w:rsidRPr="008B5C5D">
        <w:rPr>
          <w:b/>
          <w:bCs/>
          <w:sz w:val="24"/>
          <w:szCs w:val="24"/>
        </w:rPr>
        <w:t>and</w:t>
      </w:r>
    </w:p>
    <w:p w14:paraId="2610C5C7" w14:textId="4715B19B" w:rsidR="0026577B" w:rsidRPr="008B5C5D" w:rsidRDefault="0026577B" w:rsidP="00F167FF">
      <w:pPr>
        <w:pStyle w:val="NoSpacing"/>
        <w:jc w:val="center"/>
        <w:rPr>
          <w:b/>
          <w:bCs/>
          <w:sz w:val="24"/>
          <w:szCs w:val="24"/>
        </w:rPr>
      </w:pPr>
      <w:r w:rsidRPr="008B5C5D">
        <w:rPr>
          <w:b/>
          <w:bCs/>
          <w:sz w:val="24"/>
          <w:szCs w:val="24"/>
        </w:rPr>
        <w:t>Human Rights Compatibility Statement</w:t>
      </w:r>
    </w:p>
    <w:p w14:paraId="264B5D8E" w14:textId="645A1183" w:rsidR="0026577B" w:rsidRPr="00F167FF" w:rsidRDefault="0026577B" w:rsidP="00F167FF">
      <w:pPr>
        <w:pStyle w:val="NoSpacing"/>
        <w:jc w:val="center"/>
        <w:rPr>
          <w:b/>
          <w:bCs/>
          <w:sz w:val="24"/>
          <w:szCs w:val="24"/>
        </w:rPr>
      </w:pPr>
      <w:r w:rsidRPr="008B5C5D">
        <w:rPr>
          <w:b/>
          <w:bCs/>
          <w:sz w:val="24"/>
          <w:szCs w:val="24"/>
        </w:rPr>
        <w:t>(</w:t>
      </w:r>
      <w:r w:rsidRPr="008B5C5D">
        <w:rPr>
          <w:b/>
          <w:bCs/>
          <w:i/>
          <w:iCs/>
          <w:sz w:val="24"/>
          <w:szCs w:val="24"/>
        </w:rPr>
        <w:t>Human Rights Act 2004</w:t>
      </w:r>
      <w:r w:rsidRPr="008B5C5D">
        <w:rPr>
          <w:b/>
          <w:bCs/>
          <w:sz w:val="24"/>
          <w:szCs w:val="24"/>
        </w:rPr>
        <w:t>, s 37)</w:t>
      </w:r>
    </w:p>
    <w:p w14:paraId="44EAFD9C" w14:textId="77777777" w:rsidR="00510B38" w:rsidRPr="00B27540" w:rsidRDefault="00510B38" w:rsidP="00510B38">
      <w:pPr>
        <w:jc w:val="center"/>
        <w:rPr>
          <w:b/>
          <w:sz w:val="24"/>
          <w:szCs w:val="24"/>
        </w:rPr>
      </w:pPr>
    </w:p>
    <w:p w14:paraId="4B94D5A5" w14:textId="77777777" w:rsidR="00510B38" w:rsidRPr="00B27540" w:rsidRDefault="00510B38" w:rsidP="00510B38">
      <w:pPr>
        <w:jc w:val="center"/>
        <w:rPr>
          <w:b/>
          <w:sz w:val="24"/>
          <w:szCs w:val="24"/>
          <w:u w:val="single"/>
        </w:rPr>
      </w:pPr>
    </w:p>
    <w:p w14:paraId="3DEEC669" w14:textId="77777777" w:rsidR="00510B38" w:rsidRPr="00B27540" w:rsidRDefault="00510B38" w:rsidP="00510B38">
      <w:pPr>
        <w:jc w:val="center"/>
        <w:rPr>
          <w:b/>
          <w:sz w:val="24"/>
          <w:szCs w:val="24"/>
        </w:rPr>
      </w:pPr>
    </w:p>
    <w:p w14:paraId="45FB0818" w14:textId="2A27AAE4" w:rsidR="00510B38" w:rsidRDefault="00510B38" w:rsidP="00510B38">
      <w:pPr>
        <w:jc w:val="center"/>
        <w:rPr>
          <w:b/>
          <w:sz w:val="24"/>
          <w:szCs w:val="24"/>
        </w:rPr>
      </w:pPr>
    </w:p>
    <w:p w14:paraId="4ED3C744" w14:textId="77777777" w:rsidR="001440DA" w:rsidRPr="00B27540" w:rsidRDefault="001440DA" w:rsidP="00510B38">
      <w:pPr>
        <w:jc w:val="center"/>
        <w:rPr>
          <w:b/>
          <w:sz w:val="24"/>
          <w:szCs w:val="24"/>
        </w:rPr>
      </w:pPr>
    </w:p>
    <w:p w14:paraId="049F31CB" w14:textId="77777777" w:rsidR="00510B38" w:rsidRPr="00B27540" w:rsidRDefault="00510B38" w:rsidP="00510B38">
      <w:pPr>
        <w:jc w:val="center"/>
        <w:rPr>
          <w:b/>
          <w:sz w:val="24"/>
          <w:szCs w:val="24"/>
        </w:rPr>
      </w:pPr>
    </w:p>
    <w:p w14:paraId="6A50D31F" w14:textId="77777777" w:rsidR="00510B38" w:rsidRPr="00B27540" w:rsidRDefault="00510B38" w:rsidP="004B3B86">
      <w:pPr>
        <w:spacing w:after="0" w:line="240" w:lineRule="auto"/>
        <w:jc w:val="right"/>
        <w:rPr>
          <w:b/>
          <w:sz w:val="24"/>
          <w:szCs w:val="24"/>
        </w:rPr>
      </w:pPr>
      <w:r w:rsidRPr="00B27540">
        <w:rPr>
          <w:b/>
          <w:sz w:val="24"/>
          <w:szCs w:val="24"/>
        </w:rPr>
        <w:t>Presented by</w:t>
      </w:r>
    </w:p>
    <w:p w14:paraId="22FB1F58" w14:textId="27BF465E" w:rsidR="004B3B86" w:rsidRPr="004B3B86" w:rsidRDefault="008B5C5D" w:rsidP="004B3B86">
      <w:pPr>
        <w:spacing w:after="0" w:line="240" w:lineRule="auto"/>
        <w:jc w:val="right"/>
        <w:rPr>
          <w:rFonts w:cs="Arial"/>
          <w:b/>
          <w:bCs/>
          <w:sz w:val="24"/>
          <w:szCs w:val="24"/>
        </w:rPr>
      </w:pPr>
      <w:r>
        <w:rPr>
          <w:rFonts w:cs="Arial"/>
          <w:b/>
          <w:bCs/>
          <w:sz w:val="24"/>
          <w:szCs w:val="24"/>
        </w:rPr>
        <w:t>Mick Gentleman</w:t>
      </w:r>
      <w:r w:rsidR="004B3B86" w:rsidRPr="004B3B86">
        <w:rPr>
          <w:rFonts w:cs="Arial"/>
          <w:b/>
          <w:bCs/>
          <w:sz w:val="24"/>
          <w:szCs w:val="24"/>
        </w:rPr>
        <w:t xml:space="preserve"> MLA</w:t>
      </w:r>
    </w:p>
    <w:p w14:paraId="1C84BF74" w14:textId="04010316" w:rsidR="007F6AF1" w:rsidRDefault="004B3B86" w:rsidP="004B3B86">
      <w:pPr>
        <w:spacing w:after="0" w:line="240" w:lineRule="auto"/>
        <w:jc w:val="right"/>
        <w:rPr>
          <w:rFonts w:cs="Arial"/>
          <w:b/>
          <w:bCs/>
          <w:sz w:val="24"/>
          <w:szCs w:val="24"/>
        </w:rPr>
      </w:pPr>
      <w:r w:rsidRPr="004B3B86">
        <w:rPr>
          <w:rFonts w:cs="Arial"/>
          <w:b/>
          <w:bCs/>
          <w:sz w:val="24"/>
          <w:szCs w:val="24"/>
        </w:rPr>
        <w:t xml:space="preserve">Minister for </w:t>
      </w:r>
      <w:r w:rsidR="008B5C5D">
        <w:rPr>
          <w:rFonts w:cs="Arial"/>
          <w:b/>
          <w:bCs/>
          <w:sz w:val="24"/>
          <w:szCs w:val="24"/>
        </w:rPr>
        <w:t>Industrial Relations</w:t>
      </w:r>
      <w:r w:rsidR="00C04402">
        <w:rPr>
          <w:rFonts w:cs="Arial"/>
          <w:b/>
          <w:bCs/>
          <w:sz w:val="24"/>
          <w:szCs w:val="24"/>
        </w:rPr>
        <w:t xml:space="preserve"> </w:t>
      </w:r>
      <w:r w:rsidR="000743D7">
        <w:rPr>
          <w:rFonts w:cs="Arial"/>
          <w:b/>
          <w:bCs/>
          <w:sz w:val="24"/>
          <w:szCs w:val="24"/>
        </w:rPr>
        <w:t xml:space="preserve">and </w:t>
      </w:r>
      <w:r w:rsidR="00C04402">
        <w:rPr>
          <w:rFonts w:cs="Arial"/>
          <w:b/>
          <w:bCs/>
          <w:sz w:val="24"/>
          <w:szCs w:val="24"/>
        </w:rPr>
        <w:t>Workplace Safety</w:t>
      </w:r>
    </w:p>
    <w:p w14:paraId="162A09D6" w14:textId="77777777" w:rsidR="0026577B" w:rsidRDefault="0026577B" w:rsidP="00F167FF">
      <w:pPr>
        <w:spacing w:after="0" w:line="240" w:lineRule="auto"/>
        <w:rPr>
          <w:rFonts w:cs="Arial"/>
          <w:b/>
          <w:bCs/>
          <w:sz w:val="24"/>
          <w:szCs w:val="24"/>
        </w:rPr>
      </w:pPr>
    </w:p>
    <w:p w14:paraId="1559B303" w14:textId="77777777" w:rsidR="008B5C5D" w:rsidRDefault="008B5C5D">
      <w:pPr>
        <w:spacing w:after="0" w:line="240" w:lineRule="auto"/>
        <w:rPr>
          <w:b/>
          <w:bCs/>
          <w:sz w:val="28"/>
          <w:szCs w:val="28"/>
          <w:lang w:val="en-US"/>
        </w:rPr>
      </w:pPr>
      <w:r>
        <w:rPr>
          <w:b/>
          <w:bCs/>
          <w:sz w:val="28"/>
          <w:szCs w:val="28"/>
          <w:lang w:val="en-US"/>
        </w:rPr>
        <w:br w:type="page"/>
      </w:r>
    </w:p>
    <w:p w14:paraId="24DD146D" w14:textId="07A30BC6" w:rsidR="008B5C5D" w:rsidRDefault="008B5C5D" w:rsidP="0026577B">
      <w:pPr>
        <w:spacing w:after="0"/>
        <w:contextualSpacing/>
        <w:rPr>
          <w:b/>
          <w:bCs/>
          <w:sz w:val="28"/>
          <w:szCs w:val="28"/>
          <w:lang w:val="en-US"/>
        </w:rPr>
      </w:pPr>
      <w:r w:rsidRPr="008B5C5D">
        <w:rPr>
          <w:b/>
          <w:bCs/>
          <w:sz w:val="28"/>
          <w:szCs w:val="28"/>
          <w:lang w:val="en-US"/>
        </w:rPr>
        <w:lastRenderedPageBreak/>
        <w:t>WORKPLACE LEGISLATION AMENDMENT BILL 202</w:t>
      </w:r>
      <w:r w:rsidR="002E67F4">
        <w:rPr>
          <w:b/>
          <w:bCs/>
          <w:sz w:val="28"/>
          <w:szCs w:val="28"/>
          <w:lang w:val="en-US"/>
        </w:rPr>
        <w:t>4</w:t>
      </w:r>
    </w:p>
    <w:p w14:paraId="5A2AD97C" w14:textId="77777777" w:rsidR="008B5C5D" w:rsidRDefault="008B5C5D" w:rsidP="0026577B">
      <w:pPr>
        <w:spacing w:after="0"/>
        <w:contextualSpacing/>
        <w:rPr>
          <w:b/>
          <w:bCs/>
          <w:sz w:val="28"/>
          <w:szCs w:val="28"/>
          <w:lang w:val="en-US"/>
        </w:rPr>
      </w:pPr>
    </w:p>
    <w:p w14:paraId="7A011F66" w14:textId="55397EE9" w:rsidR="0026577B" w:rsidRPr="00BF2C86" w:rsidRDefault="0026577B" w:rsidP="00C155A3">
      <w:pPr>
        <w:spacing w:after="0"/>
        <w:rPr>
          <w:rFonts w:asciiTheme="minorHAnsi" w:hAnsiTheme="minorHAnsi" w:cstheme="minorHAnsi"/>
          <w:bCs/>
          <w:sz w:val="24"/>
          <w:szCs w:val="24"/>
        </w:rPr>
      </w:pPr>
      <w:r w:rsidRPr="00BF2C86">
        <w:rPr>
          <w:rFonts w:asciiTheme="minorHAnsi" w:hAnsiTheme="minorHAnsi" w:cstheme="minorHAnsi"/>
          <w:bCs/>
          <w:sz w:val="24"/>
          <w:szCs w:val="24"/>
        </w:rPr>
        <w:t xml:space="preserve">The </w:t>
      </w:r>
      <w:r w:rsidR="009118D2">
        <w:rPr>
          <w:rFonts w:asciiTheme="minorHAnsi" w:hAnsiTheme="minorHAnsi" w:cstheme="minorHAnsi"/>
          <w:bCs/>
          <w:sz w:val="24"/>
          <w:szCs w:val="24"/>
        </w:rPr>
        <w:t>Workplace Legislation Amendment Bill 202</w:t>
      </w:r>
      <w:r w:rsidR="002E67F4">
        <w:rPr>
          <w:rFonts w:asciiTheme="minorHAnsi" w:hAnsiTheme="minorHAnsi" w:cstheme="minorHAnsi"/>
          <w:bCs/>
          <w:sz w:val="24"/>
          <w:szCs w:val="24"/>
        </w:rPr>
        <w:t>4</w:t>
      </w:r>
      <w:r w:rsidR="009118D2">
        <w:rPr>
          <w:rFonts w:asciiTheme="minorHAnsi" w:hAnsiTheme="minorHAnsi" w:cstheme="minorHAnsi"/>
          <w:bCs/>
          <w:sz w:val="24"/>
          <w:szCs w:val="24"/>
        </w:rPr>
        <w:t xml:space="preserve"> (the </w:t>
      </w:r>
      <w:r w:rsidRPr="00BF2C86">
        <w:rPr>
          <w:rFonts w:asciiTheme="minorHAnsi" w:hAnsiTheme="minorHAnsi" w:cstheme="minorHAnsi"/>
          <w:bCs/>
          <w:sz w:val="24"/>
          <w:szCs w:val="24"/>
        </w:rPr>
        <w:t>Bill</w:t>
      </w:r>
      <w:r w:rsidR="009118D2">
        <w:rPr>
          <w:rFonts w:asciiTheme="minorHAnsi" w:hAnsiTheme="minorHAnsi" w:cstheme="minorHAnsi"/>
          <w:bCs/>
          <w:sz w:val="24"/>
          <w:szCs w:val="24"/>
        </w:rPr>
        <w:t>)</w:t>
      </w:r>
      <w:r w:rsidRPr="00BF2C86">
        <w:rPr>
          <w:rFonts w:asciiTheme="minorHAnsi" w:hAnsiTheme="minorHAnsi" w:cstheme="minorHAnsi"/>
          <w:bCs/>
          <w:sz w:val="24"/>
          <w:szCs w:val="24"/>
        </w:rPr>
        <w:t xml:space="preserve"> is</w:t>
      </w:r>
      <w:r w:rsidR="00186BE2" w:rsidRPr="00BF2C86">
        <w:rPr>
          <w:rFonts w:asciiTheme="minorHAnsi" w:hAnsiTheme="minorHAnsi" w:cstheme="minorHAnsi"/>
          <w:bCs/>
          <w:sz w:val="24"/>
          <w:szCs w:val="24"/>
        </w:rPr>
        <w:t xml:space="preserve"> </w:t>
      </w:r>
      <w:r w:rsidR="00186BE2" w:rsidRPr="008B5C5D">
        <w:rPr>
          <w:bCs/>
          <w:sz w:val="24"/>
          <w:szCs w:val="24"/>
        </w:rPr>
        <w:t>not</w:t>
      </w:r>
      <w:r w:rsidRPr="00BF2C86">
        <w:rPr>
          <w:rFonts w:asciiTheme="minorHAnsi" w:hAnsiTheme="minorHAnsi" w:cstheme="minorHAnsi"/>
          <w:bCs/>
          <w:sz w:val="24"/>
          <w:szCs w:val="24"/>
        </w:rPr>
        <w:t xml:space="preserve"> a Significant Bill. Significant Bills are bills that have been assessed as likely to have </w:t>
      </w:r>
      <w:r w:rsidRPr="008B5C5D">
        <w:rPr>
          <w:bCs/>
          <w:sz w:val="24"/>
          <w:szCs w:val="24"/>
        </w:rPr>
        <w:t>significant</w:t>
      </w:r>
      <w:r w:rsidRPr="00BF2C86">
        <w:rPr>
          <w:rFonts w:asciiTheme="minorHAnsi" w:hAnsiTheme="minorHAnsi" w:cstheme="minorHAnsi"/>
          <w:bCs/>
          <w:sz w:val="24"/>
          <w:szCs w:val="24"/>
        </w:rPr>
        <w:t xml:space="preserve"> engagement of human rights and require more detailed reasoning in relation to compatibility with the </w:t>
      </w:r>
      <w:r w:rsidRPr="00BF2C86">
        <w:rPr>
          <w:rFonts w:asciiTheme="minorHAnsi" w:hAnsiTheme="minorHAnsi" w:cstheme="minorHAnsi"/>
          <w:bCs/>
          <w:i/>
          <w:iCs/>
          <w:sz w:val="24"/>
          <w:szCs w:val="24"/>
        </w:rPr>
        <w:t>Human Rights Act 2004</w:t>
      </w:r>
      <w:r w:rsidRPr="00BF2C86">
        <w:rPr>
          <w:rFonts w:asciiTheme="minorHAnsi" w:hAnsiTheme="minorHAnsi" w:cstheme="minorHAnsi"/>
          <w:bCs/>
          <w:sz w:val="24"/>
          <w:szCs w:val="24"/>
        </w:rPr>
        <w:t>.</w:t>
      </w:r>
    </w:p>
    <w:p w14:paraId="4B99056E" w14:textId="77777777" w:rsidR="004332F1" w:rsidRPr="00F167FF" w:rsidRDefault="004332F1" w:rsidP="00C155A3">
      <w:pPr>
        <w:spacing w:after="0"/>
        <w:rPr>
          <w:bCs/>
          <w:sz w:val="24"/>
          <w:szCs w:val="24"/>
        </w:rPr>
      </w:pPr>
    </w:p>
    <w:p w14:paraId="2E0A6F91" w14:textId="274F4267" w:rsidR="00F745D4" w:rsidRDefault="00186BE2" w:rsidP="00C155A3">
      <w:pPr>
        <w:spacing w:after="0"/>
        <w:rPr>
          <w:b/>
          <w:sz w:val="24"/>
          <w:szCs w:val="24"/>
        </w:rPr>
      </w:pPr>
      <w:r w:rsidRPr="00186BE2">
        <w:rPr>
          <w:b/>
          <w:sz w:val="24"/>
          <w:szCs w:val="24"/>
        </w:rPr>
        <w:t>BACKGROUND</w:t>
      </w:r>
    </w:p>
    <w:p w14:paraId="437A9D9D" w14:textId="77777777" w:rsidR="00BC0A72" w:rsidRPr="00186BE2" w:rsidRDefault="00BC0A72" w:rsidP="00C155A3">
      <w:pPr>
        <w:spacing w:after="0"/>
        <w:rPr>
          <w:b/>
          <w:sz w:val="24"/>
          <w:szCs w:val="24"/>
        </w:rPr>
      </w:pPr>
    </w:p>
    <w:p w14:paraId="170D870E" w14:textId="7192FB4B" w:rsidR="00391A53" w:rsidRDefault="00391A53" w:rsidP="00C155A3">
      <w:pPr>
        <w:spacing w:after="0"/>
        <w:rPr>
          <w:bCs/>
          <w:sz w:val="24"/>
          <w:szCs w:val="24"/>
        </w:rPr>
      </w:pPr>
      <w:r w:rsidRPr="00391A53">
        <w:rPr>
          <w:bCs/>
          <w:sz w:val="24"/>
          <w:szCs w:val="24"/>
        </w:rPr>
        <w:t xml:space="preserve">The ACT Labor and ACT Greens Parliamentary and Governing Agreement (PAGA) commits to reviewing and amending work health and safety (WHS) laws to keep Canberrans safe. </w:t>
      </w:r>
    </w:p>
    <w:p w14:paraId="7B52BE4F" w14:textId="77777777" w:rsidR="001A1B2D" w:rsidRDefault="001A1B2D" w:rsidP="00C155A3">
      <w:pPr>
        <w:spacing w:after="0"/>
        <w:rPr>
          <w:bCs/>
          <w:sz w:val="24"/>
          <w:szCs w:val="24"/>
          <w:u w:val="single"/>
        </w:rPr>
      </w:pPr>
    </w:p>
    <w:p w14:paraId="25889EC0" w14:textId="54E74F53" w:rsidR="001A1B2D" w:rsidRDefault="001A1B2D" w:rsidP="00C155A3">
      <w:pPr>
        <w:spacing w:after="0"/>
        <w:rPr>
          <w:bCs/>
          <w:sz w:val="24"/>
          <w:szCs w:val="24"/>
        </w:rPr>
      </w:pPr>
      <w:r w:rsidRPr="00CD32D1">
        <w:rPr>
          <w:bCs/>
          <w:sz w:val="24"/>
          <w:szCs w:val="24"/>
        </w:rPr>
        <w:t xml:space="preserve">The ACT’s </w:t>
      </w:r>
      <w:r>
        <w:rPr>
          <w:bCs/>
          <w:sz w:val="24"/>
          <w:szCs w:val="24"/>
        </w:rPr>
        <w:t>WHS</w:t>
      </w:r>
      <w:r w:rsidRPr="00CD32D1">
        <w:rPr>
          <w:bCs/>
          <w:sz w:val="24"/>
          <w:szCs w:val="24"/>
        </w:rPr>
        <w:t xml:space="preserve"> laws adopt the nationally agreed model WHS laws as a signatory under the </w:t>
      </w:r>
      <w:hyperlink r:id="rId11" w:history="1">
        <w:r w:rsidRPr="006B618F">
          <w:rPr>
            <w:rStyle w:val="Hyperlink"/>
            <w:bCs/>
            <w:sz w:val="24"/>
            <w:szCs w:val="24"/>
          </w:rPr>
          <w:t>Inter-Governmental Agreement for Regulatory and Operational Reform in Occupational Health and</w:t>
        </w:r>
      </w:hyperlink>
      <w:r>
        <w:rPr>
          <w:bCs/>
          <w:sz w:val="24"/>
          <w:szCs w:val="24"/>
        </w:rPr>
        <w:t xml:space="preserve"> Safety (OHS IGA) </w:t>
      </w:r>
      <w:r w:rsidRPr="00CD32D1">
        <w:rPr>
          <w:bCs/>
          <w:sz w:val="24"/>
          <w:szCs w:val="24"/>
        </w:rPr>
        <w:t xml:space="preserve">(2008). </w:t>
      </w:r>
    </w:p>
    <w:p w14:paraId="452932F5" w14:textId="77777777" w:rsidR="00154713" w:rsidRDefault="00154713" w:rsidP="00C155A3">
      <w:pPr>
        <w:spacing w:after="0"/>
        <w:rPr>
          <w:bCs/>
          <w:sz w:val="24"/>
          <w:szCs w:val="24"/>
        </w:rPr>
      </w:pPr>
    </w:p>
    <w:p w14:paraId="789E56A9" w14:textId="278E7809" w:rsidR="00154713" w:rsidRDefault="00154713" w:rsidP="00C155A3">
      <w:pPr>
        <w:spacing w:after="0"/>
        <w:rPr>
          <w:bCs/>
          <w:sz w:val="24"/>
          <w:szCs w:val="24"/>
        </w:rPr>
      </w:pPr>
      <w:r>
        <w:rPr>
          <w:bCs/>
          <w:sz w:val="24"/>
          <w:szCs w:val="24"/>
        </w:rPr>
        <w:t>The OHS IGA establishes the cooperative commitment of all Australian states, territories and the Commonwealth to ensure harmonised work health and safety laws delivered though national uniformity and jurisdictional adoption of the model Work Health and Safety Act, the model Work Health and Safety Regulation and model Codes of Practice.</w:t>
      </w:r>
    </w:p>
    <w:p w14:paraId="053EED2B" w14:textId="77777777" w:rsidR="001A1B2D" w:rsidRDefault="001A1B2D" w:rsidP="00C155A3">
      <w:pPr>
        <w:spacing w:after="0"/>
        <w:rPr>
          <w:bCs/>
          <w:sz w:val="24"/>
          <w:szCs w:val="24"/>
        </w:rPr>
      </w:pPr>
    </w:p>
    <w:p w14:paraId="5A1D2DB0" w14:textId="2217EC34" w:rsidR="001A1B2D" w:rsidRDefault="001A1B2D" w:rsidP="00C155A3">
      <w:pPr>
        <w:spacing w:after="0"/>
        <w:rPr>
          <w:bCs/>
          <w:sz w:val="24"/>
          <w:szCs w:val="24"/>
        </w:rPr>
      </w:pPr>
      <w:r w:rsidRPr="00CD32D1">
        <w:rPr>
          <w:bCs/>
          <w:sz w:val="24"/>
          <w:szCs w:val="24"/>
        </w:rPr>
        <w:t xml:space="preserve">In 2018, WHS Ministers requested </w:t>
      </w:r>
      <w:hyperlink r:id="rId12" w:history="1">
        <w:r w:rsidRPr="00154713">
          <w:rPr>
            <w:rStyle w:val="Hyperlink"/>
            <w:bCs/>
            <w:sz w:val="24"/>
            <w:szCs w:val="24"/>
          </w:rPr>
          <w:t>Safe Work Australia</w:t>
        </w:r>
      </w:hyperlink>
      <w:r w:rsidRPr="00CD32D1">
        <w:rPr>
          <w:bCs/>
          <w:sz w:val="24"/>
          <w:szCs w:val="24"/>
        </w:rPr>
        <w:t xml:space="preserve"> review the model WHS laws, with a view to examine and report on the content and operation of the model WHS laws (this is known as the </w:t>
      </w:r>
      <w:hyperlink r:id="rId13" w:history="1">
        <w:r w:rsidRPr="008D52D3">
          <w:rPr>
            <w:rStyle w:val="Hyperlink"/>
            <w:bCs/>
            <w:sz w:val="24"/>
            <w:szCs w:val="24"/>
          </w:rPr>
          <w:t>Boland Review</w:t>
        </w:r>
      </w:hyperlink>
      <w:r w:rsidRPr="00CD32D1">
        <w:rPr>
          <w:bCs/>
          <w:sz w:val="24"/>
          <w:szCs w:val="24"/>
        </w:rPr>
        <w:t>). The final report was published in February 2019.</w:t>
      </w:r>
    </w:p>
    <w:p w14:paraId="69267E29" w14:textId="77777777" w:rsidR="00154713" w:rsidRDefault="00154713" w:rsidP="00C155A3">
      <w:pPr>
        <w:spacing w:after="0"/>
        <w:rPr>
          <w:bCs/>
          <w:sz w:val="24"/>
          <w:szCs w:val="24"/>
        </w:rPr>
      </w:pPr>
    </w:p>
    <w:p w14:paraId="2C2F1190" w14:textId="11383598" w:rsidR="00154713" w:rsidRDefault="00154713" w:rsidP="00C155A3">
      <w:pPr>
        <w:spacing w:after="0"/>
        <w:rPr>
          <w:bCs/>
          <w:sz w:val="24"/>
          <w:szCs w:val="24"/>
        </w:rPr>
      </w:pPr>
      <w:r w:rsidRPr="00154713">
        <w:rPr>
          <w:bCs/>
          <w:sz w:val="24"/>
          <w:szCs w:val="24"/>
        </w:rPr>
        <w:t>Safe Work Australia</w:t>
      </w:r>
      <w:r>
        <w:rPr>
          <w:bCs/>
          <w:sz w:val="24"/>
          <w:szCs w:val="24"/>
        </w:rPr>
        <w:t xml:space="preserve"> is the national tripartite body with responsibility for developing, reviewing and maintaining the model WHS laws.  Safe Work Australia represents the interests of the Commonwealth, states and territories and social partners (including unions and employer representatives)  to achieve healthier, safety and more productive workplaces through improvement to WHS and workers’ compensation arrangements. </w:t>
      </w:r>
    </w:p>
    <w:p w14:paraId="2C6E9314" w14:textId="77777777" w:rsidR="001A1B2D" w:rsidRDefault="001A1B2D" w:rsidP="00C155A3">
      <w:pPr>
        <w:spacing w:after="0"/>
        <w:rPr>
          <w:bCs/>
          <w:sz w:val="24"/>
          <w:szCs w:val="24"/>
        </w:rPr>
      </w:pPr>
    </w:p>
    <w:p w14:paraId="290D2D73" w14:textId="15C87235" w:rsidR="001A1B2D" w:rsidRPr="00CD32D1" w:rsidRDefault="00154713" w:rsidP="00C155A3">
      <w:pPr>
        <w:spacing w:after="0"/>
        <w:rPr>
          <w:bCs/>
          <w:sz w:val="24"/>
          <w:szCs w:val="24"/>
        </w:rPr>
      </w:pPr>
      <w:r>
        <w:rPr>
          <w:bCs/>
          <w:sz w:val="24"/>
          <w:szCs w:val="24"/>
        </w:rPr>
        <w:t>T</w:t>
      </w:r>
      <w:r w:rsidR="001A1B2D" w:rsidRPr="00CD32D1">
        <w:rPr>
          <w:bCs/>
          <w:sz w:val="24"/>
          <w:szCs w:val="24"/>
        </w:rPr>
        <w:t xml:space="preserve">he </w:t>
      </w:r>
      <w:r>
        <w:rPr>
          <w:bCs/>
          <w:sz w:val="24"/>
          <w:szCs w:val="24"/>
        </w:rPr>
        <w:t>Boland R</w:t>
      </w:r>
      <w:r w:rsidR="001A1B2D" w:rsidRPr="00CD32D1">
        <w:rPr>
          <w:bCs/>
          <w:sz w:val="24"/>
          <w:szCs w:val="24"/>
        </w:rPr>
        <w:t xml:space="preserve">eview considered whether the model WHS laws are operating as intended, and whether any areas of the model WHS laws had resulted in unintended consequences. The Boland Review made a number of recommendations to amend the model WHS laws. The Review was the subject of a regulatory impact assessment process to ensure that WHS Ministers were </w:t>
      </w:r>
      <w:r w:rsidR="003633C6">
        <w:rPr>
          <w:bCs/>
          <w:sz w:val="24"/>
          <w:szCs w:val="24"/>
        </w:rPr>
        <w:t xml:space="preserve">alert to </w:t>
      </w:r>
      <w:r w:rsidR="001A1B2D" w:rsidRPr="00CD32D1">
        <w:rPr>
          <w:bCs/>
          <w:sz w:val="24"/>
          <w:szCs w:val="24"/>
        </w:rPr>
        <w:t>the potential impacts of the recommendations to the model WHS laws.</w:t>
      </w:r>
    </w:p>
    <w:p w14:paraId="79955DAE" w14:textId="77777777" w:rsidR="001A1B2D" w:rsidRDefault="001A1B2D" w:rsidP="00C155A3">
      <w:pPr>
        <w:spacing w:after="0"/>
        <w:rPr>
          <w:bCs/>
          <w:sz w:val="24"/>
          <w:szCs w:val="24"/>
        </w:rPr>
      </w:pPr>
    </w:p>
    <w:p w14:paraId="7237D24C" w14:textId="77777777" w:rsidR="001A1B2D" w:rsidRDefault="001A1B2D" w:rsidP="00C155A3">
      <w:pPr>
        <w:spacing w:after="0"/>
        <w:rPr>
          <w:bCs/>
          <w:sz w:val="24"/>
          <w:szCs w:val="24"/>
        </w:rPr>
      </w:pPr>
      <w:r w:rsidRPr="00CD32D1">
        <w:rPr>
          <w:bCs/>
          <w:sz w:val="24"/>
          <w:szCs w:val="24"/>
        </w:rPr>
        <w:lastRenderedPageBreak/>
        <w:t>In May 2021, WHS Ministers agreed on actions for all 34 recommendations of the Review, and tasked Safe Work Australia, the national policy body responsible for maintaining the model WHS laws, with implementation of the recommendations.</w:t>
      </w:r>
    </w:p>
    <w:p w14:paraId="0C54AF81" w14:textId="27DDA42F" w:rsidR="00391A53" w:rsidRDefault="00391A53" w:rsidP="00C155A3">
      <w:pPr>
        <w:spacing w:after="0"/>
        <w:rPr>
          <w:bCs/>
          <w:sz w:val="24"/>
          <w:szCs w:val="24"/>
        </w:rPr>
      </w:pPr>
    </w:p>
    <w:p w14:paraId="2252D098" w14:textId="265B0FCE" w:rsidR="00D214CC" w:rsidRDefault="003633C6" w:rsidP="00C155A3">
      <w:pPr>
        <w:spacing w:after="0"/>
        <w:rPr>
          <w:bCs/>
          <w:sz w:val="24"/>
          <w:szCs w:val="24"/>
        </w:rPr>
      </w:pPr>
      <w:r>
        <w:rPr>
          <w:bCs/>
          <w:sz w:val="24"/>
          <w:szCs w:val="24"/>
        </w:rPr>
        <w:t>T</w:t>
      </w:r>
      <w:r w:rsidR="00D214CC" w:rsidRPr="00D214CC">
        <w:rPr>
          <w:bCs/>
          <w:sz w:val="24"/>
          <w:szCs w:val="24"/>
        </w:rPr>
        <w:t xml:space="preserve">he </w:t>
      </w:r>
      <w:r w:rsidR="008B5C5D" w:rsidRPr="008B5C5D">
        <w:rPr>
          <w:bCs/>
          <w:sz w:val="24"/>
          <w:szCs w:val="24"/>
        </w:rPr>
        <w:t>Workplace Legislation Amendment Bill 202</w:t>
      </w:r>
      <w:r w:rsidR="002E67F4">
        <w:rPr>
          <w:bCs/>
          <w:sz w:val="24"/>
          <w:szCs w:val="24"/>
        </w:rPr>
        <w:t>4</w:t>
      </w:r>
      <w:r w:rsidR="00D214CC">
        <w:rPr>
          <w:bCs/>
          <w:sz w:val="24"/>
          <w:szCs w:val="24"/>
        </w:rPr>
        <w:t xml:space="preserve"> (the Bill) makes amendments to </w:t>
      </w:r>
      <w:r w:rsidR="002E67F4">
        <w:rPr>
          <w:bCs/>
          <w:sz w:val="24"/>
          <w:szCs w:val="24"/>
        </w:rPr>
        <w:t>two</w:t>
      </w:r>
      <w:r w:rsidR="00D214CC">
        <w:rPr>
          <w:bCs/>
          <w:sz w:val="24"/>
          <w:szCs w:val="24"/>
        </w:rPr>
        <w:t xml:space="preserve"> Acts </w:t>
      </w:r>
      <w:r w:rsidR="000743D7">
        <w:rPr>
          <w:bCs/>
          <w:sz w:val="24"/>
          <w:szCs w:val="24"/>
        </w:rPr>
        <w:t xml:space="preserve">and a regulation </w:t>
      </w:r>
      <w:r w:rsidR="00D214CC">
        <w:rPr>
          <w:bCs/>
          <w:sz w:val="24"/>
          <w:szCs w:val="24"/>
        </w:rPr>
        <w:t xml:space="preserve">within the responsibility of the Minister for </w:t>
      </w:r>
      <w:r w:rsidR="008B5C5D">
        <w:rPr>
          <w:bCs/>
          <w:sz w:val="24"/>
          <w:szCs w:val="24"/>
        </w:rPr>
        <w:t>Industrial Relations</w:t>
      </w:r>
      <w:r w:rsidR="00D214CC">
        <w:rPr>
          <w:bCs/>
          <w:sz w:val="24"/>
          <w:szCs w:val="24"/>
        </w:rPr>
        <w:t xml:space="preserve"> and Workplace Safety.</w:t>
      </w:r>
      <w:r w:rsidR="00CD32D1">
        <w:rPr>
          <w:bCs/>
          <w:sz w:val="24"/>
          <w:szCs w:val="24"/>
        </w:rPr>
        <w:t xml:space="preserve"> </w:t>
      </w:r>
      <w:r w:rsidR="00D214CC">
        <w:rPr>
          <w:bCs/>
          <w:sz w:val="24"/>
          <w:szCs w:val="24"/>
        </w:rPr>
        <w:t>Specifically, the Bill amend</w:t>
      </w:r>
      <w:r w:rsidR="008B5C5D">
        <w:rPr>
          <w:bCs/>
          <w:sz w:val="24"/>
          <w:szCs w:val="24"/>
        </w:rPr>
        <w:t>s</w:t>
      </w:r>
      <w:r w:rsidR="00D214CC">
        <w:rPr>
          <w:bCs/>
          <w:sz w:val="24"/>
          <w:szCs w:val="24"/>
        </w:rPr>
        <w:t xml:space="preserve"> the:</w:t>
      </w:r>
    </w:p>
    <w:p w14:paraId="14F717C6" w14:textId="2BAD1427" w:rsidR="00B12617" w:rsidRDefault="00B12617" w:rsidP="00C155A3">
      <w:pPr>
        <w:pStyle w:val="ListParagraph"/>
        <w:numPr>
          <w:ilvl w:val="0"/>
          <w:numId w:val="4"/>
        </w:numPr>
        <w:spacing w:before="240" w:after="120"/>
        <w:ind w:hanging="578"/>
        <w:rPr>
          <w:bCs/>
          <w:sz w:val="24"/>
          <w:szCs w:val="24"/>
        </w:rPr>
      </w:pPr>
      <w:r w:rsidRPr="008B5C5D">
        <w:rPr>
          <w:bCs/>
          <w:i/>
          <w:iCs/>
          <w:sz w:val="24"/>
          <w:szCs w:val="24"/>
        </w:rPr>
        <w:t xml:space="preserve">Long Service Leave (Portable Schemes) </w:t>
      </w:r>
      <w:r w:rsidR="002E67F4">
        <w:rPr>
          <w:bCs/>
          <w:i/>
          <w:iCs/>
          <w:sz w:val="24"/>
          <w:szCs w:val="24"/>
        </w:rPr>
        <w:t xml:space="preserve">Amendment </w:t>
      </w:r>
      <w:r w:rsidRPr="008B5C5D">
        <w:rPr>
          <w:bCs/>
          <w:i/>
          <w:iCs/>
          <w:sz w:val="24"/>
          <w:szCs w:val="24"/>
        </w:rPr>
        <w:t>Act 20</w:t>
      </w:r>
      <w:r w:rsidR="002E67F4">
        <w:rPr>
          <w:bCs/>
          <w:i/>
          <w:iCs/>
          <w:sz w:val="24"/>
          <w:szCs w:val="24"/>
        </w:rPr>
        <w:t>23</w:t>
      </w:r>
      <w:r w:rsidRPr="00B12617">
        <w:rPr>
          <w:bCs/>
          <w:sz w:val="24"/>
          <w:szCs w:val="24"/>
        </w:rPr>
        <w:t>;</w:t>
      </w:r>
    </w:p>
    <w:p w14:paraId="3B3BAC33" w14:textId="6EC3D013" w:rsidR="00EF472F" w:rsidRDefault="00EF472F" w:rsidP="00C155A3">
      <w:pPr>
        <w:pStyle w:val="ListParagraph"/>
        <w:numPr>
          <w:ilvl w:val="0"/>
          <w:numId w:val="4"/>
        </w:numPr>
        <w:spacing w:before="240" w:after="120"/>
        <w:ind w:hanging="578"/>
        <w:rPr>
          <w:bCs/>
          <w:sz w:val="24"/>
          <w:szCs w:val="24"/>
        </w:rPr>
      </w:pPr>
      <w:r w:rsidRPr="00172EE7">
        <w:rPr>
          <w:bCs/>
          <w:i/>
          <w:iCs/>
          <w:sz w:val="24"/>
          <w:szCs w:val="24"/>
        </w:rPr>
        <w:t>Public Sector Management Act 1994</w:t>
      </w:r>
      <w:r w:rsidRPr="00EF472F">
        <w:rPr>
          <w:bCs/>
          <w:sz w:val="24"/>
          <w:szCs w:val="24"/>
        </w:rPr>
        <w:t>;</w:t>
      </w:r>
    </w:p>
    <w:p w14:paraId="0D6AA71F" w14:textId="44C080E9" w:rsidR="00B12617" w:rsidRPr="00B12617" w:rsidRDefault="00B12617" w:rsidP="00C155A3">
      <w:pPr>
        <w:pStyle w:val="ListParagraph"/>
        <w:numPr>
          <w:ilvl w:val="0"/>
          <w:numId w:val="4"/>
        </w:numPr>
        <w:spacing w:before="240" w:after="120"/>
        <w:ind w:hanging="578"/>
        <w:rPr>
          <w:bCs/>
          <w:sz w:val="24"/>
          <w:szCs w:val="24"/>
        </w:rPr>
      </w:pPr>
      <w:r w:rsidRPr="000E4CF7">
        <w:rPr>
          <w:bCs/>
          <w:i/>
          <w:iCs/>
          <w:sz w:val="24"/>
          <w:szCs w:val="24"/>
        </w:rPr>
        <w:t>Work Health and Safety Act 2011</w:t>
      </w:r>
      <w:r w:rsidRPr="00B12617">
        <w:rPr>
          <w:bCs/>
          <w:sz w:val="24"/>
          <w:szCs w:val="24"/>
        </w:rPr>
        <w:t>;</w:t>
      </w:r>
      <w:r w:rsidR="00DE2755">
        <w:rPr>
          <w:bCs/>
          <w:sz w:val="24"/>
          <w:szCs w:val="24"/>
        </w:rPr>
        <w:t xml:space="preserve"> and</w:t>
      </w:r>
    </w:p>
    <w:p w14:paraId="2DCFBBB0" w14:textId="383983AD" w:rsidR="00D214CC" w:rsidRPr="00DE2755" w:rsidRDefault="00B12617" w:rsidP="00C155A3">
      <w:pPr>
        <w:pStyle w:val="ListParagraph"/>
        <w:numPr>
          <w:ilvl w:val="0"/>
          <w:numId w:val="4"/>
        </w:numPr>
        <w:spacing w:before="240" w:after="120"/>
        <w:ind w:hanging="578"/>
        <w:rPr>
          <w:bCs/>
          <w:sz w:val="24"/>
          <w:szCs w:val="24"/>
        </w:rPr>
      </w:pPr>
      <w:r w:rsidRPr="00DE2755">
        <w:rPr>
          <w:bCs/>
          <w:i/>
          <w:iCs/>
          <w:sz w:val="24"/>
          <w:szCs w:val="24"/>
        </w:rPr>
        <w:t>Work Health and Safety Regulation 2011</w:t>
      </w:r>
      <w:r w:rsidR="00D214CC" w:rsidRPr="00DE2755">
        <w:rPr>
          <w:bCs/>
          <w:sz w:val="24"/>
          <w:szCs w:val="24"/>
        </w:rPr>
        <w:t>.</w:t>
      </w:r>
    </w:p>
    <w:p w14:paraId="4CBC5F17" w14:textId="65646E0D" w:rsidR="00D214CC" w:rsidRDefault="00D214CC" w:rsidP="00C155A3">
      <w:pPr>
        <w:spacing w:after="0"/>
        <w:rPr>
          <w:b/>
          <w:sz w:val="24"/>
          <w:szCs w:val="24"/>
        </w:rPr>
      </w:pPr>
    </w:p>
    <w:p w14:paraId="425A5802" w14:textId="77777777" w:rsidR="00147182" w:rsidRPr="00186BE2" w:rsidRDefault="00147182" w:rsidP="00C155A3">
      <w:pPr>
        <w:spacing w:after="0"/>
        <w:rPr>
          <w:b/>
          <w:sz w:val="24"/>
          <w:szCs w:val="24"/>
        </w:rPr>
      </w:pPr>
      <w:r>
        <w:rPr>
          <w:b/>
          <w:sz w:val="24"/>
          <w:szCs w:val="24"/>
        </w:rPr>
        <w:t>OVERVIEW</w:t>
      </w:r>
      <w:r w:rsidRPr="00186BE2">
        <w:rPr>
          <w:b/>
          <w:sz w:val="24"/>
          <w:szCs w:val="24"/>
        </w:rPr>
        <w:t xml:space="preserve"> OF THE BILL</w:t>
      </w:r>
    </w:p>
    <w:p w14:paraId="1EEF168D" w14:textId="77777777" w:rsidR="00147182" w:rsidRPr="00676FA4" w:rsidRDefault="00147182" w:rsidP="00C155A3">
      <w:pPr>
        <w:spacing w:after="0"/>
        <w:rPr>
          <w:b/>
          <w:sz w:val="24"/>
          <w:szCs w:val="24"/>
        </w:rPr>
      </w:pPr>
    </w:p>
    <w:p w14:paraId="5540E02F" w14:textId="77777777" w:rsidR="00147182" w:rsidRDefault="00147182" w:rsidP="00C155A3">
      <w:pPr>
        <w:spacing w:after="0"/>
        <w:rPr>
          <w:sz w:val="24"/>
          <w:szCs w:val="24"/>
        </w:rPr>
      </w:pPr>
      <w:r>
        <w:rPr>
          <w:bCs/>
          <w:sz w:val="24"/>
          <w:szCs w:val="24"/>
        </w:rPr>
        <w:t>The purpose of the amendments in the Bill are set out separately for each Act amended by the Bill.</w:t>
      </w:r>
    </w:p>
    <w:p w14:paraId="34E5576C" w14:textId="77777777" w:rsidR="00147182" w:rsidRDefault="00147182" w:rsidP="00C155A3">
      <w:pPr>
        <w:spacing w:after="0"/>
        <w:rPr>
          <w:sz w:val="24"/>
          <w:szCs w:val="24"/>
        </w:rPr>
      </w:pPr>
    </w:p>
    <w:p w14:paraId="5D5796BC" w14:textId="68100DA5" w:rsidR="00147182" w:rsidRDefault="00147182" w:rsidP="00C155A3">
      <w:pPr>
        <w:spacing w:after="0"/>
        <w:rPr>
          <w:b/>
          <w:bCs/>
          <w:i/>
          <w:sz w:val="24"/>
          <w:szCs w:val="24"/>
          <w:u w:val="single"/>
        </w:rPr>
      </w:pPr>
      <w:r w:rsidRPr="00ED282E">
        <w:rPr>
          <w:b/>
          <w:bCs/>
          <w:i/>
          <w:sz w:val="24"/>
          <w:szCs w:val="24"/>
          <w:u w:val="single"/>
        </w:rPr>
        <w:t>Long Service Leave (Portable Schemes)</w:t>
      </w:r>
      <w:r w:rsidR="00154713">
        <w:rPr>
          <w:b/>
          <w:bCs/>
          <w:i/>
          <w:sz w:val="24"/>
          <w:szCs w:val="24"/>
          <w:u w:val="single"/>
        </w:rPr>
        <w:t xml:space="preserve"> Amendment</w:t>
      </w:r>
      <w:r w:rsidRPr="00ED282E">
        <w:rPr>
          <w:b/>
          <w:bCs/>
          <w:i/>
          <w:sz w:val="24"/>
          <w:szCs w:val="24"/>
          <w:u w:val="single"/>
        </w:rPr>
        <w:t xml:space="preserve"> Act 20</w:t>
      </w:r>
      <w:r w:rsidR="00154713">
        <w:rPr>
          <w:b/>
          <w:bCs/>
          <w:i/>
          <w:sz w:val="24"/>
          <w:szCs w:val="24"/>
          <w:u w:val="single"/>
        </w:rPr>
        <w:t>23</w:t>
      </w:r>
    </w:p>
    <w:p w14:paraId="043E9599" w14:textId="77777777" w:rsidR="00147182" w:rsidRDefault="00147182" w:rsidP="00BC0A72">
      <w:pPr>
        <w:spacing w:before="240" w:after="0"/>
        <w:rPr>
          <w:bCs/>
          <w:sz w:val="24"/>
          <w:szCs w:val="24"/>
          <w:highlight w:val="yellow"/>
        </w:rPr>
      </w:pPr>
      <w:r w:rsidRPr="00390634">
        <w:rPr>
          <w:bCs/>
          <w:sz w:val="24"/>
          <w:szCs w:val="24"/>
        </w:rPr>
        <w:t xml:space="preserve">The </w:t>
      </w:r>
      <w:r w:rsidRPr="00390634">
        <w:rPr>
          <w:bCs/>
          <w:i/>
          <w:iCs/>
          <w:sz w:val="24"/>
          <w:szCs w:val="24"/>
        </w:rPr>
        <w:t>Long Service Leave (Portable Schemes) Act 2009</w:t>
      </w:r>
      <w:r w:rsidRPr="00390634">
        <w:rPr>
          <w:bCs/>
          <w:sz w:val="24"/>
          <w:szCs w:val="24"/>
        </w:rPr>
        <w:t xml:space="preserve"> (PLSL) establishes arrangements for worker entitlements to long service leave within covered industries. This occurs by setting out specific arrangements for each specified industry in accompanying schedules.</w:t>
      </w:r>
      <w:r w:rsidRPr="00390634">
        <w:rPr>
          <w:bCs/>
          <w:sz w:val="24"/>
          <w:szCs w:val="24"/>
          <w:highlight w:val="yellow"/>
        </w:rPr>
        <w:t xml:space="preserve"> </w:t>
      </w:r>
    </w:p>
    <w:p w14:paraId="0AA59407" w14:textId="16AC5F54" w:rsidR="00154713" w:rsidRDefault="00154713" w:rsidP="00C155A3">
      <w:pPr>
        <w:spacing w:before="120" w:after="0"/>
        <w:rPr>
          <w:rFonts w:asciiTheme="minorHAnsi" w:hAnsiTheme="minorHAnsi" w:cstheme="minorHAnsi"/>
          <w:iCs/>
          <w:sz w:val="24"/>
          <w:szCs w:val="24"/>
        </w:rPr>
      </w:pPr>
      <w:r w:rsidRPr="00154713">
        <w:rPr>
          <w:bCs/>
          <w:sz w:val="24"/>
          <w:szCs w:val="24"/>
        </w:rPr>
        <w:t xml:space="preserve">In </w:t>
      </w:r>
      <w:r>
        <w:rPr>
          <w:bCs/>
          <w:sz w:val="24"/>
          <w:szCs w:val="24"/>
        </w:rPr>
        <w:t xml:space="preserve">2023, </w:t>
      </w:r>
      <w:r>
        <w:rPr>
          <w:rFonts w:asciiTheme="minorHAnsi" w:hAnsiTheme="minorHAnsi" w:cstheme="minorHAnsi"/>
          <w:iCs/>
          <w:sz w:val="24"/>
          <w:szCs w:val="24"/>
        </w:rPr>
        <w:t>the Government expanded the industries covered by the Portable Schemes to the hairdressing and beauty services and accommodation and food services industries</w:t>
      </w:r>
      <w:r w:rsidR="00136345">
        <w:rPr>
          <w:rFonts w:asciiTheme="minorHAnsi" w:hAnsiTheme="minorHAnsi" w:cstheme="minorHAnsi"/>
          <w:iCs/>
          <w:sz w:val="24"/>
          <w:szCs w:val="24"/>
        </w:rPr>
        <w:t xml:space="preserve"> under the </w:t>
      </w:r>
      <w:r w:rsidR="00136345" w:rsidRPr="00154713">
        <w:rPr>
          <w:rFonts w:asciiTheme="minorHAnsi" w:hAnsiTheme="minorHAnsi" w:cstheme="minorHAnsi"/>
          <w:i/>
          <w:sz w:val="24"/>
          <w:szCs w:val="24"/>
        </w:rPr>
        <w:t>Long Service Leave (Portable Schemes) Amendment Act 2023</w:t>
      </w:r>
      <w:r>
        <w:rPr>
          <w:rFonts w:asciiTheme="minorHAnsi" w:hAnsiTheme="minorHAnsi" w:cstheme="minorHAnsi"/>
          <w:iCs/>
          <w:sz w:val="24"/>
          <w:szCs w:val="24"/>
        </w:rPr>
        <w:t xml:space="preserve">. </w:t>
      </w:r>
    </w:p>
    <w:p w14:paraId="54201752" w14:textId="7D6AE133" w:rsidR="00154713" w:rsidRDefault="00154713" w:rsidP="00C155A3">
      <w:pPr>
        <w:spacing w:before="120" w:after="0"/>
        <w:rPr>
          <w:rFonts w:asciiTheme="minorHAnsi" w:hAnsiTheme="minorHAnsi" w:cstheme="minorHAnsi"/>
          <w:iCs/>
          <w:sz w:val="24"/>
          <w:szCs w:val="24"/>
        </w:rPr>
      </w:pPr>
      <w:r>
        <w:rPr>
          <w:rFonts w:asciiTheme="minorHAnsi" w:hAnsiTheme="minorHAnsi" w:cstheme="minorHAnsi"/>
          <w:iCs/>
          <w:sz w:val="24"/>
          <w:szCs w:val="24"/>
        </w:rPr>
        <w:t>The Bill provides for a minor and technical amendment adjusting the commencement of un-commenced provisions to align with quarterly return requirements administered by the Long Service Leave Authority, from 15 April 2025 to 1 April 2025.</w:t>
      </w:r>
    </w:p>
    <w:p w14:paraId="690681F0" w14:textId="77777777" w:rsidR="00EF472F" w:rsidRPr="00172EE7" w:rsidRDefault="00EF472F" w:rsidP="00EF472F">
      <w:pPr>
        <w:spacing w:before="120" w:after="0"/>
        <w:rPr>
          <w:rFonts w:asciiTheme="minorHAnsi" w:hAnsiTheme="minorHAnsi" w:cstheme="minorHAnsi"/>
          <w:b/>
          <w:bCs/>
          <w:i/>
          <w:sz w:val="24"/>
          <w:szCs w:val="24"/>
          <w:u w:val="single"/>
        </w:rPr>
      </w:pPr>
      <w:r w:rsidRPr="00172EE7">
        <w:rPr>
          <w:rFonts w:asciiTheme="minorHAnsi" w:hAnsiTheme="minorHAnsi" w:cstheme="minorHAnsi"/>
          <w:b/>
          <w:bCs/>
          <w:i/>
          <w:sz w:val="24"/>
          <w:szCs w:val="24"/>
          <w:u w:val="single"/>
        </w:rPr>
        <w:t>Public Sector Management Act 1994</w:t>
      </w:r>
    </w:p>
    <w:p w14:paraId="17F69032" w14:textId="792782C1" w:rsidR="00EF472F" w:rsidRDefault="00EF472F" w:rsidP="00172EE7">
      <w:pPr>
        <w:spacing w:before="120"/>
        <w:rPr>
          <w:rFonts w:asciiTheme="minorHAnsi" w:hAnsiTheme="minorHAnsi" w:cstheme="minorHAnsi"/>
          <w:iCs/>
          <w:sz w:val="24"/>
          <w:szCs w:val="24"/>
        </w:rPr>
      </w:pPr>
      <w:r w:rsidRPr="00172EE7">
        <w:rPr>
          <w:rFonts w:asciiTheme="minorHAnsi" w:hAnsiTheme="minorHAnsi" w:cstheme="minorHAnsi"/>
          <w:iCs/>
          <w:sz w:val="24"/>
          <w:szCs w:val="24"/>
        </w:rPr>
        <w:t xml:space="preserve">The </w:t>
      </w:r>
      <w:r w:rsidRPr="00172EE7">
        <w:rPr>
          <w:rFonts w:asciiTheme="minorHAnsi" w:hAnsiTheme="minorHAnsi" w:cstheme="minorHAnsi"/>
          <w:i/>
          <w:sz w:val="24"/>
          <w:szCs w:val="24"/>
        </w:rPr>
        <w:t>Public Sector Management Act 1994</w:t>
      </w:r>
      <w:r w:rsidRPr="00172EE7">
        <w:rPr>
          <w:rFonts w:asciiTheme="minorHAnsi" w:hAnsiTheme="minorHAnsi" w:cstheme="minorHAnsi"/>
          <w:iCs/>
          <w:sz w:val="24"/>
          <w:szCs w:val="24"/>
        </w:rPr>
        <w:t xml:space="preserve"> (PSMA) establishes, under Part 8, the Public Sector Standards Commissioner</w:t>
      </w:r>
      <w:r w:rsidR="003633C6">
        <w:rPr>
          <w:rFonts w:asciiTheme="minorHAnsi" w:hAnsiTheme="minorHAnsi" w:cstheme="minorHAnsi"/>
          <w:iCs/>
          <w:sz w:val="24"/>
          <w:szCs w:val="24"/>
        </w:rPr>
        <w:t xml:space="preserve"> (PSS Commissioner)</w:t>
      </w:r>
      <w:r w:rsidRPr="00172EE7">
        <w:rPr>
          <w:rFonts w:asciiTheme="minorHAnsi" w:hAnsiTheme="minorHAnsi" w:cstheme="minorHAnsi"/>
          <w:iCs/>
          <w:sz w:val="24"/>
          <w:szCs w:val="24"/>
        </w:rPr>
        <w:t>.  The Bill provides for amendments to the PSMA to expressly provide for the independence of the PSS Commissioner and allow for the independence of staff carrying our work for the Commissioner per arrangements made under section 148 of the PSMA.</w:t>
      </w:r>
      <w:r>
        <w:rPr>
          <w:rFonts w:asciiTheme="minorHAnsi" w:hAnsiTheme="minorHAnsi" w:cstheme="minorHAnsi"/>
          <w:iCs/>
          <w:sz w:val="24"/>
          <w:szCs w:val="24"/>
        </w:rPr>
        <w:t xml:space="preserve"> </w:t>
      </w:r>
    </w:p>
    <w:p w14:paraId="40E72FEF" w14:textId="77777777" w:rsidR="005950FB" w:rsidRDefault="005950FB" w:rsidP="00C155A3">
      <w:pPr>
        <w:spacing w:after="0"/>
        <w:rPr>
          <w:rFonts w:asciiTheme="minorHAnsi" w:hAnsiTheme="minorHAnsi" w:cstheme="minorHAnsi"/>
          <w:b/>
          <w:bCs/>
          <w:i/>
          <w:sz w:val="24"/>
          <w:szCs w:val="24"/>
          <w:u w:val="single"/>
        </w:rPr>
      </w:pPr>
    </w:p>
    <w:p w14:paraId="24D20911" w14:textId="38EB9606" w:rsidR="00147182" w:rsidRPr="00ED282E" w:rsidRDefault="00147182" w:rsidP="00C155A3">
      <w:pPr>
        <w:spacing w:after="0"/>
        <w:rPr>
          <w:b/>
          <w:i/>
          <w:iCs/>
          <w:sz w:val="24"/>
          <w:szCs w:val="24"/>
          <w:u w:val="single"/>
        </w:rPr>
      </w:pPr>
      <w:r w:rsidRPr="00ED282E">
        <w:rPr>
          <w:b/>
          <w:i/>
          <w:iCs/>
          <w:sz w:val="24"/>
          <w:szCs w:val="24"/>
          <w:u w:val="single"/>
        </w:rPr>
        <w:t>Work Health and Safety Act 2011</w:t>
      </w:r>
    </w:p>
    <w:p w14:paraId="28B29643" w14:textId="656A128A" w:rsidR="00147182" w:rsidRDefault="00147182" w:rsidP="00BC0A72">
      <w:pPr>
        <w:spacing w:before="240" w:after="0"/>
        <w:rPr>
          <w:sz w:val="24"/>
          <w:szCs w:val="24"/>
        </w:rPr>
      </w:pPr>
      <w:r>
        <w:rPr>
          <w:sz w:val="24"/>
          <w:szCs w:val="24"/>
        </w:rPr>
        <w:t xml:space="preserve">The </w:t>
      </w:r>
      <w:r>
        <w:rPr>
          <w:i/>
          <w:iCs/>
          <w:sz w:val="24"/>
          <w:szCs w:val="24"/>
        </w:rPr>
        <w:t>Work Health and Safety Act 2011</w:t>
      </w:r>
      <w:r>
        <w:rPr>
          <w:sz w:val="24"/>
          <w:szCs w:val="24"/>
        </w:rPr>
        <w:t xml:space="preserve"> (WHS Act) sets out the framework for securing the health and safety of workers and workplaces. The WHS Act adopts the nationally agreed model WHS laws in the Territory</w:t>
      </w:r>
      <w:r w:rsidR="00154713">
        <w:rPr>
          <w:sz w:val="24"/>
          <w:szCs w:val="24"/>
        </w:rPr>
        <w:t xml:space="preserve"> as published by Safe Work Australia</w:t>
      </w:r>
      <w:r>
        <w:rPr>
          <w:sz w:val="24"/>
          <w:szCs w:val="24"/>
        </w:rPr>
        <w:t>.</w:t>
      </w:r>
    </w:p>
    <w:p w14:paraId="663B4DF2" w14:textId="77777777" w:rsidR="00147182" w:rsidRDefault="00147182" w:rsidP="00C155A3">
      <w:pPr>
        <w:spacing w:after="0"/>
        <w:rPr>
          <w:bCs/>
          <w:sz w:val="24"/>
          <w:szCs w:val="24"/>
        </w:rPr>
      </w:pPr>
    </w:p>
    <w:p w14:paraId="0C2A334E" w14:textId="40252AE7" w:rsidR="00147182" w:rsidRPr="00CD32D1" w:rsidRDefault="00147182" w:rsidP="00C155A3">
      <w:pPr>
        <w:spacing w:after="0"/>
        <w:rPr>
          <w:bCs/>
          <w:sz w:val="24"/>
          <w:szCs w:val="24"/>
        </w:rPr>
      </w:pPr>
      <w:r>
        <w:rPr>
          <w:bCs/>
          <w:sz w:val="24"/>
          <w:szCs w:val="24"/>
        </w:rPr>
        <w:t>T</w:t>
      </w:r>
      <w:r w:rsidRPr="00D214CC">
        <w:rPr>
          <w:bCs/>
          <w:sz w:val="24"/>
          <w:szCs w:val="24"/>
        </w:rPr>
        <w:t xml:space="preserve">he </w:t>
      </w:r>
      <w:r>
        <w:rPr>
          <w:bCs/>
          <w:sz w:val="24"/>
          <w:szCs w:val="24"/>
        </w:rPr>
        <w:t>Bill a</w:t>
      </w:r>
      <w:r w:rsidRPr="00CD32D1">
        <w:rPr>
          <w:bCs/>
          <w:sz w:val="24"/>
          <w:szCs w:val="24"/>
        </w:rPr>
        <w:t>mend</w:t>
      </w:r>
      <w:r w:rsidR="00154713">
        <w:rPr>
          <w:bCs/>
          <w:sz w:val="24"/>
          <w:szCs w:val="24"/>
        </w:rPr>
        <w:t>s</w:t>
      </w:r>
      <w:r w:rsidRPr="00CD32D1">
        <w:rPr>
          <w:bCs/>
          <w:sz w:val="24"/>
          <w:szCs w:val="24"/>
        </w:rPr>
        <w:t xml:space="preserve"> the WHS Act and </w:t>
      </w:r>
      <w:r w:rsidR="00154713">
        <w:rPr>
          <w:bCs/>
          <w:sz w:val="24"/>
          <w:szCs w:val="24"/>
        </w:rPr>
        <w:t>the Work Health and Safety Regulation 2011 (</w:t>
      </w:r>
      <w:r w:rsidRPr="00CD32D1">
        <w:rPr>
          <w:bCs/>
          <w:sz w:val="24"/>
          <w:szCs w:val="24"/>
        </w:rPr>
        <w:t>WHS Regulation</w:t>
      </w:r>
      <w:r w:rsidR="00154713">
        <w:rPr>
          <w:bCs/>
          <w:sz w:val="24"/>
          <w:szCs w:val="24"/>
        </w:rPr>
        <w:t>)</w:t>
      </w:r>
      <w:r w:rsidRPr="00CD32D1">
        <w:rPr>
          <w:bCs/>
          <w:sz w:val="24"/>
          <w:szCs w:val="24"/>
        </w:rPr>
        <w:t xml:space="preserve"> to:</w:t>
      </w:r>
    </w:p>
    <w:p w14:paraId="49FEEA83" w14:textId="3669EBC0" w:rsidR="00147182" w:rsidRPr="002E67F4" w:rsidRDefault="00147182" w:rsidP="00C155A3">
      <w:pPr>
        <w:pStyle w:val="ListParagraph"/>
        <w:numPr>
          <w:ilvl w:val="0"/>
          <w:numId w:val="18"/>
        </w:numPr>
        <w:spacing w:before="240" w:after="120"/>
        <w:rPr>
          <w:bCs/>
          <w:sz w:val="24"/>
          <w:szCs w:val="24"/>
        </w:rPr>
      </w:pPr>
      <w:r>
        <w:rPr>
          <w:bCs/>
          <w:sz w:val="24"/>
          <w:szCs w:val="24"/>
        </w:rPr>
        <w:t>increase</w:t>
      </w:r>
      <w:r w:rsidRPr="002E67F4">
        <w:rPr>
          <w:bCs/>
          <w:sz w:val="24"/>
          <w:szCs w:val="24"/>
        </w:rPr>
        <w:t xml:space="preserve"> </w:t>
      </w:r>
      <w:r>
        <w:rPr>
          <w:bCs/>
          <w:sz w:val="24"/>
          <w:szCs w:val="24"/>
        </w:rPr>
        <w:t>the maximum</w:t>
      </w:r>
      <w:r w:rsidRPr="002E67F4">
        <w:rPr>
          <w:bCs/>
          <w:sz w:val="24"/>
          <w:szCs w:val="24"/>
        </w:rPr>
        <w:t xml:space="preserve"> penalt</w:t>
      </w:r>
      <w:r>
        <w:rPr>
          <w:bCs/>
          <w:sz w:val="24"/>
          <w:szCs w:val="24"/>
        </w:rPr>
        <w:t>y for bodies corporate</w:t>
      </w:r>
      <w:r w:rsidRPr="002E67F4">
        <w:rPr>
          <w:bCs/>
          <w:sz w:val="24"/>
          <w:szCs w:val="24"/>
        </w:rPr>
        <w:t xml:space="preserve"> for the offence of industrial manslaughter </w:t>
      </w:r>
    </w:p>
    <w:p w14:paraId="53777FC0" w14:textId="0A72ABFB" w:rsidR="00147182" w:rsidRPr="002E67F4" w:rsidRDefault="00147182" w:rsidP="00C155A3">
      <w:pPr>
        <w:pStyle w:val="ListParagraph"/>
        <w:numPr>
          <w:ilvl w:val="0"/>
          <w:numId w:val="18"/>
        </w:numPr>
        <w:spacing w:before="240" w:after="120"/>
        <w:rPr>
          <w:bCs/>
          <w:sz w:val="24"/>
          <w:szCs w:val="24"/>
        </w:rPr>
      </w:pPr>
      <w:r w:rsidRPr="002E67F4">
        <w:rPr>
          <w:bCs/>
          <w:sz w:val="24"/>
          <w:szCs w:val="24"/>
        </w:rPr>
        <w:t xml:space="preserve">clarify that an officer may commit a Category 1 offence </w:t>
      </w:r>
    </w:p>
    <w:p w14:paraId="2A6CD2A0" w14:textId="6E4EB7E6" w:rsidR="00147182" w:rsidRPr="002E67F4" w:rsidRDefault="00147182" w:rsidP="00C155A3">
      <w:pPr>
        <w:pStyle w:val="ListParagraph"/>
        <w:numPr>
          <w:ilvl w:val="0"/>
          <w:numId w:val="18"/>
        </w:numPr>
        <w:spacing w:before="240" w:after="120"/>
        <w:rPr>
          <w:bCs/>
          <w:sz w:val="24"/>
          <w:szCs w:val="24"/>
        </w:rPr>
      </w:pPr>
      <w:r w:rsidRPr="002E67F4">
        <w:rPr>
          <w:bCs/>
          <w:sz w:val="24"/>
          <w:szCs w:val="24"/>
        </w:rPr>
        <w:t>amend how WHS penalty provisions are expressed, increasing penalty amounts and providing for the indexation of penalty amounts</w:t>
      </w:r>
      <w:r>
        <w:rPr>
          <w:bCs/>
          <w:sz w:val="24"/>
          <w:szCs w:val="24"/>
        </w:rPr>
        <w:t>; and</w:t>
      </w:r>
    </w:p>
    <w:p w14:paraId="2BD910DA" w14:textId="6F188CD5" w:rsidR="00147182" w:rsidRPr="007C6A76" w:rsidRDefault="00147182" w:rsidP="00C155A3">
      <w:pPr>
        <w:pStyle w:val="ListParagraph"/>
        <w:numPr>
          <w:ilvl w:val="0"/>
          <w:numId w:val="18"/>
        </w:numPr>
        <w:spacing w:before="240" w:after="120"/>
        <w:rPr>
          <w:bCs/>
          <w:sz w:val="24"/>
          <w:szCs w:val="24"/>
        </w:rPr>
      </w:pPr>
      <w:r w:rsidRPr="007C6A76">
        <w:rPr>
          <w:bCs/>
          <w:sz w:val="24"/>
          <w:szCs w:val="24"/>
        </w:rPr>
        <w:t>insert new provisions allowing for aggregation of conduct for bod</w:t>
      </w:r>
      <w:r w:rsidR="003633C6">
        <w:rPr>
          <w:bCs/>
          <w:sz w:val="24"/>
          <w:szCs w:val="24"/>
        </w:rPr>
        <w:t>ies</w:t>
      </w:r>
      <w:r w:rsidRPr="007C6A76">
        <w:rPr>
          <w:bCs/>
          <w:sz w:val="24"/>
          <w:szCs w:val="24"/>
        </w:rPr>
        <w:t xml:space="preserve"> corporate.</w:t>
      </w:r>
    </w:p>
    <w:p w14:paraId="1E33C006" w14:textId="77777777" w:rsidR="00147182" w:rsidRDefault="00147182" w:rsidP="00C155A3">
      <w:pPr>
        <w:spacing w:after="0"/>
        <w:rPr>
          <w:b/>
          <w:bCs/>
          <w:sz w:val="24"/>
          <w:szCs w:val="24"/>
          <w:u w:val="single"/>
        </w:rPr>
      </w:pPr>
    </w:p>
    <w:p w14:paraId="1D9BE016" w14:textId="77777777" w:rsidR="00C155A3" w:rsidRPr="00D87206" w:rsidRDefault="00C155A3" w:rsidP="00C155A3">
      <w:pPr>
        <w:spacing w:before="120" w:after="0"/>
        <w:rPr>
          <w:rFonts w:asciiTheme="minorHAnsi" w:hAnsiTheme="minorHAnsi" w:cstheme="minorHAnsi"/>
          <w:iCs/>
          <w:sz w:val="24"/>
          <w:szCs w:val="24"/>
          <w:u w:val="single"/>
        </w:rPr>
      </w:pPr>
      <w:r w:rsidRPr="00D87206">
        <w:rPr>
          <w:rFonts w:asciiTheme="minorHAnsi" w:hAnsiTheme="minorHAnsi" w:cstheme="minorHAnsi"/>
          <w:iCs/>
          <w:sz w:val="24"/>
          <w:szCs w:val="24"/>
          <w:u w:val="single"/>
        </w:rPr>
        <w:t>Aggregation of conduct for bodies corporate</w:t>
      </w:r>
      <w:r>
        <w:rPr>
          <w:rFonts w:asciiTheme="minorHAnsi" w:hAnsiTheme="minorHAnsi" w:cstheme="minorHAnsi"/>
          <w:iCs/>
          <w:sz w:val="24"/>
          <w:szCs w:val="24"/>
          <w:u w:val="single"/>
        </w:rPr>
        <w:t xml:space="preserve"> - Work Health and Safety Act</w:t>
      </w:r>
    </w:p>
    <w:p w14:paraId="15936A9F" w14:textId="77777777" w:rsidR="00BC0A72" w:rsidRDefault="00C155A3" w:rsidP="00BC0A72">
      <w:pPr>
        <w:spacing w:before="120" w:after="0"/>
        <w:rPr>
          <w:rFonts w:asciiTheme="minorHAnsi" w:hAnsiTheme="minorHAnsi" w:cstheme="minorHAnsi"/>
          <w:iCs/>
          <w:sz w:val="24"/>
          <w:szCs w:val="24"/>
        </w:rPr>
      </w:pPr>
      <w:r>
        <w:rPr>
          <w:rFonts w:asciiTheme="minorHAnsi" w:hAnsiTheme="minorHAnsi" w:cstheme="minorHAnsi"/>
          <w:iCs/>
          <w:sz w:val="24"/>
          <w:szCs w:val="24"/>
        </w:rPr>
        <w:t xml:space="preserve">The Bill reflects changes made to the model WHS Act to establish provisions dealing with criminal liability for bodies corporate.   These measures promote the right to safe and healthy working conditions by deterring non-compliance with WHS laws and facilitating more effective prosecutions of bodies corporate. The HR Act provides that only individuals have human rights and provisions do not extend to bodies corporate. </w:t>
      </w:r>
    </w:p>
    <w:p w14:paraId="5E5E86EE" w14:textId="77777777" w:rsidR="00BC0A72" w:rsidRDefault="00C155A3" w:rsidP="00BC0A72">
      <w:pPr>
        <w:spacing w:before="120" w:after="0"/>
        <w:rPr>
          <w:rFonts w:asciiTheme="minorHAnsi" w:hAnsiTheme="minorHAnsi" w:cstheme="minorHAnsi"/>
          <w:sz w:val="24"/>
          <w:szCs w:val="24"/>
        </w:rPr>
      </w:pPr>
      <w:r w:rsidRPr="00ED443C">
        <w:rPr>
          <w:rFonts w:asciiTheme="minorHAnsi" w:hAnsiTheme="minorHAnsi" w:cstheme="minorHAnsi"/>
          <w:sz w:val="24"/>
          <w:szCs w:val="24"/>
        </w:rPr>
        <w:t xml:space="preserve">A body corporate is an artificial entity that can only act and make decisions through individuals. Existing section 244 </w:t>
      </w:r>
      <w:r>
        <w:rPr>
          <w:rFonts w:asciiTheme="minorHAnsi" w:hAnsiTheme="minorHAnsi" w:cstheme="minorHAnsi"/>
          <w:sz w:val="24"/>
          <w:szCs w:val="24"/>
        </w:rPr>
        <w:t xml:space="preserve">of the WHS Act </w:t>
      </w:r>
      <w:r w:rsidRPr="00ED443C">
        <w:rPr>
          <w:rFonts w:asciiTheme="minorHAnsi" w:hAnsiTheme="minorHAnsi" w:cstheme="minorHAnsi"/>
          <w:sz w:val="24"/>
          <w:szCs w:val="24"/>
        </w:rPr>
        <w:t>provides for the attribution of conduct engaged in on behalf of a body corporate by an employee, officer or agent of the body corporate to the body corporate – that is, the conduct is taken to have been engaged in by the body corporate</w:t>
      </w:r>
      <w:r w:rsidR="00BC0A72">
        <w:rPr>
          <w:rFonts w:asciiTheme="minorHAnsi" w:hAnsiTheme="minorHAnsi" w:cstheme="minorHAnsi"/>
          <w:sz w:val="24"/>
          <w:szCs w:val="24"/>
        </w:rPr>
        <w:t>.</w:t>
      </w:r>
    </w:p>
    <w:p w14:paraId="201DE586" w14:textId="77777777" w:rsidR="00BC0A72" w:rsidRDefault="00C155A3" w:rsidP="00BC0A72">
      <w:pPr>
        <w:spacing w:before="120" w:after="0"/>
        <w:rPr>
          <w:rFonts w:asciiTheme="minorHAnsi" w:hAnsiTheme="minorHAnsi" w:cstheme="minorHAnsi"/>
          <w:color w:val="000000" w:themeColor="text1"/>
          <w:sz w:val="24"/>
          <w:szCs w:val="24"/>
        </w:rPr>
      </w:pPr>
      <w:r w:rsidRPr="00ED443C">
        <w:rPr>
          <w:rFonts w:asciiTheme="minorHAnsi" w:hAnsiTheme="minorHAnsi" w:cstheme="minorHAnsi"/>
          <w:sz w:val="24"/>
          <w:szCs w:val="24"/>
        </w:rPr>
        <w:t xml:space="preserve">This </w:t>
      </w:r>
      <w:r>
        <w:rPr>
          <w:rFonts w:asciiTheme="minorHAnsi" w:hAnsiTheme="minorHAnsi" w:cstheme="minorHAnsi"/>
          <w:sz w:val="24"/>
          <w:szCs w:val="24"/>
        </w:rPr>
        <w:t>Bill</w:t>
      </w:r>
      <w:r w:rsidRPr="00ED443C">
        <w:rPr>
          <w:rFonts w:asciiTheme="minorHAnsi" w:hAnsiTheme="minorHAnsi" w:cstheme="minorHAnsi"/>
          <w:sz w:val="24"/>
          <w:szCs w:val="24"/>
        </w:rPr>
        <w:t xml:space="preserve"> amends section 244 and inserts new sections </w:t>
      </w:r>
      <w:r>
        <w:rPr>
          <w:rFonts w:asciiTheme="minorHAnsi" w:hAnsiTheme="minorHAnsi" w:cstheme="minorHAnsi"/>
          <w:sz w:val="24"/>
          <w:szCs w:val="24"/>
        </w:rPr>
        <w:t>that</w:t>
      </w:r>
      <w:r w:rsidRPr="00ED443C">
        <w:rPr>
          <w:rFonts w:asciiTheme="minorHAnsi" w:hAnsiTheme="minorHAnsi" w:cstheme="minorHAnsi"/>
          <w:sz w:val="24"/>
          <w:szCs w:val="24"/>
        </w:rPr>
        <w:t xml:space="preserve"> set out the circumstances in which the physical and fault elements of an offence are attributed to a body corporate</w:t>
      </w:r>
      <w:r>
        <w:rPr>
          <w:rFonts w:asciiTheme="minorHAnsi" w:hAnsiTheme="minorHAnsi" w:cstheme="minorHAnsi"/>
          <w:sz w:val="24"/>
          <w:szCs w:val="24"/>
        </w:rPr>
        <w:t xml:space="preserve"> and </w:t>
      </w:r>
      <w:r w:rsidRPr="00ED443C">
        <w:rPr>
          <w:rFonts w:asciiTheme="minorHAnsi" w:hAnsiTheme="minorHAnsi" w:cstheme="minorHAnsi"/>
          <w:sz w:val="24"/>
          <w:szCs w:val="24"/>
        </w:rPr>
        <w:t xml:space="preserve"> </w:t>
      </w:r>
      <w:r w:rsidRPr="00ED443C">
        <w:rPr>
          <w:rFonts w:asciiTheme="minorHAnsi" w:hAnsiTheme="minorHAnsi" w:cstheme="minorHAnsi"/>
          <w:color w:val="000000" w:themeColor="text1"/>
          <w:sz w:val="24"/>
          <w:szCs w:val="24"/>
        </w:rPr>
        <w:t xml:space="preserve">allow for aggregation of conduct. This enables the conduct of authorised persons within a body corporate to be considered as a whole in determining whether the body corporate has committed an offence where intention, knowledge or recklessness is the fault element (or required state of mind). This means that the same individual does not need to have engaged in the relevant conduct and hold the relevant state of mind (fault element) in order to prove an offence against a body corporate. </w:t>
      </w:r>
    </w:p>
    <w:p w14:paraId="4D784D9F" w14:textId="77777777" w:rsidR="00BC0A72" w:rsidRDefault="00C155A3" w:rsidP="00BC0A72">
      <w:pPr>
        <w:spacing w:before="120" w:after="0"/>
        <w:rPr>
          <w:rFonts w:asciiTheme="minorHAnsi" w:hAnsiTheme="minorHAnsi" w:cstheme="minorHAnsi"/>
          <w:color w:val="000000" w:themeColor="text1"/>
          <w:sz w:val="24"/>
          <w:szCs w:val="24"/>
        </w:rPr>
      </w:pPr>
      <w:r w:rsidRPr="00ED443C">
        <w:rPr>
          <w:rFonts w:asciiTheme="minorHAnsi" w:hAnsiTheme="minorHAnsi" w:cstheme="minorHAnsi"/>
          <w:color w:val="000000" w:themeColor="text1"/>
          <w:sz w:val="24"/>
          <w:szCs w:val="24"/>
        </w:rPr>
        <w:lastRenderedPageBreak/>
        <w:t xml:space="preserve">Attribution and aggregation are not applicable to most offences in the model WHS laws, because for duty-based offences it is sufficient for the prosecution to demonstrate a failure by a body corporate PCBU to ensure, for example, the health and safety of workers so far as is reasonably practicable, without having to establish where in the company the failure occurred. </w:t>
      </w:r>
    </w:p>
    <w:p w14:paraId="229C213A" w14:textId="7C7C73ED" w:rsidR="00C155A3" w:rsidRPr="00ED443C" w:rsidRDefault="00C155A3" w:rsidP="00BC0A72">
      <w:pPr>
        <w:spacing w:before="120" w:after="0"/>
        <w:rPr>
          <w:rFonts w:asciiTheme="minorHAnsi" w:hAnsiTheme="minorHAnsi" w:cstheme="minorHAnsi"/>
          <w:color w:val="000000" w:themeColor="text1"/>
          <w:sz w:val="24"/>
          <w:szCs w:val="24"/>
        </w:rPr>
      </w:pPr>
      <w:r w:rsidRPr="00ED443C">
        <w:rPr>
          <w:rFonts w:asciiTheme="minorHAnsi" w:hAnsiTheme="minorHAnsi" w:cstheme="minorHAnsi"/>
          <w:color w:val="000000" w:themeColor="text1"/>
          <w:sz w:val="24"/>
          <w:szCs w:val="24"/>
        </w:rPr>
        <w:t xml:space="preserve">The provisions to which aggregation are applicable are those that have a fault element of knowledge, intention or recklessness; and which have a physical and fault element that are capable of being separated so that the physical element and fault element of two different individuals acting on behalf of the company may be attributed to the company. The model law offences to which aggregation may be applicable are: </w:t>
      </w:r>
    </w:p>
    <w:p w14:paraId="5AB38150" w14:textId="77777777" w:rsidR="00C155A3" w:rsidRPr="00ED443C" w:rsidRDefault="00C155A3" w:rsidP="00C155A3">
      <w:pPr>
        <w:pStyle w:val="ListParagraph"/>
        <w:numPr>
          <w:ilvl w:val="0"/>
          <w:numId w:val="23"/>
        </w:numPr>
        <w:spacing w:after="160"/>
        <w:contextualSpacing/>
        <w:rPr>
          <w:rFonts w:asciiTheme="minorHAnsi" w:hAnsiTheme="minorHAnsi" w:cstheme="minorHAnsi"/>
          <w:color w:val="000000" w:themeColor="text1"/>
          <w:sz w:val="24"/>
          <w:szCs w:val="24"/>
        </w:rPr>
      </w:pPr>
      <w:r w:rsidRPr="00ED443C">
        <w:rPr>
          <w:rFonts w:asciiTheme="minorHAnsi" w:hAnsiTheme="minorHAnsi" w:cstheme="minorHAnsi"/>
          <w:color w:val="000000" w:themeColor="text1"/>
          <w:sz w:val="24"/>
          <w:szCs w:val="24"/>
        </w:rPr>
        <w:t>section 31 – Reckless conduct – category 1</w:t>
      </w:r>
    </w:p>
    <w:p w14:paraId="3374D2B3" w14:textId="77777777" w:rsidR="00C155A3" w:rsidRPr="00ED443C" w:rsidRDefault="00C155A3" w:rsidP="00C155A3">
      <w:pPr>
        <w:pStyle w:val="ListParagraph"/>
        <w:numPr>
          <w:ilvl w:val="0"/>
          <w:numId w:val="23"/>
        </w:numPr>
        <w:spacing w:after="160"/>
        <w:contextualSpacing/>
        <w:rPr>
          <w:rFonts w:asciiTheme="minorHAnsi" w:hAnsiTheme="minorHAnsi" w:cstheme="minorHAnsi"/>
          <w:color w:val="000000" w:themeColor="text1"/>
          <w:sz w:val="24"/>
          <w:szCs w:val="24"/>
        </w:rPr>
      </w:pPr>
      <w:r w:rsidRPr="00ED443C">
        <w:rPr>
          <w:rFonts w:asciiTheme="minorHAnsi" w:hAnsiTheme="minorHAnsi" w:cstheme="minorHAnsi"/>
          <w:color w:val="000000" w:themeColor="text1"/>
          <w:sz w:val="24"/>
          <w:szCs w:val="24"/>
        </w:rPr>
        <w:t>section 97(2) – intentionally remove etc an improvement notice</w:t>
      </w:r>
    </w:p>
    <w:p w14:paraId="23C3E170" w14:textId="77777777" w:rsidR="00C155A3" w:rsidRPr="00ED443C" w:rsidRDefault="00C155A3" w:rsidP="00C155A3">
      <w:pPr>
        <w:pStyle w:val="ListParagraph"/>
        <w:numPr>
          <w:ilvl w:val="0"/>
          <w:numId w:val="23"/>
        </w:numPr>
        <w:spacing w:after="160"/>
        <w:contextualSpacing/>
        <w:rPr>
          <w:rFonts w:asciiTheme="minorHAnsi" w:hAnsiTheme="minorHAnsi" w:cstheme="minorHAnsi"/>
          <w:color w:val="000000" w:themeColor="text1"/>
          <w:sz w:val="24"/>
          <w:szCs w:val="24"/>
        </w:rPr>
      </w:pPr>
      <w:r w:rsidRPr="00ED443C">
        <w:rPr>
          <w:rFonts w:asciiTheme="minorHAnsi" w:hAnsiTheme="minorHAnsi" w:cstheme="minorHAnsi"/>
          <w:color w:val="000000" w:themeColor="text1"/>
          <w:sz w:val="24"/>
          <w:szCs w:val="24"/>
        </w:rPr>
        <w:t>section 109 – knowingly or recklessly make a misrepresentation</w:t>
      </w:r>
    </w:p>
    <w:p w14:paraId="2CAC594F" w14:textId="77777777" w:rsidR="00C155A3" w:rsidRPr="00ED443C" w:rsidRDefault="00C155A3" w:rsidP="00C155A3">
      <w:pPr>
        <w:pStyle w:val="ListParagraph"/>
        <w:numPr>
          <w:ilvl w:val="0"/>
          <w:numId w:val="23"/>
        </w:numPr>
        <w:spacing w:after="160"/>
        <w:contextualSpacing/>
        <w:rPr>
          <w:rFonts w:asciiTheme="minorHAnsi" w:hAnsiTheme="minorHAnsi" w:cstheme="minorHAnsi"/>
          <w:color w:val="000000" w:themeColor="text1"/>
          <w:sz w:val="24"/>
          <w:szCs w:val="24"/>
        </w:rPr>
      </w:pPr>
      <w:r w:rsidRPr="00ED443C">
        <w:rPr>
          <w:rFonts w:asciiTheme="minorHAnsi" w:hAnsiTheme="minorHAnsi" w:cstheme="minorHAnsi"/>
          <w:color w:val="000000" w:themeColor="text1"/>
          <w:sz w:val="24"/>
          <w:szCs w:val="24"/>
        </w:rPr>
        <w:t>section 188 – intentionally hinder or obstruct an inspector</w:t>
      </w:r>
    </w:p>
    <w:p w14:paraId="6AEAFA72" w14:textId="77777777" w:rsidR="00C155A3" w:rsidRPr="00ED443C" w:rsidRDefault="00C155A3" w:rsidP="00C155A3">
      <w:pPr>
        <w:pStyle w:val="ListParagraph"/>
        <w:numPr>
          <w:ilvl w:val="0"/>
          <w:numId w:val="23"/>
        </w:numPr>
        <w:spacing w:after="160"/>
        <w:contextualSpacing/>
        <w:rPr>
          <w:rFonts w:asciiTheme="minorHAnsi" w:hAnsiTheme="minorHAnsi" w:cstheme="minorHAnsi"/>
          <w:color w:val="000000" w:themeColor="text1"/>
          <w:sz w:val="24"/>
          <w:szCs w:val="24"/>
        </w:rPr>
      </w:pPr>
      <w:r w:rsidRPr="00ED443C">
        <w:rPr>
          <w:rFonts w:asciiTheme="minorHAnsi" w:hAnsiTheme="minorHAnsi" w:cstheme="minorHAnsi"/>
          <w:color w:val="000000" w:themeColor="text1"/>
          <w:sz w:val="24"/>
          <w:szCs w:val="24"/>
        </w:rPr>
        <w:t>section 210(2) – intentionally remove etc a notice</w:t>
      </w:r>
    </w:p>
    <w:p w14:paraId="5396E3F2" w14:textId="77777777" w:rsidR="00C155A3" w:rsidRPr="00ED443C" w:rsidRDefault="00C155A3" w:rsidP="00C155A3">
      <w:pPr>
        <w:pStyle w:val="ListParagraph"/>
        <w:numPr>
          <w:ilvl w:val="0"/>
          <w:numId w:val="23"/>
        </w:numPr>
        <w:spacing w:after="160"/>
        <w:contextualSpacing/>
        <w:rPr>
          <w:rFonts w:asciiTheme="minorHAnsi" w:hAnsiTheme="minorHAnsi" w:cstheme="minorHAnsi"/>
          <w:color w:val="000000" w:themeColor="text1"/>
          <w:sz w:val="24"/>
          <w:szCs w:val="24"/>
        </w:rPr>
      </w:pPr>
      <w:r w:rsidRPr="00ED443C">
        <w:rPr>
          <w:rFonts w:asciiTheme="minorHAnsi" w:hAnsiTheme="minorHAnsi" w:cstheme="minorHAnsi"/>
          <w:color w:val="000000" w:themeColor="text1"/>
          <w:sz w:val="24"/>
          <w:szCs w:val="24"/>
        </w:rPr>
        <w:t xml:space="preserve">regulation 337 – retailer or supplier packing hazardous chemicals, and </w:t>
      </w:r>
    </w:p>
    <w:p w14:paraId="5EB3908E" w14:textId="77777777" w:rsidR="00C155A3" w:rsidRDefault="00C155A3" w:rsidP="00C155A3">
      <w:pPr>
        <w:pStyle w:val="ListParagraph"/>
        <w:numPr>
          <w:ilvl w:val="0"/>
          <w:numId w:val="23"/>
        </w:numPr>
        <w:spacing w:after="160"/>
        <w:contextualSpacing/>
        <w:rPr>
          <w:rFonts w:asciiTheme="minorHAnsi" w:hAnsiTheme="minorHAnsi" w:cstheme="minorHAnsi"/>
          <w:color w:val="000000" w:themeColor="text1"/>
          <w:sz w:val="24"/>
          <w:szCs w:val="24"/>
        </w:rPr>
      </w:pPr>
      <w:r w:rsidRPr="00ED443C">
        <w:rPr>
          <w:rFonts w:asciiTheme="minorHAnsi" w:hAnsiTheme="minorHAnsi" w:cstheme="minorHAnsi"/>
          <w:color w:val="000000" w:themeColor="text1"/>
          <w:sz w:val="24"/>
          <w:szCs w:val="24"/>
        </w:rPr>
        <w:t xml:space="preserve">regulation 338 – supplier labelling hazardous chemicals. </w:t>
      </w:r>
    </w:p>
    <w:p w14:paraId="62087868" w14:textId="77777777" w:rsidR="00BC0A72" w:rsidRDefault="00C155A3" w:rsidP="00C155A3">
      <w:pPr>
        <w:spacing w:after="16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Provision has also been made to clarify how the new fault element of negligence is attributed to a body corporate within the new aggregation of conduct arrangements.  </w:t>
      </w:r>
    </w:p>
    <w:p w14:paraId="708435A9" w14:textId="77777777" w:rsidR="00BC0A72" w:rsidRDefault="00BC0A72" w:rsidP="00C155A3">
      <w:pPr>
        <w:spacing w:after="160"/>
        <w:contextualSpacing/>
        <w:rPr>
          <w:rFonts w:asciiTheme="minorHAnsi" w:hAnsiTheme="minorHAnsi" w:cstheme="minorHAnsi"/>
          <w:color w:val="000000" w:themeColor="text1"/>
          <w:sz w:val="24"/>
          <w:szCs w:val="24"/>
        </w:rPr>
      </w:pPr>
    </w:p>
    <w:p w14:paraId="6A476003" w14:textId="7A001721" w:rsidR="00C155A3" w:rsidRDefault="00C155A3" w:rsidP="00C155A3">
      <w:pPr>
        <w:spacing w:after="16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Negligence may exist on the part of a body corporate, despite no individual authorised person of the body corporate having the fault element if:</w:t>
      </w:r>
    </w:p>
    <w:p w14:paraId="4F3B4A9A" w14:textId="77777777" w:rsidR="00C155A3" w:rsidRDefault="00C155A3" w:rsidP="00C155A3">
      <w:pPr>
        <w:pStyle w:val="ListParagraph"/>
        <w:numPr>
          <w:ilvl w:val="0"/>
          <w:numId w:val="30"/>
        </w:numPr>
        <w:spacing w:after="16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negligence is a fault element in relation to the commission of the physical element of an offence, and</w:t>
      </w:r>
    </w:p>
    <w:p w14:paraId="30A9C4EC" w14:textId="72388F69" w:rsidR="00C155A3" w:rsidRDefault="00C155A3" w:rsidP="00C155A3">
      <w:pPr>
        <w:pStyle w:val="ListParagraph"/>
        <w:numPr>
          <w:ilvl w:val="0"/>
          <w:numId w:val="30"/>
        </w:numPr>
        <w:spacing w:after="16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the conduct of the body corporate is negligence when viewed as a whole, determined by aggregating the conduct of more than </w:t>
      </w:r>
      <w:r w:rsidR="003633C6">
        <w:rPr>
          <w:rFonts w:asciiTheme="minorHAnsi" w:hAnsiTheme="minorHAnsi" w:cstheme="minorHAnsi"/>
          <w:color w:val="000000" w:themeColor="text1"/>
          <w:sz w:val="24"/>
          <w:szCs w:val="24"/>
        </w:rPr>
        <w:t>one</w:t>
      </w:r>
      <w:r>
        <w:rPr>
          <w:rFonts w:asciiTheme="minorHAnsi" w:hAnsiTheme="minorHAnsi" w:cstheme="minorHAnsi"/>
          <w:color w:val="000000" w:themeColor="text1"/>
          <w:sz w:val="24"/>
          <w:szCs w:val="24"/>
        </w:rPr>
        <w:t xml:space="preserve"> authorised person.</w:t>
      </w:r>
    </w:p>
    <w:p w14:paraId="7BF45671" w14:textId="01180892" w:rsidR="00C155A3" w:rsidRDefault="00C155A3" w:rsidP="00C155A3">
      <w:pPr>
        <w:spacing w:after="16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Where it is necessary to establish negligence of a body corporate in relation to the commission of the physical element of the offence, the new provisions provide that negligence may be evidence</w:t>
      </w:r>
      <w:r w:rsidR="003633C6">
        <w:rPr>
          <w:rFonts w:asciiTheme="minorHAnsi" w:hAnsiTheme="minorHAnsi" w:cstheme="minorHAnsi"/>
          <w:color w:val="000000" w:themeColor="text1"/>
          <w:sz w:val="24"/>
          <w:szCs w:val="24"/>
        </w:rPr>
        <w:t>d</w:t>
      </w:r>
      <w:r>
        <w:rPr>
          <w:rFonts w:asciiTheme="minorHAnsi" w:hAnsiTheme="minorHAnsi" w:cstheme="minorHAnsi"/>
          <w:color w:val="000000" w:themeColor="text1"/>
          <w:sz w:val="24"/>
          <w:szCs w:val="24"/>
        </w:rPr>
        <w:t xml:space="preserve"> by the fact that the prohibited conduct was substantially attributed to:</w:t>
      </w:r>
    </w:p>
    <w:p w14:paraId="67A51C8B" w14:textId="22B2FFD7" w:rsidR="00C155A3" w:rsidRDefault="00C155A3" w:rsidP="00C155A3">
      <w:pPr>
        <w:pStyle w:val="ListParagraph"/>
        <w:numPr>
          <w:ilvl w:val="0"/>
          <w:numId w:val="31"/>
        </w:numPr>
        <w:spacing w:after="16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inadequate corporate management, control or supervision of the conduct of </w:t>
      </w:r>
      <w:r w:rsidR="003633C6">
        <w:rPr>
          <w:rFonts w:asciiTheme="minorHAnsi" w:hAnsiTheme="minorHAnsi" w:cstheme="minorHAnsi"/>
          <w:color w:val="000000" w:themeColor="text1"/>
          <w:sz w:val="24"/>
          <w:szCs w:val="24"/>
        </w:rPr>
        <w:t>one</w:t>
      </w:r>
      <w:r>
        <w:rPr>
          <w:rFonts w:asciiTheme="minorHAnsi" w:hAnsiTheme="minorHAnsi" w:cstheme="minorHAnsi"/>
          <w:color w:val="000000" w:themeColor="text1"/>
          <w:sz w:val="24"/>
          <w:szCs w:val="24"/>
        </w:rPr>
        <w:t xml:space="preserve"> or more of the body corporate’s authorised persons; or</w:t>
      </w:r>
    </w:p>
    <w:p w14:paraId="4444E520" w14:textId="77777777" w:rsidR="00C155A3" w:rsidRDefault="00C155A3" w:rsidP="00C155A3">
      <w:pPr>
        <w:pStyle w:val="ListParagraph"/>
        <w:numPr>
          <w:ilvl w:val="0"/>
          <w:numId w:val="31"/>
        </w:numPr>
        <w:spacing w:after="16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failure to provide adequate systems for conveying relevant information to relevant persons in the body corporate.</w:t>
      </w:r>
    </w:p>
    <w:p w14:paraId="2216D44B" w14:textId="77777777" w:rsidR="00C155A3" w:rsidRPr="006C3CB0" w:rsidRDefault="00C155A3" w:rsidP="00C155A3">
      <w:p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The new section explains how the fault elements of an offence are attributed to a body</w:t>
      </w:r>
      <w:r>
        <w:rPr>
          <w:rFonts w:asciiTheme="minorHAnsi" w:hAnsiTheme="minorHAnsi" w:cstheme="minorHAnsi"/>
          <w:color w:val="000000" w:themeColor="text1"/>
          <w:sz w:val="24"/>
          <w:szCs w:val="24"/>
        </w:rPr>
        <w:t xml:space="preserve"> </w:t>
      </w:r>
      <w:r w:rsidRPr="006C3CB0">
        <w:rPr>
          <w:rFonts w:asciiTheme="minorHAnsi" w:hAnsiTheme="minorHAnsi" w:cstheme="minorHAnsi"/>
          <w:color w:val="000000" w:themeColor="text1"/>
          <w:sz w:val="24"/>
          <w:szCs w:val="24"/>
        </w:rPr>
        <w:t>corporate. Where it is necessary to establish a state of mind (fault element) of a body</w:t>
      </w:r>
    </w:p>
    <w:p w14:paraId="60DB08A7" w14:textId="77777777" w:rsidR="00C155A3" w:rsidRPr="006C3CB0" w:rsidRDefault="00C155A3" w:rsidP="00C155A3">
      <w:p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lastRenderedPageBreak/>
        <w:t xml:space="preserve">corporate in relation to the commission of the physical element of an offence, </w:t>
      </w:r>
      <w:r>
        <w:rPr>
          <w:rFonts w:asciiTheme="minorHAnsi" w:hAnsiTheme="minorHAnsi" w:cstheme="minorHAnsi"/>
          <w:color w:val="000000" w:themeColor="text1"/>
          <w:sz w:val="24"/>
          <w:szCs w:val="24"/>
        </w:rPr>
        <w:t xml:space="preserve">the Bill </w:t>
      </w:r>
      <w:r w:rsidRPr="006C3CB0">
        <w:rPr>
          <w:rFonts w:asciiTheme="minorHAnsi" w:hAnsiTheme="minorHAnsi" w:cstheme="minorHAnsi"/>
          <w:color w:val="000000" w:themeColor="text1"/>
          <w:sz w:val="24"/>
          <w:szCs w:val="24"/>
        </w:rPr>
        <w:t>provides that it is sufficient to show:</w:t>
      </w:r>
    </w:p>
    <w:p w14:paraId="4DE7CC7A" w14:textId="77777777" w:rsidR="00C155A3" w:rsidRPr="006C3CB0" w:rsidRDefault="00C155A3" w:rsidP="00C155A3">
      <w:pPr>
        <w:pStyle w:val="ListParagraph"/>
        <w:numPr>
          <w:ilvl w:val="0"/>
          <w:numId w:val="31"/>
        </w:num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the body corporate’s board of directors:</w:t>
      </w:r>
    </w:p>
    <w:p w14:paraId="509C4E0B" w14:textId="77777777" w:rsidR="00C155A3" w:rsidRPr="006C3CB0" w:rsidRDefault="00C155A3" w:rsidP="00C155A3">
      <w:pPr>
        <w:pStyle w:val="ListParagraph"/>
        <w:numPr>
          <w:ilvl w:val="1"/>
          <w:numId w:val="31"/>
        </w:num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intentionally, knowingly, or recklessly carried out the relevant conduct; or</w:t>
      </w:r>
    </w:p>
    <w:p w14:paraId="176AE127" w14:textId="77777777" w:rsidR="00C155A3" w:rsidRPr="006C3CB0" w:rsidRDefault="00C155A3" w:rsidP="00C155A3">
      <w:pPr>
        <w:pStyle w:val="ListParagraph"/>
        <w:numPr>
          <w:ilvl w:val="1"/>
          <w:numId w:val="31"/>
        </w:num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expressly, tacitly or impliedly authorised or permitted the carrying out of the</w:t>
      </w:r>
      <w:r>
        <w:rPr>
          <w:rFonts w:asciiTheme="minorHAnsi" w:hAnsiTheme="minorHAnsi" w:cstheme="minorHAnsi"/>
          <w:color w:val="000000" w:themeColor="text1"/>
          <w:sz w:val="24"/>
          <w:szCs w:val="24"/>
        </w:rPr>
        <w:t xml:space="preserve"> </w:t>
      </w:r>
      <w:r w:rsidRPr="006C3CB0">
        <w:rPr>
          <w:rFonts w:asciiTheme="minorHAnsi" w:hAnsiTheme="minorHAnsi" w:cstheme="minorHAnsi"/>
          <w:color w:val="000000" w:themeColor="text1"/>
          <w:sz w:val="24"/>
          <w:szCs w:val="24"/>
        </w:rPr>
        <w:t>conduct constituting the physical element of the offence; or</w:t>
      </w:r>
    </w:p>
    <w:p w14:paraId="7A4C50E2" w14:textId="77777777" w:rsidR="00C155A3" w:rsidRPr="006C3CB0" w:rsidRDefault="00C155A3" w:rsidP="00C155A3">
      <w:pPr>
        <w:pStyle w:val="ListParagraph"/>
        <w:numPr>
          <w:ilvl w:val="0"/>
          <w:numId w:val="32"/>
        </w:num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an authorised person:</w:t>
      </w:r>
    </w:p>
    <w:p w14:paraId="5CC7E563" w14:textId="77777777" w:rsidR="00C155A3" w:rsidRPr="006C3CB0" w:rsidRDefault="00C155A3" w:rsidP="00C155A3">
      <w:pPr>
        <w:pStyle w:val="ListParagraph"/>
        <w:numPr>
          <w:ilvl w:val="1"/>
          <w:numId w:val="32"/>
        </w:num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intentionally, knowingly or recklessly engaged in the relevant conduct; or</w:t>
      </w:r>
      <w:r>
        <w:rPr>
          <w:rFonts w:asciiTheme="minorHAnsi" w:hAnsiTheme="minorHAnsi" w:cstheme="minorHAnsi"/>
          <w:color w:val="000000" w:themeColor="text1"/>
          <w:sz w:val="24"/>
          <w:szCs w:val="24"/>
        </w:rPr>
        <w:t xml:space="preserve"> </w:t>
      </w:r>
      <w:r w:rsidRPr="006C3CB0">
        <w:rPr>
          <w:rFonts w:asciiTheme="minorHAnsi" w:hAnsiTheme="minorHAnsi" w:cstheme="minorHAnsi"/>
          <w:color w:val="000000" w:themeColor="text1"/>
          <w:sz w:val="24"/>
          <w:szCs w:val="24"/>
        </w:rPr>
        <w:t>expressly, tacitly or impliedly authorised or permitted the carrying out of the</w:t>
      </w:r>
      <w:r>
        <w:rPr>
          <w:rFonts w:asciiTheme="minorHAnsi" w:hAnsiTheme="minorHAnsi" w:cstheme="minorHAnsi"/>
          <w:color w:val="000000" w:themeColor="text1"/>
          <w:sz w:val="24"/>
          <w:szCs w:val="24"/>
        </w:rPr>
        <w:t xml:space="preserve"> </w:t>
      </w:r>
      <w:r w:rsidRPr="006C3CB0">
        <w:rPr>
          <w:rFonts w:asciiTheme="minorHAnsi" w:hAnsiTheme="minorHAnsi" w:cstheme="minorHAnsi"/>
          <w:color w:val="000000" w:themeColor="text1"/>
          <w:sz w:val="24"/>
          <w:szCs w:val="24"/>
        </w:rPr>
        <w:t>conduct constituting the physical element of the offence; or</w:t>
      </w:r>
    </w:p>
    <w:p w14:paraId="7BB7E765" w14:textId="77777777" w:rsidR="00C155A3" w:rsidRDefault="00C155A3" w:rsidP="00C155A3">
      <w:pPr>
        <w:pStyle w:val="ListParagraph"/>
        <w:numPr>
          <w:ilvl w:val="0"/>
          <w:numId w:val="32"/>
        </w:num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a corporate culture existed within the body corporate that directed, encouraged,</w:t>
      </w:r>
      <w:r>
        <w:rPr>
          <w:rFonts w:asciiTheme="minorHAnsi" w:hAnsiTheme="minorHAnsi" w:cstheme="minorHAnsi"/>
          <w:color w:val="000000" w:themeColor="text1"/>
          <w:sz w:val="24"/>
          <w:szCs w:val="24"/>
        </w:rPr>
        <w:t xml:space="preserve"> </w:t>
      </w:r>
      <w:r w:rsidRPr="006C3CB0">
        <w:rPr>
          <w:rFonts w:asciiTheme="minorHAnsi" w:hAnsiTheme="minorHAnsi" w:cstheme="minorHAnsi"/>
          <w:color w:val="000000" w:themeColor="text1"/>
          <w:sz w:val="24"/>
          <w:szCs w:val="24"/>
        </w:rPr>
        <w:t>tolerated or led to the carrying out of the conduct constituting the physical element of</w:t>
      </w:r>
      <w:r>
        <w:rPr>
          <w:rFonts w:asciiTheme="minorHAnsi" w:hAnsiTheme="minorHAnsi" w:cstheme="minorHAnsi"/>
          <w:color w:val="000000" w:themeColor="text1"/>
          <w:sz w:val="24"/>
          <w:szCs w:val="24"/>
        </w:rPr>
        <w:t xml:space="preserve"> </w:t>
      </w:r>
      <w:r w:rsidRPr="006C3CB0">
        <w:rPr>
          <w:rFonts w:asciiTheme="minorHAnsi" w:hAnsiTheme="minorHAnsi" w:cstheme="minorHAnsi"/>
          <w:color w:val="000000" w:themeColor="text1"/>
          <w:sz w:val="24"/>
          <w:szCs w:val="24"/>
        </w:rPr>
        <w:t>the offence.</w:t>
      </w:r>
    </w:p>
    <w:p w14:paraId="59350520" w14:textId="77777777" w:rsidR="00C155A3" w:rsidRDefault="00C155A3" w:rsidP="00C155A3">
      <w:pPr>
        <w:spacing w:after="16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Amendments to the model WHS laws provides for ‘gross negligence’ or a term consistent with the law of the adopting jurisdiction as the alternative fault element to recklessness.  As such, the ACT has applied negligence rather than gross negligence, as the test for negligence under the ACT’s Criminal Code substantively aligns to the test for ‘gross negligence’ as described it the  2018 Boland Review - and maintains the established legal jurisprudence for the Territory.  This further maintains the existing threshold of negligence for Category 1 offences in the Territory which can be applied within the new aggregation of conduct provisions -  when viewing conduct as a whole.</w:t>
      </w:r>
    </w:p>
    <w:p w14:paraId="62128B24" w14:textId="77777777" w:rsidR="00C155A3" w:rsidRDefault="00C155A3" w:rsidP="00C155A3">
      <w:pPr>
        <w:spacing w:after="160"/>
        <w:contextualSpacing/>
        <w:rPr>
          <w:rFonts w:asciiTheme="minorHAnsi" w:hAnsiTheme="minorHAnsi" w:cstheme="minorHAnsi"/>
          <w:color w:val="000000" w:themeColor="text1"/>
          <w:sz w:val="24"/>
          <w:szCs w:val="24"/>
        </w:rPr>
      </w:pPr>
    </w:p>
    <w:p w14:paraId="7C70E134" w14:textId="77777777" w:rsidR="00C155A3" w:rsidRPr="006C3CB0" w:rsidRDefault="00C155A3" w:rsidP="00C155A3">
      <w:p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 xml:space="preserve">The </w:t>
      </w:r>
      <w:r>
        <w:rPr>
          <w:rFonts w:asciiTheme="minorHAnsi" w:hAnsiTheme="minorHAnsi" w:cstheme="minorHAnsi"/>
          <w:color w:val="000000" w:themeColor="text1"/>
          <w:sz w:val="24"/>
          <w:szCs w:val="24"/>
        </w:rPr>
        <w:t xml:space="preserve">Bill also </w:t>
      </w:r>
      <w:r w:rsidRPr="006C3CB0">
        <w:rPr>
          <w:rFonts w:asciiTheme="minorHAnsi" w:hAnsiTheme="minorHAnsi" w:cstheme="minorHAnsi"/>
          <w:color w:val="000000" w:themeColor="text1"/>
          <w:sz w:val="24"/>
          <w:szCs w:val="24"/>
        </w:rPr>
        <w:t>introduces a mechanism by which a body corporate can rely on the</w:t>
      </w:r>
    </w:p>
    <w:p w14:paraId="117C9522" w14:textId="77777777" w:rsidR="00C155A3" w:rsidRDefault="00C155A3" w:rsidP="00C155A3">
      <w:p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defence of mistake of fact, if mistake of fact is relevant to determining liability for an offence.</w:t>
      </w:r>
    </w:p>
    <w:p w14:paraId="7371FBF6" w14:textId="77777777" w:rsidR="00C155A3" w:rsidRPr="006C3CB0" w:rsidRDefault="00C155A3" w:rsidP="00C155A3">
      <w:pPr>
        <w:spacing w:after="160"/>
        <w:contextualSpacing/>
        <w:rPr>
          <w:rFonts w:asciiTheme="minorHAnsi" w:hAnsiTheme="minorHAnsi" w:cstheme="minorHAnsi"/>
          <w:color w:val="000000" w:themeColor="text1"/>
          <w:sz w:val="24"/>
          <w:szCs w:val="24"/>
        </w:rPr>
      </w:pPr>
    </w:p>
    <w:p w14:paraId="76DBF890" w14:textId="77777777" w:rsidR="00C155A3" w:rsidRPr="006C3CB0" w:rsidRDefault="00C155A3" w:rsidP="00C155A3">
      <w:p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A body corporate may rely on mistake of fact only if:</w:t>
      </w:r>
    </w:p>
    <w:p w14:paraId="6FDB913D" w14:textId="77777777" w:rsidR="00C155A3" w:rsidRPr="006C3CB0" w:rsidRDefault="00C155A3" w:rsidP="00C155A3">
      <w:pPr>
        <w:pStyle w:val="ListParagraph"/>
        <w:numPr>
          <w:ilvl w:val="0"/>
          <w:numId w:val="32"/>
        </w:num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the employee, agent or officer of the body corporate who carried out the conduct was</w:t>
      </w:r>
      <w:r>
        <w:rPr>
          <w:rFonts w:asciiTheme="minorHAnsi" w:hAnsiTheme="minorHAnsi" w:cstheme="minorHAnsi"/>
          <w:color w:val="000000" w:themeColor="text1"/>
          <w:sz w:val="24"/>
          <w:szCs w:val="24"/>
        </w:rPr>
        <w:t xml:space="preserve"> </w:t>
      </w:r>
      <w:r w:rsidRPr="006C3CB0">
        <w:rPr>
          <w:rFonts w:asciiTheme="minorHAnsi" w:hAnsiTheme="minorHAnsi" w:cstheme="minorHAnsi"/>
          <w:color w:val="000000" w:themeColor="text1"/>
          <w:sz w:val="24"/>
          <w:szCs w:val="24"/>
        </w:rPr>
        <w:t>under a mistaken but reasonable belief about facts that, had they existed, would</w:t>
      </w:r>
      <w:r>
        <w:rPr>
          <w:rFonts w:asciiTheme="minorHAnsi" w:hAnsiTheme="minorHAnsi" w:cstheme="minorHAnsi"/>
          <w:color w:val="000000" w:themeColor="text1"/>
          <w:sz w:val="24"/>
          <w:szCs w:val="24"/>
        </w:rPr>
        <w:t xml:space="preserve"> </w:t>
      </w:r>
      <w:r w:rsidRPr="006C3CB0">
        <w:rPr>
          <w:rFonts w:asciiTheme="minorHAnsi" w:hAnsiTheme="minorHAnsi" w:cstheme="minorHAnsi"/>
          <w:color w:val="000000" w:themeColor="text1"/>
          <w:sz w:val="24"/>
          <w:szCs w:val="24"/>
        </w:rPr>
        <w:t>have meant the conduct would not have constituted the offence; and</w:t>
      </w:r>
    </w:p>
    <w:p w14:paraId="555FC4C6" w14:textId="77777777" w:rsidR="00C155A3" w:rsidRDefault="00C155A3" w:rsidP="00C155A3">
      <w:pPr>
        <w:pStyle w:val="ListParagraph"/>
        <w:numPr>
          <w:ilvl w:val="0"/>
          <w:numId w:val="33"/>
        </w:num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the body corporate proves it took reasonable precautions to prevent the conduct.</w:t>
      </w:r>
    </w:p>
    <w:p w14:paraId="560CC442" w14:textId="77777777" w:rsidR="00C155A3" w:rsidRPr="006C3CB0" w:rsidRDefault="00C155A3" w:rsidP="00C155A3">
      <w:p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 xml:space="preserve">The </w:t>
      </w:r>
      <w:r>
        <w:rPr>
          <w:rFonts w:asciiTheme="minorHAnsi" w:hAnsiTheme="minorHAnsi" w:cstheme="minorHAnsi"/>
          <w:color w:val="000000" w:themeColor="text1"/>
          <w:sz w:val="24"/>
          <w:szCs w:val="24"/>
        </w:rPr>
        <w:t xml:space="preserve">Bill </w:t>
      </w:r>
      <w:r w:rsidRPr="006C3CB0">
        <w:rPr>
          <w:rFonts w:asciiTheme="minorHAnsi" w:hAnsiTheme="minorHAnsi" w:cstheme="minorHAnsi"/>
          <w:color w:val="000000" w:themeColor="text1"/>
          <w:sz w:val="24"/>
          <w:szCs w:val="24"/>
        </w:rPr>
        <w:t xml:space="preserve"> includes factors that may be used to establish that a body corporate</w:t>
      </w:r>
    </w:p>
    <w:p w14:paraId="42D1FA22" w14:textId="77777777" w:rsidR="00C155A3" w:rsidRPr="006C3CB0" w:rsidRDefault="00C155A3" w:rsidP="00C155A3">
      <w:p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failed to take reasonable precautions</w:t>
      </w:r>
      <w:r>
        <w:rPr>
          <w:rFonts w:asciiTheme="minorHAnsi" w:hAnsiTheme="minorHAnsi" w:cstheme="minorHAnsi"/>
          <w:color w:val="000000" w:themeColor="text1"/>
          <w:sz w:val="24"/>
          <w:szCs w:val="24"/>
        </w:rPr>
        <w:t xml:space="preserve">. </w:t>
      </w:r>
      <w:r w:rsidRPr="006C3CB0">
        <w:rPr>
          <w:rFonts w:asciiTheme="minorHAnsi" w:hAnsiTheme="minorHAnsi" w:cstheme="minorHAnsi"/>
          <w:color w:val="000000" w:themeColor="text1"/>
          <w:sz w:val="24"/>
          <w:szCs w:val="24"/>
        </w:rPr>
        <w:t>A</w:t>
      </w:r>
      <w:r>
        <w:rPr>
          <w:rFonts w:asciiTheme="minorHAnsi" w:hAnsiTheme="minorHAnsi" w:cstheme="minorHAnsi"/>
          <w:color w:val="000000" w:themeColor="text1"/>
          <w:sz w:val="24"/>
          <w:szCs w:val="24"/>
        </w:rPr>
        <w:t xml:space="preserve"> </w:t>
      </w:r>
      <w:r w:rsidRPr="006C3CB0">
        <w:rPr>
          <w:rFonts w:asciiTheme="minorHAnsi" w:hAnsiTheme="minorHAnsi" w:cstheme="minorHAnsi"/>
          <w:color w:val="000000" w:themeColor="text1"/>
          <w:sz w:val="24"/>
          <w:szCs w:val="24"/>
        </w:rPr>
        <w:t>failure to take reasonable precautions may be evidenced by the fact that the conduct</w:t>
      </w:r>
      <w:r>
        <w:rPr>
          <w:rFonts w:asciiTheme="minorHAnsi" w:hAnsiTheme="minorHAnsi" w:cstheme="minorHAnsi"/>
          <w:color w:val="000000" w:themeColor="text1"/>
          <w:sz w:val="24"/>
          <w:szCs w:val="24"/>
        </w:rPr>
        <w:t xml:space="preserve"> </w:t>
      </w:r>
      <w:r w:rsidRPr="006C3CB0">
        <w:rPr>
          <w:rFonts w:asciiTheme="minorHAnsi" w:hAnsiTheme="minorHAnsi" w:cstheme="minorHAnsi"/>
          <w:color w:val="000000" w:themeColor="text1"/>
          <w:sz w:val="24"/>
          <w:szCs w:val="24"/>
        </w:rPr>
        <w:t>constituting the offence was substantially attributable to:</w:t>
      </w:r>
    </w:p>
    <w:p w14:paraId="0C75C23F" w14:textId="77777777" w:rsidR="00C155A3" w:rsidRPr="006C3CB0" w:rsidRDefault="00C155A3" w:rsidP="00C155A3">
      <w:pPr>
        <w:pStyle w:val="ListParagraph"/>
        <w:numPr>
          <w:ilvl w:val="0"/>
          <w:numId w:val="33"/>
        </w:num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t>inadequate management, control or supervision of the conduct of one or more of the</w:t>
      </w:r>
      <w:r>
        <w:rPr>
          <w:rFonts w:asciiTheme="minorHAnsi" w:hAnsiTheme="minorHAnsi" w:cstheme="minorHAnsi"/>
          <w:color w:val="000000" w:themeColor="text1"/>
          <w:sz w:val="24"/>
          <w:szCs w:val="24"/>
        </w:rPr>
        <w:t xml:space="preserve"> </w:t>
      </w:r>
      <w:r w:rsidRPr="006C3CB0">
        <w:rPr>
          <w:rFonts w:asciiTheme="minorHAnsi" w:hAnsiTheme="minorHAnsi" w:cstheme="minorHAnsi"/>
          <w:color w:val="000000" w:themeColor="text1"/>
          <w:sz w:val="24"/>
          <w:szCs w:val="24"/>
        </w:rPr>
        <w:t>body corporate’s employees, agents or officers; or</w:t>
      </w:r>
    </w:p>
    <w:p w14:paraId="1CA9A0D6" w14:textId="77777777" w:rsidR="00C155A3" w:rsidRDefault="00C155A3" w:rsidP="00C155A3">
      <w:pPr>
        <w:pStyle w:val="ListParagraph"/>
        <w:numPr>
          <w:ilvl w:val="0"/>
          <w:numId w:val="33"/>
        </w:numPr>
        <w:spacing w:after="160"/>
        <w:contextualSpacing/>
        <w:rPr>
          <w:rFonts w:asciiTheme="minorHAnsi" w:hAnsiTheme="minorHAnsi" w:cstheme="minorHAnsi"/>
          <w:color w:val="000000" w:themeColor="text1"/>
          <w:sz w:val="24"/>
          <w:szCs w:val="24"/>
        </w:rPr>
      </w:pPr>
      <w:r w:rsidRPr="006C3CB0">
        <w:rPr>
          <w:rFonts w:asciiTheme="minorHAnsi" w:hAnsiTheme="minorHAnsi" w:cstheme="minorHAnsi"/>
          <w:color w:val="000000" w:themeColor="text1"/>
          <w:sz w:val="24"/>
          <w:szCs w:val="24"/>
        </w:rPr>
        <w:lastRenderedPageBreak/>
        <w:t>failure to provide adequate system</w:t>
      </w:r>
      <w:r>
        <w:rPr>
          <w:rFonts w:asciiTheme="minorHAnsi" w:hAnsiTheme="minorHAnsi" w:cstheme="minorHAnsi"/>
          <w:color w:val="000000" w:themeColor="text1"/>
          <w:sz w:val="24"/>
          <w:szCs w:val="24"/>
        </w:rPr>
        <w:t xml:space="preserve">s for conveying relevant information to relevant persons in the body corporate. </w:t>
      </w:r>
    </w:p>
    <w:p w14:paraId="40633349" w14:textId="77777777" w:rsidR="00C155A3" w:rsidRDefault="00C155A3" w:rsidP="00C155A3">
      <w:pPr>
        <w:pStyle w:val="ESText"/>
        <w:spacing w:after="120" w:line="276" w:lineRule="auto"/>
        <w:rPr>
          <w:rFonts w:ascii="Calibri" w:hAnsi="Calibri"/>
          <w:szCs w:val="24"/>
        </w:rPr>
      </w:pPr>
      <w:r w:rsidRPr="00994562">
        <w:rPr>
          <w:rFonts w:ascii="Calibri" w:hAnsi="Calibri"/>
          <w:szCs w:val="24"/>
        </w:rPr>
        <w:t xml:space="preserve">The </w:t>
      </w:r>
      <w:r>
        <w:rPr>
          <w:rFonts w:ascii="Calibri" w:hAnsi="Calibri"/>
          <w:szCs w:val="24"/>
        </w:rPr>
        <w:t>Government</w:t>
      </w:r>
      <w:r w:rsidRPr="00994562">
        <w:rPr>
          <w:rFonts w:ascii="Calibri" w:hAnsi="Calibri"/>
          <w:szCs w:val="24"/>
        </w:rPr>
        <w:t xml:space="preserve"> recognises the role that PCBUs have in ensuring workplaces are safe for all workers, which includes the elimination of factors, risks and hazards that might contribute to </w:t>
      </w:r>
      <w:r>
        <w:rPr>
          <w:rFonts w:ascii="Calibri" w:hAnsi="Calibri"/>
          <w:szCs w:val="24"/>
        </w:rPr>
        <w:t>unsafe work practices</w:t>
      </w:r>
      <w:r w:rsidRPr="00994562">
        <w:rPr>
          <w:rFonts w:ascii="Calibri" w:hAnsi="Calibri"/>
          <w:szCs w:val="24"/>
        </w:rPr>
        <w:t>, particularly in terms of workplace culture.</w:t>
      </w:r>
    </w:p>
    <w:p w14:paraId="38B3521C" w14:textId="77777777" w:rsidR="00C155A3" w:rsidRDefault="00C155A3" w:rsidP="00C155A3">
      <w:pPr>
        <w:pStyle w:val="ESText"/>
        <w:spacing w:after="120" w:line="276" w:lineRule="auto"/>
        <w:rPr>
          <w:rFonts w:ascii="Calibri" w:hAnsi="Calibri"/>
          <w:szCs w:val="24"/>
        </w:rPr>
      </w:pPr>
      <w:r>
        <w:rPr>
          <w:rFonts w:ascii="Calibri" w:hAnsi="Calibri"/>
          <w:szCs w:val="24"/>
        </w:rPr>
        <w:t xml:space="preserve">The Bill strengthens the offences and penalties framework in the WHS Act, aligning with the model WHS laws.  This includes establishing provisions dealing with criminal liability for bodies corporate in considering breaches of WHS duties providing greater deterrence for poor safety management in workplaces. </w:t>
      </w:r>
    </w:p>
    <w:p w14:paraId="5261C6CD" w14:textId="5291BEC3" w:rsidR="00C155A3" w:rsidRDefault="00C155A3" w:rsidP="00C155A3">
      <w:pPr>
        <w:pStyle w:val="ESText"/>
        <w:spacing w:after="120" w:line="276" w:lineRule="auto"/>
        <w:rPr>
          <w:rFonts w:ascii="Calibri" w:hAnsi="Calibri"/>
          <w:szCs w:val="24"/>
        </w:rPr>
      </w:pPr>
      <w:r>
        <w:rPr>
          <w:rFonts w:ascii="Calibri" w:hAnsi="Calibri"/>
          <w:szCs w:val="24"/>
        </w:rPr>
        <w:t>Human rights are not applicable to bodies corporate; however, the Government recognises that a body corporate is an artificial entity that can only act and ma</w:t>
      </w:r>
      <w:r w:rsidR="00C520B7">
        <w:rPr>
          <w:rFonts w:ascii="Calibri" w:hAnsi="Calibri"/>
          <w:szCs w:val="24"/>
        </w:rPr>
        <w:t>k</w:t>
      </w:r>
      <w:r>
        <w:rPr>
          <w:rFonts w:ascii="Calibri" w:hAnsi="Calibri"/>
          <w:szCs w:val="24"/>
        </w:rPr>
        <w:t xml:space="preserve">e decisions through individuals.  The Bill displaces the corporate criminal responsibility for WHS offences from the </w:t>
      </w:r>
      <w:r w:rsidRPr="00216370">
        <w:rPr>
          <w:rFonts w:ascii="Calibri" w:hAnsi="Calibri"/>
          <w:i/>
          <w:iCs/>
          <w:szCs w:val="24"/>
        </w:rPr>
        <w:t>Criminal Code 2002</w:t>
      </w:r>
      <w:r>
        <w:rPr>
          <w:rFonts w:ascii="Calibri" w:hAnsi="Calibri"/>
          <w:szCs w:val="24"/>
        </w:rPr>
        <w:t xml:space="preserve"> and establishes provisions to ensure the WHS Act can operate alongside the ACT’s broader criminal law f</w:t>
      </w:r>
      <w:r w:rsidR="008C3625">
        <w:rPr>
          <w:rFonts w:ascii="Calibri" w:hAnsi="Calibri"/>
          <w:szCs w:val="24"/>
        </w:rPr>
        <w:t>ra</w:t>
      </w:r>
      <w:r>
        <w:rPr>
          <w:rFonts w:ascii="Calibri" w:hAnsi="Calibri"/>
          <w:szCs w:val="24"/>
        </w:rPr>
        <w:t>m</w:t>
      </w:r>
      <w:r w:rsidR="008C3625">
        <w:rPr>
          <w:rFonts w:ascii="Calibri" w:hAnsi="Calibri"/>
          <w:szCs w:val="24"/>
        </w:rPr>
        <w:t>e</w:t>
      </w:r>
      <w:r>
        <w:rPr>
          <w:rFonts w:ascii="Calibri" w:hAnsi="Calibri"/>
          <w:szCs w:val="24"/>
        </w:rPr>
        <w:t>work - this allows the existing corporate criminal responsibility provisions in the Criminal Code to apply with a broaden</w:t>
      </w:r>
      <w:r w:rsidR="00C520B7">
        <w:rPr>
          <w:rFonts w:ascii="Calibri" w:hAnsi="Calibri"/>
          <w:szCs w:val="24"/>
        </w:rPr>
        <w:t>ed</w:t>
      </w:r>
      <w:r>
        <w:rPr>
          <w:rFonts w:ascii="Calibri" w:hAnsi="Calibri"/>
          <w:szCs w:val="24"/>
        </w:rPr>
        <w:t xml:space="preserve"> scope to allow for the conduct of officers, employees and agents acting within their actual or apparent authority to be attributed to a body corporate, and considered as a whole in determining whether there has been an WHS offence.</w:t>
      </w:r>
    </w:p>
    <w:p w14:paraId="6D737787" w14:textId="77777777" w:rsidR="00C155A3" w:rsidRDefault="00C155A3" w:rsidP="00BC0A72">
      <w:pPr>
        <w:spacing w:before="240" w:after="160"/>
        <w:contextualSpacing/>
        <w:rPr>
          <w:b/>
          <w:bCs/>
          <w:i/>
          <w:iCs/>
          <w:sz w:val="24"/>
          <w:szCs w:val="24"/>
          <w:u w:val="single"/>
        </w:rPr>
      </w:pPr>
      <w:r w:rsidRPr="007C6A76">
        <w:rPr>
          <w:b/>
          <w:bCs/>
          <w:i/>
          <w:iCs/>
          <w:sz w:val="24"/>
          <w:szCs w:val="24"/>
          <w:u w:val="single"/>
        </w:rPr>
        <w:t>Work Health and Safety Regulation 2011</w:t>
      </w:r>
    </w:p>
    <w:p w14:paraId="06D1F8E1" w14:textId="77777777" w:rsidR="00BC0A72" w:rsidRPr="007C6A76" w:rsidRDefault="00BC0A72" w:rsidP="00BC0A72">
      <w:pPr>
        <w:spacing w:before="240" w:after="160"/>
        <w:contextualSpacing/>
        <w:rPr>
          <w:rFonts w:asciiTheme="minorHAnsi" w:hAnsiTheme="minorHAnsi" w:cstheme="minorHAnsi"/>
          <w:color w:val="000000" w:themeColor="text1"/>
          <w:sz w:val="24"/>
          <w:szCs w:val="24"/>
        </w:rPr>
      </w:pPr>
    </w:p>
    <w:p w14:paraId="01BD6803" w14:textId="77777777" w:rsidR="00C155A3" w:rsidRPr="00DC43D3" w:rsidRDefault="00C155A3" w:rsidP="00C155A3">
      <w:pPr>
        <w:spacing w:after="0"/>
        <w:rPr>
          <w:bCs/>
          <w:sz w:val="24"/>
          <w:szCs w:val="24"/>
        </w:rPr>
      </w:pPr>
      <w:r w:rsidRPr="00DC43D3">
        <w:rPr>
          <w:bCs/>
          <w:sz w:val="24"/>
          <w:szCs w:val="24"/>
        </w:rPr>
        <w:t>Section 276(1) of the WHS Act provides for the Executive to make regulations in relation to any matter relating to work health and safety. Under section 276(2), the WHS Regulation may make a provision in relation to matters set out in Schedule 3.</w:t>
      </w:r>
    </w:p>
    <w:p w14:paraId="5A4BF934" w14:textId="77777777" w:rsidR="00C155A3" w:rsidRPr="00DC43D3" w:rsidRDefault="00C155A3" w:rsidP="00C155A3">
      <w:pPr>
        <w:spacing w:after="0"/>
        <w:rPr>
          <w:bCs/>
          <w:sz w:val="24"/>
          <w:szCs w:val="24"/>
        </w:rPr>
      </w:pPr>
    </w:p>
    <w:p w14:paraId="2FA42FFD" w14:textId="77777777" w:rsidR="00C155A3" w:rsidRDefault="00C155A3" w:rsidP="00C155A3">
      <w:pPr>
        <w:spacing w:after="0"/>
        <w:rPr>
          <w:bCs/>
          <w:sz w:val="24"/>
          <w:szCs w:val="24"/>
        </w:rPr>
      </w:pPr>
      <w:r>
        <w:rPr>
          <w:bCs/>
          <w:sz w:val="24"/>
          <w:szCs w:val="24"/>
        </w:rPr>
        <w:t xml:space="preserve">The WHS Regulation is subordinate law under the WHS Act. The WHS Regulation is notified on the Legislation Register and presented to the Legislative Assembly according to Part 7 of the </w:t>
      </w:r>
      <w:r w:rsidRPr="000E7372">
        <w:rPr>
          <w:bCs/>
          <w:i/>
          <w:iCs/>
          <w:sz w:val="24"/>
          <w:szCs w:val="24"/>
        </w:rPr>
        <w:t>Legislation Act 2001</w:t>
      </w:r>
      <w:r>
        <w:rPr>
          <w:bCs/>
          <w:sz w:val="24"/>
          <w:szCs w:val="24"/>
        </w:rPr>
        <w:t xml:space="preserve">. </w:t>
      </w:r>
    </w:p>
    <w:p w14:paraId="48D1BD33" w14:textId="77777777" w:rsidR="00C155A3" w:rsidRDefault="00C155A3" w:rsidP="00C155A3">
      <w:pPr>
        <w:spacing w:after="0"/>
        <w:rPr>
          <w:bCs/>
          <w:sz w:val="24"/>
          <w:szCs w:val="24"/>
        </w:rPr>
      </w:pPr>
    </w:p>
    <w:p w14:paraId="31542186" w14:textId="77777777" w:rsidR="00C155A3" w:rsidRDefault="00C155A3" w:rsidP="00C155A3">
      <w:pPr>
        <w:spacing w:after="0"/>
        <w:rPr>
          <w:bCs/>
          <w:sz w:val="24"/>
          <w:szCs w:val="24"/>
        </w:rPr>
      </w:pPr>
      <w:r w:rsidRPr="00DC43D3">
        <w:rPr>
          <w:bCs/>
          <w:sz w:val="24"/>
          <w:szCs w:val="24"/>
        </w:rPr>
        <w:t>The WHS Regulation implements the model WHS Regulation in the Territory and forms part of a system of nationally harmonised WHS laws.</w:t>
      </w:r>
    </w:p>
    <w:p w14:paraId="0396DCE9" w14:textId="77777777" w:rsidR="00C155A3" w:rsidRDefault="00C155A3" w:rsidP="00C155A3">
      <w:pPr>
        <w:spacing w:after="0"/>
        <w:rPr>
          <w:bCs/>
          <w:sz w:val="24"/>
          <w:szCs w:val="24"/>
        </w:rPr>
      </w:pPr>
    </w:p>
    <w:p w14:paraId="4DA59835" w14:textId="77777777" w:rsidR="00C155A3" w:rsidRPr="007C6A76" w:rsidRDefault="00C155A3" w:rsidP="00C155A3">
      <w:pPr>
        <w:spacing w:after="0"/>
        <w:rPr>
          <w:bCs/>
          <w:sz w:val="24"/>
          <w:szCs w:val="24"/>
        </w:rPr>
      </w:pPr>
      <w:r w:rsidRPr="001636ED">
        <w:rPr>
          <w:bCs/>
          <w:sz w:val="24"/>
          <w:szCs w:val="24"/>
        </w:rPr>
        <w:t>The Bill makes consequential amendments to the WHS Regulation to implement two recommendations from</w:t>
      </w:r>
      <w:r>
        <w:rPr>
          <w:bCs/>
          <w:sz w:val="24"/>
          <w:szCs w:val="24"/>
        </w:rPr>
        <w:t xml:space="preserve"> the Boland Review relating to the increase in penalty amounts as described above.</w:t>
      </w:r>
    </w:p>
    <w:p w14:paraId="12DD7E8C" w14:textId="77777777" w:rsidR="00C155A3" w:rsidRDefault="00C155A3" w:rsidP="00C155A3">
      <w:pPr>
        <w:spacing w:after="0"/>
        <w:rPr>
          <w:b/>
          <w:bCs/>
          <w:sz w:val="24"/>
          <w:szCs w:val="24"/>
          <w:u w:val="single"/>
        </w:rPr>
      </w:pPr>
    </w:p>
    <w:p w14:paraId="643366C3" w14:textId="77777777" w:rsidR="00EA7FCD" w:rsidRDefault="00EA7FCD">
      <w:pPr>
        <w:spacing w:after="0" w:line="240" w:lineRule="auto"/>
        <w:rPr>
          <w:b/>
          <w:bCs/>
          <w:sz w:val="24"/>
          <w:szCs w:val="24"/>
          <w:u w:val="single"/>
        </w:rPr>
      </w:pPr>
      <w:r>
        <w:rPr>
          <w:b/>
          <w:bCs/>
          <w:sz w:val="24"/>
          <w:szCs w:val="24"/>
          <w:u w:val="single"/>
        </w:rPr>
        <w:br w:type="page"/>
      </w:r>
    </w:p>
    <w:p w14:paraId="6E77E0C2" w14:textId="2E64984C" w:rsidR="006B618F" w:rsidRPr="006B618F" w:rsidRDefault="006B618F" w:rsidP="00C155A3">
      <w:pPr>
        <w:spacing w:after="0"/>
        <w:rPr>
          <w:b/>
          <w:bCs/>
          <w:sz w:val="24"/>
          <w:szCs w:val="24"/>
          <w:u w:val="single"/>
        </w:rPr>
      </w:pPr>
      <w:r w:rsidRPr="006B618F">
        <w:rPr>
          <w:b/>
          <w:bCs/>
          <w:sz w:val="24"/>
          <w:szCs w:val="24"/>
          <w:u w:val="single"/>
        </w:rPr>
        <w:lastRenderedPageBreak/>
        <w:t>Consultation on the amendments</w:t>
      </w:r>
    </w:p>
    <w:p w14:paraId="07F66485" w14:textId="536FBF2E" w:rsidR="006B618F" w:rsidRDefault="006B618F" w:rsidP="00C155A3">
      <w:pPr>
        <w:spacing w:after="0"/>
        <w:rPr>
          <w:sz w:val="24"/>
          <w:szCs w:val="24"/>
        </w:rPr>
      </w:pPr>
      <w:r w:rsidRPr="00E53871">
        <w:rPr>
          <w:sz w:val="24"/>
          <w:szCs w:val="24"/>
        </w:rPr>
        <w:t xml:space="preserve">Consultation </w:t>
      </w:r>
      <w:r>
        <w:rPr>
          <w:sz w:val="24"/>
          <w:szCs w:val="24"/>
        </w:rPr>
        <w:t>on the policy associated with the Bill</w:t>
      </w:r>
      <w:r w:rsidRPr="00E53871">
        <w:rPr>
          <w:sz w:val="24"/>
          <w:szCs w:val="24"/>
        </w:rPr>
        <w:t xml:space="preserve"> occurred with the Work Health and Safety Council, </w:t>
      </w:r>
      <w:r>
        <w:rPr>
          <w:sz w:val="24"/>
          <w:szCs w:val="24"/>
        </w:rPr>
        <w:t>following national consideration of the amendments as part of the Safe Work Australia network</w:t>
      </w:r>
      <w:r w:rsidRPr="00E53871">
        <w:rPr>
          <w:sz w:val="24"/>
          <w:szCs w:val="24"/>
        </w:rPr>
        <w:t>.</w:t>
      </w:r>
      <w:r>
        <w:rPr>
          <w:sz w:val="24"/>
          <w:szCs w:val="24"/>
        </w:rPr>
        <w:t xml:space="preserve"> </w:t>
      </w:r>
    </w:p>
    <w:p w14:paraId="127B077A" w14:textId="77777777" w:rsidR="006B618F" w:rsidRDefault="006B618F" w:rsidP="00C155A3">
      <w:pPr>
        <w:spacing w:after="0"/>
        <w:rPr>
          <w:sz w:val="24"/>
          <w:szCs w:val="24"/>
        </w:rPr>
      </w:pPr>
    </w:p>
    <w:p w14:paraId="14DA9FE6" w14:textId="77777777" w:rsidR="006B618F" w:rsidRDefault="006B618F" w:rsidP="00C155A3">
      <w:pPr>
        <w:spacing w:after="0"/>
        <w:rPr>
          <w:sz w:val="24"/>
          <w:szCs w:val="24"/>
        </w:rPr>
      </w:pPr>
      <w:r w:rsidRPr="00E53871">
        <w:rPr>
          <w:sz w:val="24"/>
          <w:szCs w:val="24"/>
        </w:rPr>
        <w:t xml:space="preserve">Consultation with directorates and WorkSafe ACT </w:t>
      </w:r>
      <w:r>
        <w:rPr>
          <w:sz w:val="24"/>
          <w:szCs w:val="24"/>
        </w:rPr>
        <w:t>occurred during the development of the Bill</w:t>
      </w:r>
      <w:r w:rsidRPr="00E53871">
        <w:rPr>
          <w:sz w:val="24"/>
          <w:szCs w:val="24"/>
        </w:rPr>
        <w:t>.</w:t>
      </w:r>
    </w:p>
    <w:p w14:paraId="22350676" w14:textId="77777777" w:rsidR="006B618F" w:rsidRDefault="006B618F" w:rsidP="00C155A3">
      <w:pPr>
        <w:spacing w:after="0"/>
        <w:rPr>
          <w:sz w:val="24"/>
          <w:szCs w:val="24"/>
        </w:rPr>
      </w:pPr>
    </w:p>
    <w:p w14:paraId="27496D4D" w14:textId="3F539243" w:rsidR="00BE2B91" w:rsidRDefault="006B618F" w:rsidP="00C155A3">
      <w:pPr>
        <w:spacing w:after="0"/>
        <w:rPr>
          <w:sz w:val="24"/>
          <w:szCs w:val="24"/>
        </w:rPr>
      </w:pPr>
      <w:r w:rsidRPr="00E53871">
        <w:rPr>
          <w:sz w:val="24"/>
          <w:szCs w:val="24"/>
        </w:rPr>
        <w:t>Changes to the model WHS laws follow the usual consultative process through Safe Work Australia, including with jurisdictions and social partners (industry and trade unions)</w:t>
      </w:r>
      <w:r w:rsidR="00BE2B91">
        <w:rPr>
          <w:sz w:val="24"/>
          <w:szCs w:val="24"/>
        </w:rPr>
        <w:t xml:space="preserve">, and have been agreed to by </w:t>
      </w:r>
      <w:r w:rsidR="00EA7FCD">
        <w:rPr>
          <w:sz w:val="24"/>
          <w:szCs w:val="24"/>
        </w:rPr>
        <w:t>work health and safety ministers</w:t>
      </w:r>
      <w:r w:rsidR="00BE2B91">
        <w:rPr>
          <w:sz w:val="24"/>
          <w:szCs w:val="24"/>
        </w:rPr>
        <w:t xml:space="preserve">. </w:t>
      </w:r>
    </w:p>
    <w:p w14:paraId="6F1C544C" w14:textId="77777777" w:rsidR="00BE2B91" w:rsidRDefault="00BE2B91" w:rsidP="00C155A3">
      <w:pPr>
        <w:spacing w:after="0"/>
        <w:rPr>
          <w:sz w:val="24"/>
          <w:szCs w:val="24"/>
        </w:rPr>
      </w:pPr>
    </w:p>
    <w:p w14:paraId="003A51A9" w14:textId="46F2E3DC" w:rsidR="007951E9" w:rsidRPr="00154713" w:rsidRDefault="007951E9" w:rsidP="00C155A3">
      <w:pPr>
        <w:spacing w:after="0"/>
        <w:rPr>
          <w:rFonts w:asciiTheme="minorHAnsi" w:hAnsiTheme="minorHAnsi" w:cstheme="minorHAnsi"/>
          <w:b/>
          <w:bCs/>
          <w:sz w:val="24"/>
          <w:szCs w:val="24"/>
          <w:u w:val="single"/>
        </w:rPr>
      </w:pPr>
      <w:r w:rsidRPr="00154713">
        <w:rPr>
          <w:rFonts w:asciiTheme="minorHAnsi" w:hAnsiTheme="minorHAnsi" w:cstheme="minorHAnsi"/>
          <w:b/>
          <w:bCs/>
          <w:sz w:val="24"/>
          <w:szCs w:val="24"/>
          <w:u w:val="single"/>
        </w:rPr>
        <w:t>CONSISTENCY WITH HUMAN RIGHTS</w:t>
      </w:r>
    </w:p>
    <w:p w14:paraId="639A5824" w14:textId="77777777" w:rsidR="00BE2B91" w:rsidRPr="00BE2B91" w:rsidRDefault="00BE2B91" w:rsidP="00C155A3">
      <w:pPr>
        <w:spacing w:after="0"/>
        <w:rPr>
          <w:rFonts w:asciiTheme="minorHAnsi" w:hAnsiTheme="minorHAnsi" w:cstheme="minorHAnsi"/>
          <w:b/>
          <w:bCs/>
          <w:u w:val="single"/>
        </w:rPr>
      </w:pPr>
    </w:p>
    <w:p w14:paraId="585B821B" w14:textId="6234F8A1" w:rsidR="007951E9" w:rsidRDefault="00BE2B91" w:rsidP="00C155A3">
      <w:pPr>
        <w:rPr>
          <w:rFonts w:asciiTheme="minorHAnsi" w:hAnsiTheme="minorHAnsi" w:cstheme="minorHAnsi"/>
          <w:iCs/>
          <w:sz w:val="24"/>
          <w:szCs w:val="24"/>
        </w:rPr>
      </w:pPr>
      <w:r>
        <w:rPr>
          <w:rFonts w:asciiTheme="minorHAnsi" w:hAnsiTheme="minorHAnsi" w:cstheme="minorHAnsi"/>
          <w:iCs/>
          <w:sz w:val="24"/>
          <w:szCs w:val="24"/>
        </w:rPr>
        <w:t xml:space="preserve">During the development of this Bill due regard was given to its compatibility with human rights as set out by the </w:t>
      </w:r>
      <w:r w:rsidR="007951E9" w:rsidRPr="007951E9">
        <w:rPr>
          <w:rFonts w:asciiTheme="minorHAnsi" w:hAnsiTheme="minorHAnsi" w:cstheme="minorHAnsi"/>
          <w:i/>
          <w:sz w:val="24"/>
          <w:szCs w:val="24"/>
        </w:rPr>
        <w:t>Human Rights Act 2004</w:t>
      </w:r>
      <w:r w:rsidR="007951E9" w:rsidRPr="007951E9">
        <w:rPr>
          <w:rFonts w:asciiTheme="minorHAnsi" w:hAnsiTheme="minorHAnsi" w:cstheme="minorHAnsi"/>
          <w:iCs/>
          <w:sz w:val="24"/>
          <w:szCs w:val="24"/>
        </w:rPr>
        <w:t xml:space="preserve"> (HR</w:t>
      </w:r>
      <w:r w:rsidR="00154713">
        <w:rPr>
          <w:rFonts w:asciiTheme="minorHAnsi" w:hAnsiTheme="minorHAnsi" w:cstheme="minorHAnsi"/>
          <w:iCs/>
          <w:sz w:val="24"/>
          <w:szCs w:val="24"/>
        </w:rPr>
        <w:t xml:space="preserve"> </w:t>
      </w:r>
      <w:r w:rsidR="007951E9" w:rsidRPr="007951E9">
        <w:rPr>
          <w:rFonts w:asciiTheme="minorHAnsi" w:hAnsiTheme="minorHAnsi" w:cstheme="minorHAnsi"/>
          <w:iCs/>
          <w:sz w:val="24"/>
          <w:szCs w:val="24"/>
        </w:rPr>
        <w:t>A</w:t>
      </w:r>
      <w:r w:rsidR="00154713">
        <w:rPr>
          <w:rFonts w:asciiTheme="minorHAnsi" w:hAnsiTheme="minorHAnsi" w:cstheme="minorHAnsi"/>
          <w:iCs/>
          <w:sz w:val="24"/>
          <w:szCs w:val="24"/>
        </w:rPr>
        <w:t>ct</w:t>
      </w:r>
      <w:r w:rsidR="007951E9" w:rsidRPr="007951E9">
        <w:rPr>
          <w:rFonts w:asciiTheme="minorHAnsi" w:hAnsiTheme="minorHAnsi" w:cstheme="minorHAnsi"/>
          <w:iCs/>
          <w:sz w:val="24"/>
          <w:szCs w:val="24"/>
        </w:rPr>
        <w:t xml:space="preserve">). </w:t>
      </w:r>
    </w:p>
    <w:p w14:paraId="405A7098" w14:textId="5612BFC6" w:rsidR="00BE2B91" w:rsidRPr="00BE2B91" w:rsidRDefault="00BE2B91" w:rsidP="00C155A3">
      <w:pPr>
        <w:rPr>
          <w:rFonts w:asciiTheme="minorHAnsi" w:hAnsiTheme="minorHAnsi" w:cstheme="minorHAnsi"/>
          <w:b/>
          <w:bCs/>
          <w:iCs/>
          <w:sz w:val="24"/>
          <w:szCs w:val="24"/>
        </w:rPr>
      </w:pPr>
      <w:r w:rsidRPr="00BE2B91">
        <w:rPr>
          <w:rFonts w:asciiTheme="minorHAnsi" w:hAnsiTheme="minorHAnsi" w:cstheme="minorHAnsi"/>
          <w:b/>
          <w:bCs/>
          <w:iCs/>
          <w:sz w:val="24"/>
          <w:szCs w:val="24"/>
        </w:rPr>
        <w:t>Rights Promoted</w:t>
      </w:r>
    </w:p>
    <w:p w14:paraId="2F766F20" w14:textId="77777777" w:rsidR="00147182" w:rsidRDefault="00147182" w:rsidP="00C155A3">
      <w:pPr>
        <w:rPr>
          <w:rFonts w:asciiTheme="minorHAnsi" w:hAnsiTheme="minorHAnsi" w:cstheme="minorHAnsi"/>
          <w:sz w:val="24"/>
          <w:szCs w:val="24"/>
        </w:rPr>
      </w:pPr>
      <w:r w:rsidRPr="007951E9">
        <w:rPr>
          <w:rFonts w:asciiTheme="minorHAnsi" w:hAnsiTheme="minorHAnsi" w:cstheme="minorHAnsi"/>
          <w:sz w:val="24"/>
          <w:szCs w:val="24"/>
        </w:rPr>
        <w:t xml:space="preserve">The Bill engages and promotes the </w:t>
      </w:r>
      <w:r>
        <w:rPr>
          <w:rFonts w:asciiTheme="minorHAnsi" w:hAnsiTheme="minorHAnsi" w:cstheme="minorHAnsi"/>
          <w:sz w:val="24"/>
          <w:szCs w:val="24"/>
        </w:rPr>
        <w:t>following rights under the HR Act:</w:t>
      </w:r>
    </w:p>
    <w:p w14:paraId="6D91E49B" w14:textId="33A71A04" w:rsidR="00147182" w:rsidRDefault="00147182" w:rsidP="00C155A3">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 xml:space="preserve">Section 9 - </w:t>
      </w:r>
      <w:r w:rsidR="00EA7FCD">
        <w:rPr>
          <w:rFonts w:asciiTheme="minorHAnsi" w:hAnsiTheme="minorHAnsi" w:cstheme="minorHAnsi"/>
          <w:sz w:val="24"/>
          <w:szCs w:val="24"/>
        </w:rPr>
        <w:t>r</w:t>
      </w:r>
      <w:r>
        <w:rPr>
          <w:rFonts w:asciiTheme="minorHAnsi" w:hAnsiTheme="minorHAnsi" w:cstheme="minorHAnsi"/>
          <w:sz w:val="24"/>
          <w:szCs w:val="24"/>
        </w:rPr>
        <w:t>ight to life</w:t>
      </w:r>
      <w:r w:rsidR="00FD1844">
        <w:rPr>
          <w:rFonts w:asciiTheme="minorHAnsi" w:hAnsiTheme="minorHAnsi" w:cstheme="minorHAnsi"/>
          <w:sz w:val="24"/>
          <w:szCs w:val="24"/>
        </w:rPr>
        <w:t>.</w:t>
      </w:r>
    </w:p>
    <w:p w14:paraId="00F0CA2E" w14:textId="2C9DEA77" w:rsidR="00147182" w:rsidRDefault="00147182" w:rsidP="00C155A3">
      <w:pPr>
        <w:pStyle w:val="ListParagraph"/>
        <w:numPr>
          <w:ilvl w:val="0"/>
          <w:numId w:val="34"/>
        </w:numPr>
        <w:rPr>
          <w:rFonts w:asciiTheme="minorHAnsi" w:hAnsiTheme="minorHAnsi" w:cstheme="minorHAnsi"/>
          <w:sz w:val="24"/>
          <w:szCs w:val="24"/>
        </w:rPr>
      </w:pPr>
      <w:r>
        <w:rPr>
          <w:rFonts w:asciiTheme="minorHAnsi" w:hAnsiTheme="minorHAnsi" w:cstheme="minorHAnsi"/>
          <w:sz w:val="24"/>
          <w:szCs w:val="24"/>
        </w:rPr>
        <w:t xml:space="preserve">Section 27B - </w:t>
      </w:r>
      <w:r w:rsidR="00EA7FCD">
        <w:rPr>
          <w:rFonts w:asciiTheme="minorHAnsi" w:hAnsiTheme="minorHAnsi" w:cstheme="minorHAnsi"/>
          <w:sz w:val="24"/>
          <w:szCs w:val="24"/>
        </w:rPr>
        <w:t>r</w:t>
      </w:r>
      <w:r>
        <w:rPr>
          <w:rFonts w:asciiTheme="minorHAnsi" w:hAnsiTheme="minorHAnsi" w:cstheme="minorHAnsi"/>
          <w:sz w:val="24"/>
          <w:szCs w:val="24"/>
        </w:rPr>
        <w:t>ight to work</w:t>
      </w:r>
      <w:r w:rsidR="00FD1844">
        <w:rPr>
          <w:rFonts w:asciiTheme="minorHAnsi" w:hAnsiTheme="minorHAnsi" w:cstheme="minorHAnsi"/>
          <w:sz w:val="24"/>
          <w:szCs w:val="24"/>
        </w:rPr>
        <w:t>.</w:t>
      </w:r>
      <w:r>
        <w:rPr>
          <w:rFonts w:asciiTheme="minorHAnsi" w:hAnsiTheme="minorHAnsi" w:cstheme="minorHAnsi"/>
          <w:sz w:val="24"/>
          <w:szCs w:val="24"/>
        </w:rPr>
        <w:t xml:space="preserve"> </w:t>
      </w:r>
    </w:p>
    <w:p w14:paraId="756B150F" w14:textId="6891DB7D" w:rsidR="0050709F" w:rsidRDefault="007951E9" w:rsidP="00EA7FCD">
      <w:pPr>
        <w:rPr>
          <w:rFonts w:asciiTheme="minorHAnsi" w:hAnsiTheme="minorHAnsi" w:cstheme="minorHAnsi"/>
          <w:sz w:val="24"/>
          <w:szCs w:val="24"/>
        </w:rPr>
      </w:pPr>
      <w:r w:rsidRPr="007951E9">
        <w:rPr>
          <w:rFonts w:asciiTheme="minorHAnsi" w:hAnsiTheme="minorHAnsi" w:cstheme="minorHAnsi"/>
          <w:sz w:val="24"/>
          <w:szCs w:val="24"/>
        </w:rPr>
        <w:t xml:space="preserve">The Bill engages and promotes the right to life of workers and members of the public in workplaces in the ACT. </w:t>
      </w:r>
      <w:r w:rsidR="0050709F">
        <w:rPr>
          <w:rFonts w:asciiTheme="minorHAnsi" w:hAnsiTheme="minorHAnsi" w:cstheme="minorHAnsi"/>
          <w:sz w:val="24"/>
          <w:szCs w:val="24"/>
        </w:rPr>
        <w:t xml:space="preserve"> The Bill also engages and promotes the right to work including undertaking measures to ensure</w:t>
      </w:r>
      <w:r w:rsidR="0050709F" w:rsidRPr="007951E9">
        <w:rPr>
          <w:rFonts w:asciiTheme="minorHAnsi" w:hAnsiTheme="minorHAnsi" w:cstheme="minorHAnsi"/>
          <w:sz w:val="24"/>
          <w:szCs w:val="24"/>
        </w:rPr>
        <w:t xml:space="preserve"> just and favourable conditions of work, </w:t>
      </w:r>
      <w:r w:rsidR="0050709F">
        <w:rPr>
          <w:rFonts w:asciiTheme="minorHAnsi" w:hAnsiTheme="minorHAnsi" w:cstheme="minorHAnsi"/>
          <w:sz w:val="24"/>
          <w:szCs w:val="24"/>
        </w:rPr>
        <w:t>and</w:t>
      </w:r>
      <w:r w:rsidR="0050709F" w:rsidRPr="007951E9">
        <w:rPr>
          <w:rFonts w:asciiTheme="minorHAnsi" w:hAnsiTheme="minorHAnsi" w:cstheme="minorHAnsi"/>
          <w:sz w:val="24"/>
          <w:szCs w:val="24"/>
        </w:rPr>
        <w:t xml:space="preserve"> safe and healthy working conditions.</w:t>
      </w:r>
    </w:p>
    <w:p w14:paraId="700D0A26" w14:textId="041EEAD0" w:rsidR="007951E9" w:rsidRDefault="007951E9" w:rsidP="00C155A3">
      <w:pPr>
        <w:rPr>
          <w:rFonts w:asciiTheme="minorHAnsi" w:hAnsiTheme="minorHAnsi" w:cstheme="minorHAnsi"/>
          <w:sz w:val="24"/>
          <w:szCs w:val="24"/>
        </w:rPr>
      </w:pPr>
      <w:r w:rsidRPr="007951E9">
        <w:rPr>
          <w:rFonts w:asciiTheme="minorHAnsi" w:hAnsiTheme="minorHAnsi" w:cstheme="minorHAnsi"/>
          <w:sz w:val="24"/>
          <w:szCs w:val="24"/>
        </w:rPr>
        <w:t>The right</w:t>
      </w:r>
      <w:r w:rsidR="00F7715A">
        <w:rPr>
          <w:rFonts w:asciiTheme="minorHAnsi" w:hAnsiTheme="minorHAnsi" w:cstheme="minorHAnsi"/>
          <w:sz w:val="24"/>
          <w:szCs w:val="24"/>
        </w:rPr>
        <w:t xml:space="preserve"> </w:t>
      </w:r>
      <w:r w:rsidRPr="007951E9">
        <w:rPr>
          <w:rFonts w:asciiTheme="minorHAnsi" w:hAnsiTheme="minorHAnsi" w:cstheme="minorHAnsi"/>
          <w:sz w:val="24"/>
          <w:szCs w:val="24"/>
        </w:rPr>
        <w:t xml:space="preserve">to </w:t>
      </w:r>
      <w:r w:rsidR="0050709F">
        <w:rPr>
          <w:rFonts w:asciiTheme="minorHAnsi" w:hAnsiTheme="minorHAnsi" w:cstheme="minorHAnsi"/>
          <w:sz w:val="24"/>
          <w:szCs w:val="24"/>
        </w:rPr>
        <w:t>l</w:t>
      </w:r>
      <w:r w:rsidRPr="007951E9">
        <w:rPr>
          <w:rFonts w:asciiTheme="minorHAnsi" w:hAnsiTheme="minorHAnsi" w:cstheme="minorHAnsi"/>
          <w:sz w:val="24"/>
          <w:szCs w:val="24"/>
        </w:rPr>
        <w:t>ife impose</w:t>
      </w:r>
      <w:r w:rsidR="00F7715A">
        <w:rPr>
          <w:rFonts w:asciiTheme="minorHAnsi" w:hAnsiTheme="minorHAnsi" w:cstheme="minorHAnsi"/>
          <w:sz w:val="24"/>
          <w:szCs w:val="24"/>
        </w:rPr>
        <w:t>s</w:t>
      </w:r>
      <w:r w:rsidRPr="007951E9">
        <w:rPr>
          <w:rFonts w:asciiTheme="minorHAnsi" w:hAnsiTheme="minorHAnsi" w:cstheme="minorHAnsi"/>
          <w:sz w:val="24"/>
          <w:szCs w:val="24"/>
        </w:rPr>
        <w:t xml:space="preserve"> duties on the ACT Government to protect life and to take reasonable measures to protect </w:t>
      </w:r>
      <w:r w:rsidR="0050709F">
        <w:rPr>
          <w:rFonts w:asciiTheme="minorHAnsi" w:hAnsiTheme="minorHAnsi" w:cstheme="minorHAnsi"/>
          <w:sz w:val="24"/>
          <w:szCs w:val="24"/>
        </w:rPr>
        <w:t>individuals</w:t>
      </w:r>
      <w:r w:rsidRPr="007951E9">
        <w:rPr>
          <w:rFonts w:asciiTheme="minorHAnsi" w:hAnsiTheme="minorHAnsi" w:cstheme="minorHAnsi"/>
          <w:sz w:val="24"/>
          <w:szCs w:val="24"/>
        </w:rPr>
        <w:t xml:space="preserve"> and prevent future injury in workplaces and places of work where members of the public may be present</w:t>
      </w:r>
      <w:r w:rsidR="0050709F">
        <w:rPr>
          <w:rFonts w:asciiTheme="minorHAnsi" w:hAnsiTheme="minorHAnsi" w:cstheme="minorHAnsi"/>
          <w:sz w:val="24"/>
          <w:szCs w:val="24"/>
        </w:rPr>
        <w:t>.</w:t>
      </w:r>
    </w:p>
    <w:p w14:paraId="2A3EF947" w14:textId="77777777" w:rsidR="00F7715A" w:rsidRDefault="00F7715A" w:rsidP="00C155A3">
      <w:pPr>
        <w:rPr>
          <w:rFonts w:asciiTheme="minorHAnsi" w:hAnsiTheme="minorHAnsi" w:cstheme="minorHAnsi"/>
          <w:sz w:val="24"/>
          <w:szCs w:val="24"/>
        </w:rPr>
      </w:pPr>
      <w:r w:rsidRPr="008D0ABF">
        <w:rPr>
          <w:rFonts w:asciiTheme="minorHAnsi" w:hAnsiTheme="minorHAnsi" w:cstheme="minorHAnsi"/>
          <w:sz w:val="24"/>
          <w:szCs w:val="24"/>
        </w:rPr>
        <w:t>Through the Bill, the ACT Government is taking positive steps to satisfy its duty to protect life and prevent future injury</w:t>
      </w:r>
      <w:r>
        <w:rPr>
          <w:rFonts w:asciiTheme="minorHAnsi" w:hAnsiTheme="minorHAnsi" w:cstheme="minorHAnsi"/>
          <w:sz w:val="24"/>
          <w:szCs w:val="24"/>
        </w:rPr>
        <w:t xml:space="preserve"> </w:t>
      </w:r>
      <w:r w:rsidRPr="008D0ABF">
        <w:rPr>
          <w:rFonts w:asciiTheme="minorHAnsi" w:hAnsiTheme="minorHAnsi" w:cstheme="minorHAnsi"/>
          <w:sz w:val="24"/>
          <w:szCs w:val="24"/>
        </w:rPr>
        <w:t>and ensure safe and healthy working conditions by</w:t>
      </w:r>
      <w:r>
        <w:rPr>
          <w:rFonts w:asciiTheme="minorHAnsi" w:hAnsiTheme="minorHAnsi" w:cstheme="minorHAnsi"/>
          <w:sz w:val="24"/>
          <w:szCs w:val="24"/>
        </w:rPr>
        <w:t xml:space="preserve"> modifying the </w:t>
      </w:r>
      <w:r w:rsidRPr="008D0ABF">
        <w:rPr>
          <w:rFonts w:asciiTheme="minorHAnsi" w:hAnsiTheme="minorHAnsi" w:cstheme="minorHAnsi"/>
          <w:sz w:val="24"/>
          <w:szCs w:val="24"/>
        </w:rPr>
        <w:t xml:space="preserve">legal framework under the WHS Act </w:t>
      </w:r>
      <w:r>
        <w:rPr>
          <w:rFonts w:asciiTheme="minorHAnsi" w:hAnsiTheme="minorHAnsi" w:cstheme="minorHAnsi"/>
          <w:sz w:val="24"/>
          <w:szCs w:val="24"/>
        </w:rPr>
        <w:t>to increase</w:t>
      </w:r>
      <w:r w:rsidRPr="008D0ABF">
        <w:rPr>
          <w:rFonts w:asciiTheme="minorHAnsi" w:hAnsiTheme="minorHAnsi" w:cstheme="minorHAnsi"/>
          <w:sz w:val="24"/>
          <w:szCs w:val="24"/>
        </w:rPr>
        <w:t xml:space="preserve"> </w:t>
      </w:r>
      <w:r>
        <w:rPr>
          <w:rFonts w:asciiTheme="minorHAnsi" w:hAnsiTheme="minorHAnsi" w:cstheme="minorHAnsi"/>
          <w:sz w:val="24"/>
          <w:szCs w:val="24"/>
        </w:rPr>
        <w:t xml:space="preserve">penalty arrangements for </w:t>
      </w:r>
      <w:r w:rsidRPr="008D0ABF">
        <w:rPr>
          <w:rFonts w:asciiTheme="minorHAnsi" w:hAnsiTheme="minorHAnsi" w:cstheme="minorHAnsi"/>
          <w:sz w:val="24"/>
          <w:szCs w:val="24"/>
        </w:rPr>
        <w:t>offences to</w:t>
      </w:r>
      <w:r w:rsidRPr="00DB4975">
        <w:rPr>
          <w:rFonts w:asciiTheme="minorHAnsi" w:hAnsiTheme="minorHAnsi" w:cstheme="minorHAnsi"/>
          <w:sz w:val="24"/>
          <w:szCs w:val="24"/>
        </w:rPr>
        <w:t xml:space="preserve"> </w:t>
      </w:r>
      <w:r>
        <w:rPr>
          <w:rFonts w:asciiTheme="minorHAnsi" w:hAnsiTheme="minorHAnsi" w:cstheme="minorHAnsi"/>
          <w:sz w:val="24"/>
          <w:szCs w:val="24"/>
        </w:rPr>
        <w:t xml:space="preserve">ensure there are appropriate sanctions for unlawful behaviour. This will </w:t>
      </w:r>
      <w:r w:rsidRPr="008D0ABF">
        <w:rPr>
          <w:rFonts w:asciiTheme="minorHAnsi" w:hAnsiTheme="minorHAnsi" w:cstheme="minorHAnsi"/>
          <w:sz w:val="24"/>
          <w:szCs w:val="24"/>
        </w:rPr>
        <w:t xml:space="preserve">protect </w:t>
      </w:r>
      <w:r>
        <w:rPr>
          <w:rFonts w:asciiTheme="minorHAnsi" w:hAnsiTheme="minorHAnsi" w:cstheme="minorHAnsi"/>
          <w:sz w:val="24"/>
          <w:szCs w:val="24"/>
        </w:rPr>
        <w:t xml:space="preserve">the </w:t>
      </w:r>
      <w:r w:rsidRPr="008D0ABF">
        <w:rPr>
          <w:rFonts w:asciiTheme="minorHAnsi" w:hAnsiTheme="minorHAnsi" w:cstheme="minorHAnsi"/>
          <w:sz w:val="24"/>
          <w:szCs w:val="24"/>
        </w:rPr>
        <w:t>li</w:t>
      </w:r>
      <w:r>
        <w:rPr>
          <w:rFonts w:asciiTheme="minorHAnsi" w:hAnsiTheme="minorHAnsi" w:cstheme="minorHAnsi"/>
          <w:sz w:val="24"/>
          <w:szCs w:val="24"/>
        </w:rPr>
        <w:t>ves</w:t>
      </w:r>
      <w:r w:rsidRPr="008D0ABF">
        <w:rPr>
          <w:rFonts w:asciiTheme="minorHAnsi" w:hAnsiTheme="minorHAnsi" w:cstheme="minorHAnsi"/>
          <w:sz w:val="24"/>
          <w:szCs w:val="24"/>
        </w:rPr>
        <w:t xml:space="preserve"> of workers and people at a workplace and prevent future injury. </w:t>
      </w:r>
    </w:p>
    <w:p w14:paraId="46F29A7B" w14:textId="77777777" w:rsidR="00EA7FCD" w:rsidRDefault="008D0ABF" w:rsidP="00C155A3">
      <w:pPr>
        <w:rPr>
          <w:rFonts w:asciiTheme="minorHAnsi" w:hAnsiTheme="minorHAnsi" w:cstheme="minorHAnsi"/>
          <w:sz w:val="24"/>
          <w:szCs w:val="24"/>
        </w:rPr>
      </w:pPr>
      <w:r w:rsidRPr="008D0ABF">
        <w:rPr>
          <w:rFonts w:asciiTheme="minorHAnsi" w:hAnsiTheme="minorHAnsi" w:cstheme="minorHAnsi"/>
          <w:sz w:val="24"/>
          <w:szCs w:val="24"/>
        </w:rPr>
        <w:t xml:space="preserve">The offences </w:t>
      </w:r>
      <w:r w:rsidR="00F7715A">
        <w:rPr>
          <w:rFonts w:asciiTheme="minorHAnsi" w:hAnsiTheme="minorHAnsi" w:cstheme="minorHAnsi"/>
          <w:sz w:val="24"/>
          <w:szCs w:val="24"/>
        </w:rPr>
        <w:t xml:space="preserve">and increased penalties </w:t>
      </w:r>
      <w:r w:rsidR="00476199">
        <w:rPr>
          <w:rFonts w:asciiTheme="minorHAnsi" w:hAnsiTheme="minorHAnsi" w:cstheme="minorHAnsi"/>
          <w:sz w:val="24"/>
          <w:szCs w:val="24"/>
        </w:rPr>
        <w:t xml:space="preserve">that apply to the offences </w:t>
      </w:r>
      <w:r w:rsidR="00F7715A">
        <w:rPr>
          <w:rFonts w:asciiTheme="minorHAnsi" w:hAnsiTheme="minorHAnsi" w:cstheme="minorHAnsi"/>
          <w:sz w:val="24"/>
          <w:szCs w:val="24"/>
        </w:rPr>
        <w:t xml:space="preserve">will </w:t>
      </w:r>
      <w:r w:rsidRPr="008D0ABF">
        <w:rPr>
          <w:rFonts w:asciiTheme="minorHAnsi" w:hAnsiTheme="minorHAnsi" w:cstheme="minorHAnsi"/>
          <w:sz w:val="24"/>
          <w:szCs w:val="24"/>
        </w:rPr>
        <w:t xml:space="preserve">act as a deterrent to poor work safety practices and encourage employers and businesses to dedicate sufficient </w:t>
      </w:r>
      <w:r w:rsidRPr="008D0ABF">
        <w:rPr>
          <w:rFonts w:asciiTheme="minorHAnsi" w:hAnsiTheme="minorHAnsi" w:cstheme="minorHAnsi"/>
          <w:sz w:val="24"/>
          <w:szCs w:val="24"/>
        </w:rPr>
        <w:lastRenderedPageBreak/>
        <w:t>resources and attention to workplace safety</w:t>
      </w:r>
      <w:r w:rsidR="00F7715A">
        <w:rPr>
          <w:rFonts w:asciiTheme="minorHAnsi" w:hAnsiTheme="minorHAnsi" w:cstheme="minorHAnsi"/>
          <w:sz w:val="24"/>
          <w:szCs w:val="24"/>
        </w:rPr>
        <w:t xml:space="preserve">.  The increase in monetary </w:t>
      </w:r>
      <w:r w:rsidR="0050709F">
        <w:rPr>
          <w:rFonts w:asciiTheme="minorHAnsi" w:hAnsiTheme="minorHAnsi" w:cstheme="minorHAnsi"/>
          <w:sz w:val="24"/>
          <w:szCs w:val="24"/>
        </w:rPr>
        <w:t xml:space="preserve">penalties reflect </w:t>
      </w:r>
      <w:r w:rsidR="00F7715A">
        <w:rPr>
          <w:rFonts w:asciiTheme="minorHAnsi" w:hAnsiTheme="minorHAnsi" w:cstheme="minorHAnsi"/>
          <w:sz w:val="24"/>
          <w:szCs w:val="24"/>
        </w:rPr>
        <w:t xml:space="preserve">real </w:t>
      </w:r>
      <w:r w:rsidR="0050709F">
        <w:rPr>
          <w:rFonts w:asciiTheme="minorHAnsi" w:hAnsiTheme="minorHAnsi" w:cstheme="minorHAnsi"/>
          <w:sz w:val="24"/>
          <w:szCs w:val="24"/>
        </w:rPr>
        <w:t xml:space="preserve">value over time, </w:t>
      </w:r>
      <w:r w:rsidR="00F7715A">
        <w:rPr>
          <w:rFonts w:asciiTheme="minorHAnsi" w:hAnsiTheme="minorHAnsi" w:cstheme="minorHAnsi"/>
          <w:sz w:val="24"/>
          <w:szCs w:val="24"/>
        </w:rPr>
        <w:t>given they have not increased since their inception in 2011</w:t>
      </w:r>
      <w:r w:rsidR="00EA7FCD">
        <w:rPr>
          <w:rFonts w:asciiTheme="minorHAnsi" w:hAnsiTheme="minorHAnsi" w:cstheme="minorHAnsi"/>
          <w:sz w:val="24"/>
          <w:szCs w:val="24"/>
        </w:rPr>
        <w:t>.</w:t>
      </w:r>
    </w:p>
    <w:p w14:paraId="16F392D2" w14:textId="247BB25E" w:rsidR="00ED443C" w:rsidRPr="00ED443C" w:rsidRDefault="00ED443C" w:rsidP="00EA7FCD">
      <w:pPr>
        <w:spacing w:after="120"/>
        <w:rPr>
          <w:rFonts w:asciiTheme="minorHAnsi" w:hAnsiTheme="minorHAnsi" w:cstheme="minorHAnsi"/>
          <w:iCs/>
          <w:sz w:val="24"/>
          <w:szCs w:val="24"/>
        </w:rPr>
      </w:pPr>
      <w:r w:rsidRPr="00ED443C">
        <w:rPr>
          <w:rFonts w:asciiTheme="minorHAnsi" w:hAnsiTheme="minorHAnsi" w:cstheme="minorHAnsi"/>
          <w:sz w:val="24"/>
          <w:szCs w:val="24"/>
        </w:rPr>
        <w:t xml:space="preserve">On </w:t>
      </w:r>
      <w:r w:rsidRPr="00ED443C">
        <w:rPr>
          <w:rFonts w:asciiTheme="minorHAnsi" w:hAnsiTheme="minorHAnsi" w:cstheme="minorHAnsi"/>
          <w:iCs/>
          <w:sz w:val="24"/>
          <w:szCs w:val="24"/>
        </w:rPr>
        <w:t xml:space="preserve">30 June 2022, </w:t>
      </w:r>
      <w:r w:rsidR="0050709F">
        <w:rPr>
          <w:rFonts w:asciiTheme="minorHAnsi" w:hAnsiTheme="minorHAnsi" w:cstheme="minorHAnsi"/>
          <w:iCs/>
          <w:sz w:val="24"/>
          <w:szCs w:val="24"/>
        </w:rPr>
        <w:t>Safe Work Australia Members</w:t>
      </w:r>
      <w:r w:rsidRPr="00ED443C">
        <w:rPr>
          <w:rFonts w:asciiTheme="minorHAnsi" w:hAnsiTheme="minorHAnsi" w:cstheme="minorHAnsi"/>
          <w:iCs/>
          <w:sz w:val="24"/>
          <w:szCs w:val="24"/>
        </w:rPr>
        <w:t xml:space="preserve"> agreed to give effect to the WHS ministers’ decision on Recommendation 22</w:t>
      </w:r>
      <w:r w:rsidR="0050709F">
        <w:rPr>
          <w:rFonts w:asciiTheme="minorHAnsi" w:hAnsiTheme="minorHAnsi" w:cstheme="minorHAnsi"/>
          <w:iCs/>
          <w:sz w:val="24"/>
          <w:szCs w:val="24"/>
        </w:rPr>
        <w:t xml:space="preserve"> by amendment to the model Work Health and Safety laws to:</w:t>
      </w:r>
      <w:r w:rsidRPr="00ED443C">
        <w:rPr>
          <w:rFonts w:asciiTheme="minorHAnsi" w:hAnsiTheme="minorHAnsi" w:cstheme="minorHAnsi"/>
          <w:iCs/>
          <w:sz w:val="24"/>
          <w:szCs w:val="24"/>
        </w:rPr>
        <w:t xml:space="preserve"> </w:t>
      </w:r>
    </w:p>
    <w:p w14:paraId="19544F3E" w14:textId="3876804A" w:rsidR="00ED443C" w:rsidRPr="00ED443C" w:rsidRDefault="00ED443C" w:rsidP="00EA7FCD">
      <w:pPr>
        <w:pStyle w:val="ListParagraph"/>
        <w:numPr>
          <w:ilvl w:val="0"/>
          <w:numId w:val="21"/>
        </w:numPr>
        <w:spacing w:after="120"/>
        <w:ind w:left="1077" w:hanging="357"/>
        <w:rPr>
          <w:rFonts w:asciiTheme="minorHAnsi" w:hAnsiTheme="minorHAnsi" w:cstheme="minorHAnsi"/>
          <w:iCs/>
          <w:sz w:val="24"/>
          <w:szCs w:val="24"/>
        </w:rPr>
      </w:pPr>
      <w:r w:rsidRPr="00ED443C">
        <w:rPr>
          <w:rFonts w:asciiTheme="minorHAnsi" w:hAnsiTheme="minorHAnsi" w:cstheme="minorHAnsi"/>
          <w:iCs/>
          <w:sz w:val="24"/>
          <w:szCs w:val="24"/>
        </w:rPr>
        <w:t xml:space="preserve">insert a mechanism to increase penalties annually in line with national CPI so that penalties maintain their real value over time; </w:t>
      </w:r>
    </w:p>
    <w:p w14:paraId="5270C5E7" w14:textId="35245CF1" w:rsidR="00ED443C" w:rsidRPr="00ED443C" w:rsidRDefault="00ED443C" w:rsidP="00EA7FCD">
      <w:pPr>
        <w:pStyle w:val="ListParagraph"/>
        <w:numPr>
          <w:ilvl w:val="0"/>
          <w:numId w:val="21"/>
        </w:numPr>
        <w:spacing w:after="240"/>
        <w:rPr>
          <w:rFonts w:asciiTheme="minorHAnsi" w:hAnsiTheme="minorHAnsi" w:cstheme="minorHAnsi"/>
          <w:iCs/>
          <w:sz w:val="24"/>
          <w:szCs w:val="24"/>
        </w:rPr>
      </w:pPr>
      <w:r w:rsidRPr="00ED443C">
        <w:rPr>
          <w:rFonts w:asciiTheme="minorHAnsi" w:hAnsiTheme="minorHAnsi" w:cstheme="minorHAnsi"/>
          <w:iCs/>
          <w:sz w:val="24"/>
          <w:szCs w:val="24"/>
        </w:rPr>
        <w:t xml:space="preserve">immediately increase monetary penalties by 39.03%. </w:t>
      </w:r>
    </w:p>
    <w:p w14:paraId="1782DD18" w14:textId="0E6D3B00" w:rsidR="005752EA" w:rsidRDefault="00ED443C" w:rsidP="00EA7FCD">
      <w:pPr>
        <w:spacing w:before="120"/>
        <w:rPr>
          <w:rFonts w:asciiTheme="minorHAnsi" w:hAnsiTheme="minorHAnsi" w:cstheme="minorHAnsi"/>
          <w:iCs/>
          <w:sz w:val="24"/>
          <w:szCs w:val="24"/>
        </w:rPr>
      </w:pPr>
      <w:r w:rsidRPr="00ED443C">
        <w:rPr>
          <w:rFonts w:asciiTheme="minorHAnsi" w:hAnsiTheme="minorHAnsi" w:cstheme="minorHAnsi"/>
          <w:iCs/>
          <w:sz w:val="24"/>
          <w:szCs w:val="24"/>
        </w:rPr>
        <w:t xml:space="preserve">The 39.03% increase in monetary penalty amounts represents the average increase in penalty units for non-WHS offences across all jurisdictions since 2011 (when the model WHS law was introduced).  </w:t>
      </w:r>
    </w:p>
    <w:p w14:paraId="72FE9157" w14:textId="39B6223C" w:rsidR="0050709F" w:rsidRPr="0050709F" w:rsidRDefault="0050709F" w:rsidP="00C155A3">
      <w:pPr>
        <w:spacing w:before="120" w:after="0"/>
        <w:rPr>
          <w:rFonts w:asciiTheme="minorHAnsi" w:hAnsiTheme="minorHAnsi" w:cstheme="minorHAnsi"/>
          <w:b/>
          <w:bCs/>
          <w:iCs/>
          <w:sz w:val="24"/>
          <w:szCs w:val="24"/>
        </w:rPr>
      </w:pPr>
      <w:r w:rsidRPr="0050709F">
        <w:rPr>
          <w:rFonts w:asciiTheme="minorHAnsi" w:hAnsiTheme="minorHAnsi" w:cstheme="minorHAnsi"/>
          <w:b/>
          <w:bCs/>
          <w:iCs/>
          <w:sz w:val="24"/>
          <w:szCs w:val="24"/>
        </w:rPr>
        <w:t>Rights limited</w:t>
      </w:r>
      <w:r w:rsidR="00D206FA">
        <w:rPr>
          <w:rFonts w:asciiTheme="minorHAnsi" w:hAnsiTheme="minorHAnsi" w:cstheme="minorHAnsi"/>
          <w:b/>
          <w:bCs/>
          <w:iCs/>
          <w:sz w:val="24"/>
          <w:szCs w:val="24"/>
        </w:rPr>
        <w:t xml:space="preserve"> - increase penalty provisions for category 1 offences and retain strict liability to duty element</w:t>
      </w:r>
    </w:p>
    <w:p w14:paraId="37E8D2BB" w14:textId="472F0C7A" w:rsidR="005752EA" w:rsidRDefault="005752EA" w:rsidP="00C155A3">
      <w:pPr>
        <w:spacing w:before="120" w:after="0"/>
        <w:rPr>
          <w:rFonts w:asciiTheme="minorHAnsi" w:hAnsiTheme="minorHAnsi" w:cstheme="minorHAnsi"/>
          <w:iCs/>
          <w:sz w:val="24"/>
          <w:szCs w:val="24"/>
        </w:rPr>
      </w:pPr>
      <w:r>
        <w:rPr>
          <w:rFonts w:asciiTheme="minorHAnsi" w:hAnsiTheme="minorHAnsi" w:cstheme="minorHAnsi"/>
          <w:iCs/>
          <w:sz w:val="24"/>
          <w:szCs w:val="24"/>
        </w:rPr>
        <w:t>The Bill engages and limits the following rights under the HR Act:</w:t>
      </w:r>
    </w:p>
    <w:p w14:paraId="0F3DFB9B" w14:textId="26BCCA3C" w:rsidR="005752EA" w:rsidRDefault="005752EA" w:rsidP="00C155A3">
      <w:pPr>
        <w:pStyle w:val="ListParagraph"/>
        <w:numPr>
          <w:ilvl w:val="0"/>
          <w:numId w:val="35"/>
        </w:numPr>
        <w:spacing w:before="120" w:after="0"/>
        <w:rPr>
          <w:rFonts w:asciiTheme="minorHAnsi" w:hAnsiTheme="minorHAnsi" w:cstheme="minorHAnsi"/>
          <w:iCs/>
          <w:sz w:val="24"/>
          <w:szCs w:val="24"/>
        </w:rPr>
      </w:pPr>
      <w:r>
        <w:rPr>
          <w:rFonts w:asciiTheme="minorHAnsi" w:hAnsiTheme="minorHAnsi" w:cstheme="minorHAnsi"/>
          <w:iCs/>
          <w:sz w:val="24"/>
          <w:szCs w:val="24"/>
        </w:rPr>
        <w:t xml:space="preserve">Section 18 - </w:t>
      </w:r>
      <w:r w:rsidR="00EA7FCD">
        <w:rPr>
          <w:rFonts w:asciiTheme="minorHAnsi" w:hAnsiTheme="minorHAnsi" w:cstheme="minorHAnsi"/>
          <w:iCs/>
          <w:sz w:val="24"/>
          <w:szCs w:val="24"/>
        </w:rPr>
        <w:t>r</w:t>
      </w:r>
      <w:r>
        <w:rPr>
          <w:rFonts w:asciiTheme="minorHAnsi" w:hAnsiTheme="minorHAnsi" w:cstheme="minorHAnsi"/>
          <w:iCs/>
          <w:sz w:val="24"/>
          <w:szCs w:val="24"/>
        </w:rPr>
        <w:t>ight to liberty and security of a person</w:t>
      </w:r>
      <w:r w:rsidR="00FD1844">
        <w:rPr>
          <w:rFonts w:asciiTheme="minorHAnsi" w:hAnsiTheme="minorHAnsi" w:cstheme="minorHAnsi"/>
          <w:iCs/>
          <w:sz w:val="24"/>
          <w:szCs w:val="24"/>
        </w:rPr>
        <w:t>.</w:t>
      </w:r>
    </w:p>
    <w:p w14:paraId="6BD08603" w14:textId="73769EEE" w:rsidR="005752EA" w:rsidRDefault="005752EA" w:rsidP="00C155A3">
      <w:pPr>
        <w:pStyle w:val="ListParagraph"/>
        <w:numPr>
          <w:ilvl w:val="0"/>
          <w:numId w:val="35"/>
        </w:numPr>
        <w:spacing w:before="120" w:after="0"/>
        <w:rPr>
          <w:rFonts w:asciiTheme="minorHAnsi" w:hAnsiTheme="minorHAnsi" w:cstheme="minorHAnsi"/>
          <w:iCs/>
          <w:sz w:val="24"/>
          <w:szCs w:val="24"/>
        </w:rPr>
      </w:pPr>
      <w:r>
        <w:rPr>
          <w:rFonts w:asciiTheme="minorHAnsi" w:hAnsiTheme="minorHAnsi" w:cstheme="minorHAnsi"/>
          <w:iCs/>
          <w:sz w:val="24"/>
          <w:szCs w:val="24"/>
        </w:rPr>
        <w:t xml:space="preserve">Section 22 - </w:t>
      </w:r>
      <w:r w:rsidR="00EA7FCD">
        <w:rPr>
          <w:rFonts w:asciiTheme="minorHAnsi" w:hAnsiTheme="minorHAnsi" w:cstheme="minorHAnsi"/>
          <w:iCs/>
          <w:sz w:val="24"/>
          <w:szCs w:val="24"/>
        </w:rPr>
        <w:t>r</w:t>
      </w:r>
      <w:r>
        <w:rPr>
          <w:rFonts w:asciiTheme="minorHAnsi" w:hAnsiTheme="minorHAnsi" w:cstheme="minorHAnsi"/>
          <w:iCs/>
          <w:sz w:val="24"/>
          <w:szCs w:val="24"/>
        </w:rPr>
        <w:t>ights in criminal proceedings.</w:t>
      </w:r>
    </w:p>
    <w:p w14:paraId="4CEB2EEA" w14:textId="4F55A85F" w:rsidR="00593D06" w:rsidRDefault="00593D06" w:rsidP="00C155A3">
      <w:pPr>
        <w:spacing w:before="120" w:after="0"/>
        <w:rPr>
          <w:rFonts w:asciiTheme="minorHAnsi" w:hAnsiTheme="minorHAnsi" w:cstheme="minorHAnsi"/>
          <w:iCs/>
          <w:sz w:val="24"/>
          <w:szCs w:val="24"/>
        </w:rPr>
      </w:pPr>
      <w:r>
        <w:rPr>
          <w:rFonts w:asciiTheme="minorHAnsi" w:hAnsiTheme="minorHAnsi" w:cstheme="minorHAnsi"/>
          <w:iCs/>
          <w:sz w:val="24"/>
          <w:szCs w:val="24"/>
        </w:rPr>
        <w:t>The Work Health and Safety Act 2011</w:t>
      </w:r>
      <w:r w:rsidRPr="00593D06">
        <w:rPr>
          <w:rFonts w:asciiTheme="minorHAnsi" w:hAnsiTheme="minorHAnsi" w:cstheme="minorHAnsi"/>
          <w:iCs/>
          <w:sz w:val="24"/>
          <w:szCs w:val="24"/>
        </w:rPr>
        <w:t xml:space="preserve"> makes it an offence f</w:t>
      </w:r>
      <w:r>
        <w:rPr>
          <w:rFonts w:asciiTheme="minorHAnsi" w:hAnsiTheme="minorHAnsi" w:cstheme="minorHAnsi"/>
          <w:iCs/>
          <w:sz w:val="24"/>
          <w:szCs w:val="24"/>
        </w:rPr>
        <w:t>or a person to negligently or recklessly engage in conduct that exposes an individual to whom a health and safety duty is owed to a risk of death or serious injury or illness as a category 1 offence.</w:t>
      </w:r>
    </w:p>
    <w:p w14:paraId="6EEE35AC" w14:textId="72A3B597" w:rsidR="00593D06" w:rsidRPr="00ED443C" w:rsidRDefault="00593D06" w:rsidP="00C155A3">
      <w:pPr>
        <w:spacing w:before="120" w:after="0"/>
        <w:rPr>
          <w:rFonts w:asciiTheme="minorHAnsi" w:hAnsiTheme="minorHAnsi" w:cstheme="minorHAnsi"/>
          <w:iCs/>
          <w:sz w:val="24"/>
          <w:szCs w:val="24"/>
        </w:rPr>
      </w:pPr>
      <w:r>
        <w:rPr>
          <w:rFonts w:asciiTheme="minorHAnsi" w:hAnsiTheme="minorHAnsi" w:cstheme="minorHAnsi"/>
          <w:iCs/>
          <w:sz w:val="24"/>
          <w:szCs w:val="24"/>
        </w:rPr>
        <w:t>The Bill gives effect to amendments to the model WHS laws</w:t>
      </w:r>
      <w:r w:rsidRPr="00ED443C">
        <w:rPr>
          <w:rFonts w:asciiTheme="minorHAnsi" w:hAnsiTheme="minorHAnsi" w:cstheme="minorHAnsi"/>
          <w:iCs/>
          <w:sz w:val="24"/>
          <w:szCs w:val="24"/>
        </w:rPr>
        <w:t xml:space="preserve"> to increase penalties for the Category 1 offence </w:t>
      </w:r>
      <w:r>
        <w:rPr>
          <w:rFonts w:asciiTheme="minorHAnsi" w:hAnsiTheme="minorHAnsi" w:cstheme="minorHAnsi"/>
          <w:iCs/>
          <w:sz w:val="24"/>
          <w:szCs w:val="24"/>
        </w:rPr>
        <w:t>in recognition of the seriousness of the offence</w:t>
      </w:r>
      <w:r w:rsidRPr="00ED443C">
        <w:rPr>
          <w:rFonts w:asciiTheme="minorHAnsi" w:hAnsiTheme="minorHAnsi" w:cstheme="minorHAnsi"/>
          <w:iCs/>
          <w:sz w:val="24"/>
          <w:szCs w:val="24"/>
        </w:rPr>
        <w:t xml:space="preserve">: </w:t>
      </w:r>
    </w:p>
    <w:p w14:paraId="2CBC6338" w14:textId="27D2A259" w:rsidR="00F7715A" w:rsidRPr="00F7715A" w:rsidRDefault="00F7715A" w:rsidP="00C155A3">
      <w:pPr>
        <w:spacing w:before="120" w:after="0"/>
        <w:contextualSpacing/>
        <w:rPr>
          <w:rFonts w:asciiTheme="minorHAnsi" w:hAnsiTheme="minorHAnsi" w:cstheme="minorHAnsi"/>
          <w:iCs/>
          <w:sz w:val="24"/>
          <w:szCs w:val="24"/>
        </w:rPr>
      </w:pPr>
    </w:p>
    <w:tbl>
      <w:tblPr>
        <w:tblStyle w:val="GridTable6Colorful"/>
        <w:tblW w:w="9497" w:type="dxa"/>
        <w:tblLook w:val="04A0" w:firstRow="1" w:lastRow="0" w:firstColumn="1" w:lastColumn="0" w:noHBand="0" w:noVBand="1"/>
      </w:tblPr>
      <w:tblGrid>
        <w:gridCol w:w="2835"/>
        <w:gridCol w:w="3260"/>
        <w:gridCol w:w="3402"/>
      </w:tblGrid>
      <w:tr w:rsidR="00F7715A" w:rsidRPr="00411A59" w14:paraId="6F90FDF9" w14:textId="77777777" w:rsidTr="00F771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70AEFF9" w14:textId="77777777" w:rsidR="00F7715A" w:rsidRPr="00411A59" w:rsidRDefault="00F7715A" w:rsidP="00C155A3">
            <w:pPr>
              <w:pStyle w:val="CS-Paragraphnumbering"/>
              <w:numPr>
                <w:ilvl w:val="0"/>
                <w:numId w:val="0"/>
              </w:numPr>
              <w:rPr>
                <w:sz w:val="22"/>
                <w:szCs w:val="22"/>
              </w:rPr>
            </w:pPr>
          </w:p>
        </w:tc>
        <w:tc>
          <w:tcPr>
            <w:tcW w:w="3260" w:type="dxa"/>
          </w:tcPr>
          <w:p w14:paraId="49A4E9D0" w14:textId="77777777" w:rsidR="00F7715A" w:rsidRPr="00411A59" w:rsidRDefault="00F7715A" w:rsidP="00C155A3">
            <w:pPr>
              <w:pStyle w:val="CS-Paragraphnumbering"/>
              <w:numPr>
                <w:ilvl w:val="0"/>
                <w:numId w:val="0"/>
              </w:numPr>
              <w:cnfStyle w:val="100000000000" w:firstRow="1" w:lastRow="0" w:firstColumn="0" w:lastColumn="0" w:oddVBand="0" w:evenVBand="0" w:oddHBand="0" w:evenHBand="0" w:firstRowFirstColumn="0" w:firstRowLastColumn="0" w:lastRowFirstColumn="0" w:lastRowLastColumn="0"/>
              <w:rPr>
                <w:sz w:val="22"/>
                <w:szCs w:val="22"/>
              </w:rPr>
            </w:pPr>
            <w:r w:rsidRPr="00411A59">
              <w:rPr>
                <w:sz w:val="22"/>
                <w:szCs w:val="22"/>
              </w:rPr>
              <w:t>Current Category 1 offence penalty</w:t>
            </w:r>
          </w:p>
        </w:tc>
        <w:tc>
          <w:tcPr>
            <w:tcW w:w="3402" w:type="dxa"/>
          </w:tcPr>
          <w:p w14:paraId="56AABFE8" w14:textId="77777777" w:rsidR="00F7715A" w:rsidRPr="00411A59" w:rsidRDefault="00F7715A" w:rsidP="00C155A3">
            <w:pPr>
              <w:pStyle w:val="CS-Paragraphnumbering"/>
              <w:numPr>
                <w:ilvl w:val="0"/>
                <w:numId w:val="0"/>
              </w:numPr>
              <w:cnfStyle w:val="100000000000" w:firstRow="1" w:lastRow="0" w:firstColumn="0" w:lastColumn="0" w:oddVBand="0" w:evenVBand="0" w:oddHBand="0" w:evenHBand="0" w:firstRowFirstColumn="0" w:firstRowLastColumn="0" w:lastRowFirstColumn="0" w:lastRowLastColumn="0"/>
              <w:rPr>
                <w:sz w:val="22"/>
                <w:szCs w:val="22"/>
              </w:rPr>
            </w:pPr>
            <w:r w:rsidRPr="00411A59">
              <w:rPr>
                <w:sz w:val="22"/>
                <w:szCs w:val="22"/>
              </w:rPr>
              <w:t>amended Category 1 offence penalty</w:t>
            </w:r>
          </w:p>
        </w:tc>
      </w:tr>
      <w:tr w:rsidR="00F7715A" w:rsidRPr="00411A59" w14:paraId="7998CDC8" w14:textId="77777777" w:rsidTr="00F7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86C195E" w14:textId="77777777" w:rsidR="00F7715A" w:rsidRPr="00411A59" w:rsidRDefault="00F7715A" w:rsidP="00C155A3">
            <w:pPr>
              <w:pStyle w:val="CS-Paragraphnumbering"/>
              <w:numPr>
                <w:ilvl w:val="0"/>
                <w:numId w:val="0"/>
              </w:numPr>
              <w:rPr>
                <w:sz w:val="22"/>
                <w:szCs w:val="22"/>
              </w:rPr>
            </w:pPr>
            <w:r w:rsidRPr="00411A59">
              <w:rPr>
                <w:sz w:val="22"/>
                <w:szCs w:val="22"/>
              </w:rPr>
              <w:t>Individual (other than PCBU)</w:t>
            </w:r>
          </w:p>
        </w:tc>
        <w:tc>
          <w:tcPr>
            <w:tcW w:w="3260" w:type="dxa"/>
          </w:tcPr>
          <w:p w14:paraId="5615F1CE" w14:textId="77777777" w:rsidR="00F7715A" w:rsidRPr="00411A59" w:rsidRDefault="00F7715A" w:rsidP="00C155A3">
            <w:pPr>
              <w:pStyle w:val="CS-Paragraphnumbering"/>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r w:rsidRPr="00411A59">
              <w:rPr>
                <w:sz w:val="22"/>
                <w:szCs w:val="22"/>
              </w:rPr>
              <w:t>5 years’ imprisonment; and/or</w:t>
            </w:r>
          </w:p>
          <w:p w14:paraId="22EA50B1" w14:textId="77777777" w:rsidR="00F7715A" w:rsidRPr="00411A59" w:rsidRDefault="00F7715A" w:rsidP="00C155A3">
            <w:pPr>
              <w:pStyle w:val="CS-Paragraphnumbering"/>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r w:rsidRPr="00411A59">
              <w:rPr>
                <w:sz w:val="22"/>
                <w:szCs w:val="22"/>
              </w:rPr>
              <w:t>$300,000</w:t>
            </w:r>
          </w:p>
        </w:tc>
        <w:tc>
          <w:tcPr>
            <w:tcW w:w="3402" w:type="dxa"/>
          </w:tcPr>
          <w:p w14:paraId="12265C83" w14:textId="77777777" w:rsidR="00F7715A" w:rsidRPr="00411A59" w:rsidRDefault="00F7715A" w:rsidP="00C155A3">
            <w:pPr>
              <w:pStyle w:val="CS-Paragraphnumbering"/>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r w:rsidRPr="00411A59">
              <w:rPr>
                <w:sz w:val="22"/>
                <w:szCs w:val="22"/>
              </w:rPr>
              <w:t>10 years’ imprisonment; and/or</w:t>
            </w:r>
          </w:p>
          <w:p w14:paraId="64B7C8A2" w14:textId="77777777" w:rsidR="00F7715A" w:rsidRPr="00411A59" w:rsidRDefault="00F7715A" w:rsidP="00C155A3">
            <w:pPr>
              <w:pStyle w:val="CS-Paragraphnumbering"/>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r w:rsidRPr="00411A59">
              <w:rPr>
                <w:sz w:val="22"/>
                <w:szCs w:val="22"/>
              </w:rPr>
              <w:t>$1,042,000</w:t>
            </w:r>
          </w:p>
        </w:tc>
      </w:tr>
      <w:tr w:rsidR="00F7715A" w:rsidRPr="00411A59" w14:paraId="40D47AFA" w14:textId="77777777" w:rsidTr="00F7715A">
        <w:tc>
          <w:tcPr>
            <w:cnfStyle w:val="001000000000" w:firstRow="0" w:lastRow="0" w:firstColumn="1" w:lastColumn="0" w:oddVBand="0" w:evenVBand="0" w:oddHBand="0" w:evenHBand="0" w:firstRowFirstColumn="0" w:firstRowLastColumn="0" w:lastRowFirstColumn="0" w:lastRowLastColumn="0"/>
            <w:tcW w:w="2835" w:type="dxa"/>
          </w:tcPr>
          <w:p w14:paraId="761B772D" w14:textId="77777777" w:rsidR="00F7715A" w:rsidRPr="00411A59" w:rsidRDefault="00F7715A" w:rsidP="00C155A3">
            <w:pPr>
              <w:pStyle w:val="CS-Paragraphnumbering"/>
              <w:numPr>
                <w:ilvl w:val="0"/>
                <w:numId w:val="0"/>
              </w:numPr>
              <w:rPr>
                <w:sz w:val="22"/>
                <w:szCs w:val="22"/>
              </w:rPr>
            </w:pPr>
            <w:r w:rsidRPr="00411A59">
              <w:rPr>
                <w:sz w:val="22"/>
                <w:szCs w:val="22"/>
              </w:rPr>
              <w:t>Individual – PCBU or officer</w:t>
            </w:r>
          </w:p>
        </w:tc>
        <w:tc>
          <w:tcPr>
            <w:tcW w:w="3260" w:type="dxa"/>
          </w:tcPr>
          <w:p w14:paraId="16B7ED90" w14:textId="77777777" w:rsidR="00F7715A" w:rsidRPr="00411A59" w:rsidRDefault="00F7715A" w:rsidP="00C155A3">
            <w:pPr>
              <w:pStyle w:val="CS-Paragraphnumbering"/>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r w:rsidRPr="00411A59">
              <w:rPr>
                <w:sz w:val="22"/>
                <w:szCs w:val="22"/>
              </w:rPr>
              <w:t>5 years’ imprisonment; and/or</w:t>
            </w:r>
          </w:p>
          <w:p w14:paraId="29217CAA" w14:textId="77777777" w:rsidR="00F7715A" w:rsidRPr="00411A59" w:rsidRDefault="00F7715A" w:rsidP="00C155A3">
            <w:pPr>
              <w:pStyle w:val="CS-Paragraphnumbering"/>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r w:rsidRPr="00411A59">
              <w:rPr>
                <w:sz w:val="22"/>
                <w:szCs w:val="22"/>
              </w:rPr>
              <w:t>$600,000</w:t>
            </w:r>
          </w:p>
        </w:tc>
        <w:tc>
          <w:tcPr>
            <w:tcW w:w="3402" w:type="dxa"/>
          </w:tcPr>
          <w:p w14:paraId="04B846F3" w14:textId="77777777" w:rsidR="00F7715A" w:rsidRPr="00411A59" w:rsidRDefault="00F7715A" w:rsidP="00C155A3">
            <w:pPr>
              <w:pStyle w:val="CS-Paragraphnumbering"/>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r w:rsidRPr="00411A59">
              <w:rPr>
                <w:sz w:val="22"/>
                <w:szCs w:val="22"/>
              </w:rPr>
              <w:t>10 years’ imprisonment; and/or</w:t>
            </w:r>
          </w:p>
          <w:p w14:paraId="2C868CCE" w14:textId="77777777" w:rsidR="00F7715A" w:rsidRPr="00411A59" w:rsidRDefault="00F7715A" w:rsidP="00C155A3">
            <w:pPr>
              <w:pStyle w:val="CS-Paragraphnumbering"/>
              <w:numPr>
                <w:ilvl w:val="0"/>
                <w:numId w:val="0"/>
              </w:numPr>
              <w:cnfStyle w:val="000000000000" w:firstRow="0" w:lastRow="0" w:firstColumn="0" w:lastColumn="0" w:oddVBand="0" w:evenVBand="0" w:oddHBand="0" w:evenHBand="0" w:firstRowFirstColumn="0" w:firstRowLastColumn="0" w:lastRowFirstColumn="0" w:lastRowLastColumn="0"/>
              <w:rPr>
                <w:sz w:val="22"/>
                <w:szCs w:val="22"/>
              </w:rPr>
            </w:pPr>
            <w:r w:rsidRPr="00411A59">
              <w:rPr>
                <w:sz w:val="22"/>
                <w:szCs w:val="22"/>
              </w:rPr>
              <w:t>$2,085,000</w:t>
            </w:r>
          </w:p>
        </w:tc>
      </w:tr>
      <w:tr w:rsidR="00F7715A" w:rsidRPr="00411A59" w14:paraId="5852BB5F" w14:textId="77777777" w:rsidTr="00F77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27E8EE1" w14:textId="77777777" w:rsidR="00F7715A" w:rsidRPr="00411A59" w:rsidRDefault="00F7715A" w:rsidP="00C155A3">
            <w:pPr>
              <w:pStyle w:val="CS-Paragraphnumbering"/>
              <w:numPr>
                <w:ilvl w:val="0"/>
                <w:numId w:val="0"/>
              </w:numPr>
              <w:rPr>
                <w:sz w:val="22"/>
                <w:szCs w:val="22"/>
              </w:rPr>
            </w:pPr>
            <w:r w:rsidRPr="00411A59">
              <w:rPr>
                <w:sz w:val="22"/>
                <w:szCs w:val="22"/>
              </w:rPr>
              <w:t>Body corporate</w:t>
            </w:r>
          </w:p>
        </w:tc>
        <w:tc>
          <w:tcPr>
            <w:tcW w:w="3260" w:type="dxa"/>
          </w:tcPr>
          <w:p w14:paraId="3C3C2135" w14:textId="77777777" w:rsidR="00F7715A" w:rsidRPr="00411A59" w:rsidRDefault="00F7715A" w:rsidP="00C155A3">
            <w:pPr>
              <w:pStyle w:val="CS-Paragraphnumbering"/>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r w:rsidRPr="00411A59">
              <w:rPr>
                <w:sz w:val="22"/>
                <w:szCs w:val="22"/>
              </w:rPr>
              <w:t>$3m</w:t>
            </w:r>
          </w:p>
        </w:tc>
        <w:tc>
          <w:tcPr>
            <w:tcW w:w="3402" w:type="dxa"/>
          </w:tcPr>
          <w:p w14:paraId="69D2D56E" w14:textId="77777777" w:rsidR="00F7715A" w:rsidRPr="00411A59" w:rsidRDefault="00F7715A" w:rsidP="00C155A3">
            <w:pPr>
              <w:pStyle w:val="CS-Paragraphnumbering"/>
              <w:numPr>
                <w:ilvl w:val="0"/>
                <w:numId w:val="0"/>
              </w:numPr>
              <w:cnfStyle w:val="000000100000" w:firstRow="0" w:lastRow="0" w:firstColumn="0" w:lastColumn="0" w:oddVBand="0" w:evenVBand="0" w:oddHBand="1" w:evenHBand="0" w:firstRowFirstColumn="0" w:firstRowLastColumn="0" w:lastRowFirstColumn="0" w:lastRowLastColumn="0"/>
              <w:rPr>
                <w:sz w:val="22"/>
                <w:szCs w:val="22"/>
              </w:rPr>
            </w:pPr>
            <w:r w:rsidRPr="00411A59">
              <w:rPr>
                <w:sz w:val="22"/>
                <w:szCs w:val="22"/>
              </w:rPr>
              <w:t>$10,425,000</w:t>
            </w:r>
          </w:p>
        </w:tc>
      </w:tr>
    </w:tbl>
    <w:p w14:paraId="62FBA996" w14:textId="77777777" w:rsidR="00F7715A" w:rsidRPr="00F7715A" w:rsidRDefault="00F7715A" w:rsidP="00C155A3">
      <w:pPr>
        <w:spacing w:before="120" w:after="0"/>
        <w:contextualSpacing/>
        <w:rPr>
          <w:rFonts w:asciiTheme="minorHAnsi" w:hAnsiTheme="minorHAnsi" w:cstheme="minorHAnsi"/>
          <w:iCs/>
          <w:sz w:val="24"/>
          <w:szCs w:val="24"/>
        </w:rPr>
      </w:pPr>
    </w:p>
    <w:p w14:paraId="464FC15C" w14:textId="77777777" w:rsidR="006A3802" w:rsidRDefault="006A3802" w:rsidP="00C155A3">
      <w:pPr>
        <w:pStyle w:val="ListParagraph"/>
        <w:spacing w:before="120" w:after="0"/>
        <w:ind w:left="1080"/>
        <w:contextualSpacing/>
        <w:rPr>
          <w:rFonts w:asciiTheme="minorHAnsi" w:hAnsiTheme="minorHAnsi" w:cstheme="minorHAnsi"/>
          <w:iCs/>
          <w:sz w:val="24"/>
          <w:szCs w:val="24"/>
        </w:rPr>
      </w:pPr>
    </w:p>
    <w:p w14:paraId="19212FEE" w14:textId="77777777" w:rsidR="00EA7FCD" w:rsidRPr="00ED443C" w:rsidRDefault="00EA7FCD" w:rsidP="00C155A3">
      <w:pPr>
        <w:pStyle w:val="ListParagraph"/>
        <w:spacing w:before="120" w:after="0"/>
        <w:ind w:left="1080"/>
        <w:contextualSpacing/>
        <w:rPr>
          <w:rFonts w:asciiTheme="minorHAnsi" w:hAnsiTheme="minorHAnsi" w:cstheme="minorHAnsi"/>
          <w:iCs/>
          <w:sz w:val="24"/>
          <w:szCs w:val="24"/>
        </w:rPr>
      </w:pPr>
    </w:p>
    <w:p w14:paraId="0FCAD17B" w14:textId="77777777" w:rsidR="00593D06" w:rsidRPr="006368EC" w:rsidRDefault="00593D06" w:rsidP="001155F9">
      <w:pPr>
        <w:spacing w:before="120" w:after="0"/>
        <w:rPr>
          <w:rFonts w:asciiTheme="minorHAnsi" w:hAnsiTheme="minorHAnsi" w:cstheme="minorHAnsi"/>
          <w:b/>
          <w:bCs/>
          <w:iCs/>
          <w:sz w:val="24"/>
          <w:szCs w:val="24"/>
        </w:rPr>
      </w:pPr>
      <w:r w:rsidRPr="006368EC">
        <w:rPr>
          <w:rFonts w:asciiTheme="minorHAnsi" w:hAnsiTheme="minorHAnsi" w:cstheme="minorHAnsi"/>
          <w:b/>
          <w:bCs/>
          <w:iCs/>
          <w:sz w:val="24"/>
          <w:szCs w:val="24"/>
        </w:rPr>
        <w:lastRenderedPageBreak/>
        <w:t>1. Nature of the right and the limitation (s 28 (2) (a) and (c))</w:t>
      </w:r>
    </w:p>
    <w:p w14:paraId="49C5DD22" w14:textId="4FA1D426" w:rsidR="00476199" w:rsidRPr="00593D06" w:rsidRDefault="00593D06" w:rsidP="00EA7FCD">
      <w:pPr>
        <w:rPr>
          <w:rFonts w:asciiTheme="minorHAnsi" w:hAnsiTheme="minorHAnsi" w:cstheme="minorHAnsi"/>
          <w:iCs/>
          <w:sz w:val="24"/>
          <w:szCs w:val="24"/>
        </w:rPr>
      </w:pPr>
      <w:r w:rsidRPr="00593D06">
        <w:rPr>
          <w:rFonts w:asciiTheme="minorHAnsi" w:hAnsiTheme="minorHAnsi" w:cstheme="minorHAnsi"/>
          <w:iCs/>
          <w:sz w:val="24"/>
          <w:szCs w:val="24"/>
        </w:rPr>
        <w:t xml:space="preserve">Section 22 (1) of the HR Act provides that everyone charged with a criminal offence has the right to be presumed innocent until proved guilty according to law. The amendment engages and limits this right </w:t>
      </w:r>
      <w:r w:rsidR="00255A25">
        <w:rPr>
          <w:rFonts w:asciiTheme="minorHAnsi" w:hAnsiTheme="minorHAnsi" w:cstheme="minorHAnsi"/>
          <w:iCs/>
          <w:sz w:val="24"/>
          <w:szCs w:val="24"/>
        </w:rPr>
        <w:t xml:space="preserve">insofar that it maintains the existing category 1 offence provisions which apply strict liability to </w:t>
      </w:r>
      <w:r w:rsidR="00476199">
        <w:rPr>
          <w:rFonts w:asciiTheme="minorHAnsi" w:hAnsiTheme="minorHAnsi" w:cstheme="minorHAnsi"/>
          <w:iCs/>
          <w:sz w:val="24"/>
          <w:szCs w:val="24"/>
        </w:rPr>
        <w:t xml:space="preserve">one </w:t>
      </w:r>
      <w:r w:rsidR="00E35A1E">
        <w:rPr>
          <w:rFonts w:asciiTheme="minorHAnsi" w:hAnsiTheme="minorHAnsi" w:cstheme="minorHAnsi"/>
          <w:iCs/>
          <w:sz w:val="24"/>
          <w:szCs w:val="24"/>
        </w:rPr>
        <w:t>element of the offence provision.</w:t>
      </w:r>
      <w:r w:rsidR="00476199">
        <w:rPr>
          <w:rFonts w:asciiTheme="minorHAnsi" w:hAnsiTheme="minorHAnsi" w:cstheme="minorHAnsi"/>
          <w:iCs/>
          <w:sz w:val="24"/>
          <w:szCs w:val="24"/>
        </w:rPr>
        <w:t xml:space="preserve"> The Bill maintains strict liability to the work health and safety duty element of the offence at 31(1)(a). </w:t>
      </w:r>
    </w:p>
    <w:p w14:paraId="72446DFC" w14:textId="0E549378" w:rsidR="00E35A1E" w:rsidRDefault="00E35A1E" w:rsidP="00EA7FCD">
      <w:pPr>
        <w:rPr>
          <w:rFonts w:asciiTheme="minorHAnsi" w:hAnsiTheme="minorHAnsi" w:cstheme="minorHAnsi"/>
          <w:iCs/>
          <w:sz w:val="24"/>
          <w:szCs w:val="24"/>
        </w:rPr>
      </w:pPr>
      <w:r>
        <w:rPr>
          <w:rFonts w:asciiTheme="minorHAnsi" w:hAnsiTheme="minorHAnsi" w:cstheme="minorHAnsi"/>
          <w:iCs/>
          <w:sz w:val="24"/>
          <w:szCs w:val="24"/>
        </w:rPr>
        <w:t xml:space="preserve">Strict liability provisions generally engage and limit the right to be presumed innocent as they remove the need for the prosecution to prove an accused person’s fault (ie the mental element of intent or recklessness) in relation to an offence generally or for particular elements of an offence. As a result, </w:t>
      </w:r>
      <w:r w:rsidR="00476199">
        <w:rPr>
          <w:rFonts w:asciiTheme="minorHAnsi" w:hAnsiTheme="minorHAnsi" w:cstheme="minorHAnsi"/>
          <w:iCs/>
          <w:sz w:val="24"/>
          <w:szCs w:val="24"/>
        </w:rPr>
        <w:t>section 31(1)(a) of the WHS Act</w:t>
      </w:r>
      <w:r>
        <w:rPr>
          <w:rFonts w:asciiTheme="minorHAnsi" w:hAnsiTheme="minorHAnsi" w:cstheme="minorHAnsi"/>
          <w:iCs/>
          <w:sz w:val="24"/>
          <w:szCs w:val="24"/>
        </w:rPr>
        <w:t xml:space="preserve"> reverses the onus in criminal proceedings and requires an accused to prove a defence for th</w:t>
      </w:r>
      <w:r w:rsidR="00476199">
        <w:rPr>
          <w:rFonts w:asciiTheme="minorHAnsi" w:hAnsiTheme="minorHAnsi" w:cstheme="minorHAnsi"/>
          <w:iCs/>
          <w:sz w:val="24"/>
          <w:szCs w:val="24"/>
        </w:rPr>
        <w:t>at</w:t>
      </w:r>
      <w:r>
        <w:rPr>
          <w:rFonts w:asciiTheme="minorHAnsi" w:hAnsiTheme="minorHAnsi" w:cstheme="minorHAnsi"/>
          <w:iCs/>
          <w:sz w:val="24"/>
          <w:szCs w:val="24"/>
        </w:rPr>
        <w:t xml:space="preserve"> element </w:t>
      </w:r>
      <w:r w:rsidR="00476199">
        <w:rPr>
          <w:rFonts w:asciiTheme="minorHAnsi" w:hAnsiTheme="minorHAnsi" w:cstheme="minorHAnsi"/>
          <w:iCs/>
          <w:sz w:val="24"/>
          <w:szCs w:val="24"/>
        </w:rPr>
        <w:t>for the offence to which</w:t>
      </w:r>
      <w:r>
        <w:rPr>
          <w:rFonts w:asciiTheme="minorHAnsi" w:hAnsiTheme="minorHAnsi" w:cstheme="minorHAnsi"/>
          <w:iCs/>
          <w:sz w:val="24"/>
          <w:szCs w:val="24"/>
        </w:rPr>
        <w:t xml:space="preserve"> strict liability applies. </w:t>
      </w:r>
    </w:p>
    <w:p w14:paraId="64AE7C00" w14:textId="16C7339F" w:rsidR="005752EA" w:rsidRPr="005752EA" w:rsidRDefault="00593D06" w:rsidP="00EA7FCD">
      <w:pPr>
        <w:rPr>
          <w:rFonts w:asciiTheme="minorHAnsi" w:hAnsiTheme="minorHAnsi" w:cstheme="minorHAnsi"/>
          <w:iCs/>
          <w:sz w:val="24"/>
          <w:szCs w:val="24"/>
        </w:rPr>
      </w:pPr>
      <w:r w:rsidRPr="00593D06">
        <w:rPr>
          <w:rFonts w:asciiTheme="minorHAnsi" w:hAnsiTheme="minorHAnsi" w:cstheme="minorHAnsi"/>
          <w:iCs/>
          <w:sz w:val="24"/>
          <w:szCs w:val="24"/>
        </w:rPr>
        <w:t xml:space="preserve">The amendment also engages and limits the right to liberty (section 18 of the HR Act) as the offence </w:t>
      </w:r>
      <w:r w:rsidR="00476199">
        <w:rPr>
          <w:rFonts w:asciiTheme="minorHAnsi" w:hAnsiTheme="minorHAnsi" w:cstheme="minorHAnsi"/>
          <w:iCs/>
          <w:sz w:val="24"/>
          <w:szCs w:val="24"/>
        </w:rPr>
        <w:t xml:space="preserve">under section 31(1) </w:t>
      </w:r>
      <w:r w:rsidRPr="00593D06">
        <w:rPr>
          <w:rFonts w:asciiTheme="minorHAnsi" w:hAnsiTheme="minorHAnsi" w:cstheme="minorHAnsi"/>
          <w:iCs/>
          <w:sz w:val="24"/>
          <w:szCs w:val="24"/>
        </w:rPr>
        <w:t xml:space="preserve">carries a maximum penalty of </w:t>
      </w:r>
      <w:r w:rsidR="00E35A1E">
        <w:rPr>
          <w:rFonts w:asciiTheme="minorHAnsi" w:hAnsiTheme="minorHAnsi" w:cstheme="minorHAnsi"/>
          <w:iCs/>
          <w:sz w:val="24"/>
          <w:szCs w:val="24"/>
        </w:rPr>
        <w:t>10</w:t>
      </w:r>
      <w:r w:rsidRPr="00593D06">
        <w:rPr>
          <w:rFonts w:asciiTheme="minorHAnsi" w:hAnsiTheme="minorHAnsi" w:cstheme="minorHAnsi"/>
          <w:iCs/>
          <w:sz w:val="24"/>
          <w:szCs w:val="24"/>
        </w:rPr>
        <w:t xml:space="preserve"> years imprisonment. Section 18 of the HR Act provides that no-one may be arbitrarily arrested and detained, and no one will be deprived of their liberty, except on grounds and in accordance with the procedures established by law. Arrest or detention may be ‘arbitrary’ if it is unreasonable, unjust, inappropriate or disproportionate in all the circumstances of the case or not in accordance with due process.</w:t>
      </w:r>
    </w:p>
    <w:p w14:paraId="5255A3A5" w14:textId="213E597B" w:rsidR="005752EA" w:rsidRPr="00E35A1E" w:rsidRDefault="00E35A1E" w:rsidP="00EA7FCD">
      <w:pPr>
        <w:pStyle w:val="ListParagraph"/>
        <w:numPr>
          <w:ilvl w:val="0"/>
          <w:numId w:val="20"/>
        </w:numPr>
        <w:rPr>
          <w:rFonts w:asciiTheme="minorHAnsi" w:hAnsiTheme="minorHAnsi" w:cstheme="minorHAnsi"/>
          <w:b/>
          <w:bCs/>
          <w:iCs/>
          <w:sz w:val="24"/>
          <w:szCs w:val="24"/>
        </w:rPr>
      </w:pPr>
      <w:r w:rsidRPr="00E35A1E">
        <w:rPr>
          <w:rFonts w:asciiTheme="minorHAnsi" w:hAnsiTheme="minorHAnsi" w:cstheme="minorHAnsi"/>
          <w:b/>
          <w:bCs/>
          <w:iCs/>
          <w:sz w:val="24"/>
          <w:szCs w:val="24"/>
        </w:rPr>
        <w:t>Legitimate purpose (s28(2)(b))</w:t>
      </w:r>
    </w:p>
    <w:p w14:paraId="6A327507" w14:textId="4AC32BA4" w:rsidR="00E23ACE" w:rsidRDefault="00E35A1E" w:rsidP="00EA7FCD">
      <w:pPr>
        <w:rPr>
          <w:rFonts w:asciiTheme="minorHAnsi" w:hAnsiTheme="minorHAnsi" w:cstheme="minorHAnsi"/>
          <w:iCs/>
          <w:sz w:val="24"/>
          <w:szCs w:val="24"/>
        </w:rPr>
      </w:pPr>
      <w:r>
        <w:rPr>
          <w:rFonts w:asciiTheme="minorHAnsi" w:hAnsiTheme="minorHAnsi" w:cstheme="minorHAnsi"/>
          <w:iCs/>
          <w:sz w:val="24"/>
          <w:szCs w:val="24"/>
        </w:rPr>
        <w:t>Noting that the Bill does not amend the application of strict liability, the legitimate purpose of the limitation</w:t>
      </w:r>
      <w:r w:rsidR="00F7715A">
        <w:rPr>
          <w:rFonts w:asciiTheme="minorHAnsi" w:hAnsiTheme="minorHAnsi" w:cstheme="minorHAnsi"/>
          <w:iCs/>
          <w:sz w:val="24"/>
          <w:szCs w:val="24"/>
        </w:rPr>
        <w:t>s</w:t>
      </w:r>
      <w:r>
        <w:rPr>
          <w:rFonts w:asciiTheme="minorHAnsi" w:hAnsiTheme="minorHAnsi" w:cstheme="minorHAnsi"/>
          <w:iCs/>
          <w:sz w:val="24"/>
          <w:szCs w:val="24"/>
        </w:rPr>
        <w:t xml:space="preserve"> (strict liability </w:t>
      </w:r>
      <w:r w:rsidR="00F7715A">
        <w:rPr>
          <w:rFonts w:asciiTheme="minorHAnsi" w:hAnsiTheme="minorHAnsi" w:cstheme="minorHAnsi"/>
          <w:iCs/>
          <w:sz w:val="24"/>
          <w:szCs w:val="24"/>
        </w:rPr>
        <w:t xml:space="preserve">and penalties of imprisonment </w:t>
      </w:r>
      <w:r>
        <w:rPr>
          <w:rFonts w:asciiTheme="minorHAnsi" w:hAnsiTheme="minorHAnsi" w:cstheme="minorHAnsi"/>
          <w:iCs/>
          <w:sz w:val="24"/>
          <w:szCs w:val="24"/>
        </w:rPr>
        <w:t xml:space="preserve">provisions) is </w:t>
      </w:r>
      <w:r w:rsidR="00F7715A">
        <w:rPr>
          <w:rFonts w:asciiTheme="minorHAnsi" w:hAnsiTheme="minorHAnsi" w:cstheme="minorHAnsi"/>
          <w:iCs/>
          <w:sz w:val="24"/>
          <w:szCs w:val="24"/>
        </w:rPr>
        <w:t>to</w:t>
      </w:r>
      <w:r>
        <w:rPr>
          <w:rFonts w:asciiTheme="minorHAnsi" w:hAnsiTheme="minorHAnsi" w:cstheme="minorHAnsi"/>
          <w:iCs/>
          <w:sz w:val="24"/>
          <w:szCs w:val="24"/>
        </w:rPr>
        <w:t xml:space="preserve"> protect the health and safety of workers, and act as a deterrent against persons conducting a business or undertaking (PCBUs) </w:t>
      </w:r>
      <w:r w:rsidR="00F7715A">
        <w:rPr>
          <w:rFonts w:asciiTheme="minorHAnsi" w:hAnsiTheme="minorHAnsi" w:cstheme="minorHAnsi"/>
          <w:iCs/>
          <w:sz w:val="24"/>
          <w:szCs w:val="24"/>
        </w:rPr>
        <w:t xml:space="preserve">from </w:t>
      </w:r>
      <w:r>
        <w:rPr>
          <w:rFonts w:asciiTheme="minorHAnsi" w:hAnsiTheme="minorHAnsi" w:cstheme="minorHAnsi"/>
          <w:iCs/>
          <w:sz w:val="24"/>
          <w:szCs w:val="24"/>
        </w:rPr>
        <w:t xml:space="preserve">providing unsafe workplaces and work cultures.  </w:t>
      </w:r>
    </w:p>
    <w:p w14:paraId="52FC9971" w14:textId="2D65A96D" w:rsidR="00E35A1E" w:rsidRPr="00E35A1E" w:rsidRDefault="00E35A1E" w:rsidP="00EA7FCD">
      <w:pPr>
        <w:pStyle w:val="ListParagraph"/>
        <w:numPr>
          <w:ilvl w:val="0"/>
          <w:numId w:val="20"/>
        </w:numPr>
        <w:rPr>
          <w:rFonts w:asciiTheme="minorHAnsi" w:hAnsiTheme="minorHAnsi" w:cstheme="minorHAnsi"/>
          <w:b/>
          <w:bCs/>
          <w:iCs/>
          <w:sz w:val="24"/>
          <w:szCs w:val="24"/>
        </w:rPr>
      </w:pPr>
      <w:r w:rsidRPr="00E35A1E">
        <w:rPr>
          <w:rFonts w:asciiTheme="minorHAnsi" w:hAnsiTheme="minorHAnsi" w:cstheme="minorHAnsi"/>
          <w:b/>
          <w:bCs/>
          <w:iCs/>
          <w:sz w:val="24"/>
          <w:szCs w:val="24"/>
        </w:rPr>
        <w:t>Rational connection between the limitation and the purpose (s28(2)(d))</w:t>
      </w:r>
    </w:p>
    <w:p w14:paraId="5E66844E" w14:textId="67D9D922" w:rsidR="00F7715A" w:rsidRDefault="00F7715A" w:rsidP="00EA7FCD">
      <w:pPr>
        <w:rPr>
          <w:rFonts w:asciiTheme="minorHAnsi" w:hAnsiTheme="minorHAnsi" w:cstheme="minorHAnsi"/>
          <w:iCs/>
          <w:sz w:val="24"/>
          <w:szCs w:val="24"/>
        </w:rPr>
      </w:pPr>
      <w:r>
        <w:rPr>
          <w:rFonts w:asciiTheme="minorHAnsi" w:hAnsiTheme="minorHAnsi" w:cstheme="minorHAnsi"/>
          <w:iCs/>
          <w:sz w:val="24"/>
          <w:szCs w:val="24"/>
        </w:rPr>
        <w:t>In order to protect the health and safety o</w:t>
      </w:r>
      <w:r w:rsidR="006A06D4">
        <w:rPr>
          <w:rFonts w:asciiTheme="minorHAnsi" w:hAnsiTheme="minorHAnsi" w:cstheme="minorHAnsi"/>
          <w:iCs/>
          <w:sz w:val="24"/>
          <w:szCs w:val="24"/>
        </w:rPr>
        <w:t>f</w:t>
      </w:r>
      <w:r>
        <w:rPr>
          <w:rFonts w:asciiTheme="minorHAnsi" w:hAnsiTheme="minorHAnsi" w:cstheme="minorHAnsi"/>
          <w:iCs/>
          <w:sz w:val="24"/>
          <w:szCs w:val="24"/>
        </w:rPr>
        <w:t xml:space="preserve"> workers, it is necessary to provide an appropriate legal framework to support enforcement and regulation of PCBUs.</w:t>
      </w:r>
    </w:p>
    <w:p w14:paraId="500D698A" w14:textId="7CACA7B5" w:rsidR="00E23ACE" w:rsidRDefault="00E23ACE" w:rsidP="00EA7FCD">
      <w:pPr>
        <w:rPr>
          <w:rFonts w:asciiTheme="minorHAnsi" w:hAnsiTheme="minorHAnsi" w:cstheme="minorHAnsi"/>
          <w:iCs/>
          <w:sz w:val="24"/>
          <w:szCs w:val="24"/>
        </w:rPr>
      </w:pPr>
      <w:r w:rsidRPr="00E23ACE">
        <w:rPr>
          <w:rFonts w:asciiTheme="minorHAnsi" w:hAnsiTheme="minorHAnsi" w:cstheme="minorHAnsi"/>
          <w:iCs/>
          <w:sz w:val="24"/>
          <w:szCs w:val="24"/>
        </w:rPr>
        <w:t>The offence element</w:t>
      </w:r>
      <w:r w:rsidR="006A06D4">
        <w:rPr>
          <w:rFonts w:asciiTheme="minorHAnsi" w:hAnsiTheme="minorHAnsi" w:cstheme="minorHAnsi"/>
          <w:iCs/>
          <w:sz w:val="24"/>
          <w:szCs w:val="24"/>
        </w:rPr>
        <w:t>s</w:t>
      </w:r>
      <w:r w:rsidRPr="00E23ACE">
        <w:rPr>
          <w:rFonts w:asciiTheme="minorHAnsi" w:hAnsiTheme="minorHAnsi" w:cstheme="minorHAnsi"/>
          <w:iCs/>
          <w:sz w:val="24"/>
          <w:szCs w:val="24"/>
        </w:rPr>
        <w:t xml:space="preserve"> applying strict liability ha</w:t>
      </w:r>
      <w:r w:rsidR="006A06D4">
        <w:rPr>
          <w:rFonts w:asciiTheme="minorHAnsi" w:hAnsiTheme="minorHAnsi" w:cstheme="minorHAnsi"/>
          <w:iCs/>
          <w:sz w:val="24"/>
          <w:szCs w:val="24"/>
        </w:rPr>
        <w:t>ve</w:t>
      </w:r>
      <w:r w:rsidRPr="00E23ACE">
        <w:rPr>
          <w:rFonts w:asciiTheme="minorHAnsi" w:hAnsiTheme="minorHAnsi" w:cstheme="minorHAnsi"/>
          <w:iCs/>
          <w:sz w:val="24"/>
          <w:szCs w:val="24"/>
        </w:rPr>
        <w:t xml:space="preserve"> been carefully considered during the Bill’s development</w:t>
      </w:r>
      <w:r w:rsidR="00F7715A">
        <w:rPr>
          <w:rFonts w:asciiTheme="minorHAnsi" w:hAnsiTheme="minorHAnsi" w:cstheme="minorHAnsi"/>
          <w:iCs/>
          <w:sz w:val="24"/>
          <w:szCs w:val="24"/>
        </w:rPr>
        <w:t xml:space="preserve"> and they are considered appropriate to achieve the legitimate purpose</w:t>
      </w:r>
      <w:r w:rsidRPr="00E23ACE">
        <w:rPr>
          <w:rFonts w:asciiTheme="minorHAnsi" w:hAnsiTheme="minorHAnsi" w:cstheme="minorHAnsi"/>
          <w:iCs/>
          <w:sz w:val="24"/>
          <w:szCs w:val="24"/>
        </w:rPr>
        <w:t xml:space="preserve">. The strict liability offences arise in a regulatory context where, for reasons such as public safety, the public interest in ensuring that regulatory schemes are observed, requires the sanction of criminal penalties. The rationale for </w:t>
      </w:r>
      <w:r>
        <w:rPr>
          <w:rFonts w:asciiTheme="minorHAnsi" w:hAnsiTheme="minorHAnsi" w:cstheme="minorHAnsi"/>
          <w:iCs/>
          <w:sz w:val="24"/>
          <w:szCs w:val="24"/>
        </w:rPr>
        <w:t>maintaining its</w:t>
      </w:r>
      <w:r w:rsidRPr="00E23ACE">
        <w:rPr>
          <w:rFonts w:asciiTheme="minorHAnsi" w:hAnsiTheme="minorHAnsi" w:cstheme="minorHAnsi"/>
          <w:iCs/>
          <w:sz w:val="24"/>
          <w:szCs w:val="24"/>
        </w:rPr>
        <w:t xml:space="preserve"> use in this Bill is that people who owe work safety duties such as PCBUs, persons in control of aspects of work and designers and manufacturers of work structures and products, as opposed to members of the general </w:t>
      </w:r>
      <w:r w:rsidRPr="00E23ACE">
        <w:rPr>
          <w:rFonts w:asciiTheme="minorHAnsi" w:hAnsiTheme="minorHAnsi" w:cstheme="minorHAnsi"/>
          <w:iCs/>
          <w:sz w:val="24"/>
          <w:szCs w:val="24"/>
        </w:rPr>
        <w:lastRenderedPageBreak/>
        <w:t>public, can be expected to be aware of their duties and obligations to workers and the wider public. In particular, where an accused can reasonably be expected, because of his or her professional involvement, to know what the requirements of the law are, the mental (or fault) element can justifiably be excluded. Accordingly, strict liability offences are applied so that every relevant person complies with their obligations at all times and acts appropriately to secure the health and safety of workers and other at the workplace.</w:t>
      </w:r>
    </w:p>
    <w:p w14:paraId="3F45B2CE" w14:textId="24DCA7BD" w:rsidR="00C545C7" w:rsidRDefault="00C545C7" w:rsidP="00EA7FCD">
      <w:pPr>
        <w:rPr>
          <w:rFonts w:asciiTheme="minorHAnsi" w:hAnsiTheme="minorHAnsi" w:cstheme="minorHAnsi"/>
          <w:iCs/>
          <w:sz w:val="24"/>
          <w:szCs w:val="24"/>
        </w:rPr>
      </w:pPr>
      <w:r>
        <w:rPr>
          <w:rFonts w:asciiTheme="minorHAnsi" w:hAnsiTheme="minorHAnsi" w:cstheme="minorHAnsi"/>
          <w:iCs/>
          <w:sz w:val="24"/>
          <w:szCs w:val="24"/>
        </w:rPr>
        <w:t xml:space="preserve">The model WHS Act provides for three </w:t>
      </w:r>
      <w:r w:rsidR="00687B92">
        <w:rPr>
          <w:rFonts w:asciiTheme="minorHAnsi" w:hAnsiTheme="minorHAnsi" w:cstheme="minorHAnsi"/>
          <w:iCs/>
          <w:sz w:val="24"/>
          <w:szCs w:val="24"/>
        </w:rPr>
        <w:t>categories</w:t>
      </w:r>
      <w:r>
        <w:rPr>
          <w:rFonts w:asciiTheme="minorHAnsi" w:hAnsiTheme="minorHAnsi" w:cstheme="minorHAnsi"/>
          <w:iCs/>
          <w:sz w:val="24"/>
          <w:szCs w:val="24"/>
        </w:rPr>
        <w:t xml:space="preserve"> of offence for failure to comply with a health and safety duty. Category 1 offences relate to the most serious (with the exception of industrial </w:t>
      </w:r>
      <w:r w:rsidR="00687B92">
        <w:rPr>
          <w:rFonts w:asciiTheme="minorHAnsi" w:hAnsiTheme="minorHAnsi" w:cstheme="minorHAnsi"/>
          <w:iCs/>
          <w:sz w:val="24"/>
          <w:szCs w:val="24"/>
        </w:rPr>
        <w:t>manslaughter</w:t>
      </w:r>
      <w:r>
        <w:rPr>
          <w:rFonts w:asciiTheme="minorHAnsi" w:hAnsiTheme="minorHAnsi" w:cstheme="minorHAnsi"/>
          <w:iCs/>
          <w:sz w:val="24"/>
          <w:szCs w:val="24"/>
        </w:rPr>
        <w:t xml:space="preserve">) cases of noncompliance, involving </w:t>
      </w:r>
      <w:r w:rsidR="00687B92">
        <w:rPr>
          <w:rFonts w:asciiTheme="minorHAnsi" w:hAnsiTheme="minorHAnsi" w:cstheme="minorHAnsi"/>
          <w:iCs/>
          <w:sz w:val="24"/>
          <w:szCs w:val="24"/>
        </w:rPr>
        <w:t>recklessness</w:t>
      </w:r>
      <w:r>
        <w:rPr>
          <w:rFonts w:asciiTheme="minorHAnsi" w:hAnsiTheme="minorHAnsi" w:cstheme="minorHAnsi"/>
          <w:iCs/>
          <w:sz w:val="24"/>
          <w:szCs w:val="24"/>
        </w:rPr>
        <w:t xml:space="preserve"> in exposing an individual to whom a duty of care is owned to the risk of death, serious injury or illness.  </w:t>
      </w:r>
      <w:r w:rsidR="00687B92">
        <w:rPr>
          <w:rFonts w:asciiTheme="minorHAnsi" w:hAnsiTheme="minorHAnsi" w:cstheme="minorHAnsi"/>
          <w:iCs/>
          <w:sz w:val="24"/>
          <w:szCs w:val="24"/>
        </w:rPr>
        <w:t xml:space="preserve">In </w:t>
      </w:r>
      <w:r w:rsidR="00E60F76">
        <w:rPr>
          <w:rFonts w:asciiTheme="minorHAnsi" w:hAnsiTheme="minorHAnsi" w:cstheme="minorHAnsi"/>
          <w:iCs/>
          <w:sz w:val="24"/>
          <w:szCs w:val="24"/>
        </w:rPr>
        <w:t>May</w:t>
      </w:r>
      <w:r w:rsidR="00687B92">
        <w:rPr>
          <w:rFonts w:asciiTheme="minorHAnsi" w:hAnsiTheme="minorHAnsi" w:cstheme="minorHAnsi"/>
          <w:iCs/>
          <w:sz w:val="24"/>
          <w:szCs w:val="24"/>
        </w:rPr>
        <w:t xml:space="preserve"> </w:t>
      </w:r>
      <w:r w:rsidR="00E60F76">
        <w:rPr>
          <w:rFonts w:asciiTheme="minorHAnsi" w:hAnsiTheme="minorHAnsi" w:cstheme="minorHAnsi"/>
          <w:iCs/>
          <w:sz w:val="24"/>
          <w:szCs w:val="24"/>
        </w:rPr>
        <w:t>2021</w:t>
      </w:r>
      <w:r w:rsidR="00360F1F">
        <w:rPr>
          <w:rFonts w:asciiTheme="minorHAnsi" w:hAnsiTheme="minorHAnsi" w:cstheme="minorHAnsi"/>
          <w:iCs/>
          <w:sz w:val="24"/>
          <w:szCs w:val="24"/>
        </w:rPr>
        <w:t>, in response to the Boland Review,</w:t>
      </w:r>
      <w:r w:rsidR="00687B92">
        <w:rPr>
          <w:rFonts w:asciiTheme="minorHAnsi" w:hAnsiTheme="minorHAnsi" w:cstheme="minorHAnsi"/>
          <w:iCs/>
          <w:sz w:val="24"/>
          <w:szCs w:val="24"/>
        </w:rPr>
        <w:t xml:space="preserve"> WHS Ministers</w:t>
      </w:r>
      <w:r w:rsidR="00E60F76">
        <w:rPr>
          <w:rFonts w:asciiTheme="minorHAnsi" w:hAnsiTheme="minorHAnsi" w:cstheme="minorHAnsi"/>
          <w:iCs/>
          <w:sz w:val="24"/>
          <w:szCs w:val="24"/>
        </w:rPr>
        <w:t xml:space="preserve">, </w:t>
      </w:r>
      <w:r w:rsidR="00687B92">
        <w:rPr>
          <w:rFonts w:asciiTheme="minorHAnsi" w:hAnsiTheme="minorHAnsi" w:cstheme="minorHAnsi"/>
          <w:iCs/>
          <w:sz w:val="24"/>
          <w:szCs w:val="24"/>
        </w:rPr>
        <w:t xml:space="preserve">agreed to consider significant increases to penalties including maximum </w:t>
      </w:r>
      <w:r w:rsidR="00E60F76">
        <w:rPr>
          <w:rFonts w:asciiTheme="minorHAnsi" w:hAnsiTheme="minorHAnsi" w:cstheme="minorHAnsi"/>
          <w:iCs/>
          <w:sz w:val="24"/>
          <w:szCs w:val="24"/>
        </w:rPr>
        <w:t>imprisonment</w:t>
      </w:r>
      <w:r w:rsidR="00687B92">
        <w:rPr>
          <w:rFonts w:asciiTheme="minorHAnsi" w:hAnsiTheme="minorHAnsi" w:cstheme="minorHAnsi"/>
          <w:iCs/>
          <w:sz w:val="24"/>
          <w:szCs w:val="24"/>
        </w:rPr>
        <w:t xml:space="preserve"> for </w:t>
      </w:r>
      <w:r w:rsidR="00E60F76">
        <w:rPr>
          <w:rFonts w:asciiTheme="minorHAnsi" w:hAnsiTheme="minorHAnsi" w:cstheme="minorHAnsi"/>
          <w:iCs/>
          <w:sz w:val="24"/>
          <w:szCs w:val="24"/>
        </w:rPr>
        <w:t>individuals</w:t>
      </w:r>
      <w:r w:rsidR="00687B92">
        <w:rPr>
          <w:rFonts w:asciiTheme="minorHAnsi" w:hAnsiTheme="minorHAnsi" w:cstheme="minorHAnsi"/>
          <w:iCs/>
          <w:sz w:val="24"/>
          <w:szCs w:val="24"/>
        </w:rPr>
        <w:t xml:space="preserve"> </w:t>
      </w:r>
      <w:r w:rsidR="00360F1F">
        <w:rPr>
          <w:rFonts w:asciiTheme="minorHAnsi" w:hAnsiTheme="minorHAnsi" w:cstheme="minorHAnsi"/>
          <w:iCs/>
          <w:sz w:val="24"/>
          <w:szCs w:val="24"/>
        </w:rPr>
        <w:t xml:space="preserve">to prevent workplace deaths and serious injury.  The increases to the maximum term of imprisonment proposed by the Bill reflect this agreement and adopt the maximum terms provided by the model WHS Act.  Increases to the maximum penalty of imprisonment reflect </w:t>
      </w:r>
      <w:r w:rsidR="006A06D4">
        <w:rPr>
          <w:rFonts w:asciiTheme="minorHAnsi" w:hAnsiTheme="minorHAnsi" w:cstheme="minorHAnsi"/>
          <w:iCs/>
          <w:sz w:val="24"/>
          <w:szCs w:val="24"/>
        </w:rPr>
        <w:t>t</w:t>
      </w:r>
      <w:r w:rsidR="00360F1F">
        <w:rPr>
          <w:rFonts w:asciiTheme="minorHAnsi" w:hAnsiTheme="minorHAnsi" w:cstheme="minorHAnsi"/>
          <w:iCs/>
          <w:sz w:val="24"/>
          <w:szCs w:val="24"/>
        </w:rPr>
        <w:t xml:space="preserve">he objective of ensuing </w:t>
      </w:r>
      <w:r w:rsidR="00687B92">
        <w:rPr>
          <w:rFonts w:asciiTheme="minorHAnsi" w:hAnsiTheme="minorHAnsi" w:cstheme="minorHAnsi"/>
          <w:iCs/>
          <w:sz w:val="24"/>
          <w:szCs w:val="24"/>
        </w:rPr>
        <w:t xml:space="preserve">that the penalty </w:t>
      </w:r>
      <w:r w:rsidR="00E60F76">
        <w:rPr>
          <w:rFonts w:asciiTheme="minorHAnsi" w:hAnsiTheme="minorHAnsi" w:cstheme="minorHAnsi"/>
          <w:iCs/>
          <w:sz w:val="24"/>
          <w:szCs w:val="24"/>
        </w:rPr>
        <w:t>reflect</w:t>
      </w:r>
      <w:r w:rsidR="00360F1F">
        <w:rPr>
          <w:rFonts w:asciiTheme="minorHAnsi" w:hAnsiTheme="minorHAnsi" w:cstheme="minorHAnsi"/>
          <w:iCs/>
          <w:sz w:val="24"/>
          <w:szCs w:val="24"/>
        </w:rPr>
        <w:t>s</w:t>
      </w:r>
      <w:r w:rsidR="00687B92">
        <w:rPr>
          <w:rFonts w:asciiTheme="minorHAnsi" w:hAnsiTheme="minorHAnsi" w:cstheme="minorHAnsi"/>
          <w:iCs/>
          <w:sz w:val="24"/>
          <w:szCs w:val="24"/>
        </w:rPr>
        <w:t xml:space="preserve"> the gravity and seriousness of the offence and </w:t>
      </w:r>
      <w:r w:rsidR="00360F1F">
        <w:rPr>
          <w:rFonts w:asciiTheme="minorHAnsi" w:hAnsiTheme="minorHAnsi" w:cstheme="minorHAnsi"/>
          <w:iCs/>
          <w:sz w:val="24"/>
          <w:szCs w:val="24"/>
        </w:rPr>
        <w:t>meets</w:t>
      </w:r>
      <w:r w:rsidR="00687B92">
        <w:rPr>
          <w:rFonts w:asciiTheme="minorHAnsi" w:hAnsiTheme="minorHAnsi" w:cstheme="minorHAnsi"/>
          <w:iCs/>
          <w:sz w:val="24"/>
          <w:szCs w:val="24"/>
        </w:rPr>
        <w:t xml:space="preserve"> community expectations. </w:t>
      </w:r>
      <w:r w:rsidR="00E60F76">
        <w:rPr>
          <w:rFonts w:asciiTheme="minorHAnsi" w:hAnsiTheme="minorHAnsi" w:cstheme="minorHAnsi"/>
          <w:iCs/>
          <w:sz w:val="24"/>
          <w:szCs w:val="24"/>
        </w:rPr>
        <w:t xml:space="preserve"> Findings of the review </w:t>
      </w:r>
      <w:r w:rsidR="00360F1F">
        <w:rPr>
          <w:rFonts w:asciiTheme="minorHAnsi" w:hAnsiTheme="minorHAnsi" w:cstheme="minorHAnsi"/>
          <w:iCs/>
          <w:sz w:val="24"/>
          <w:szCs w:val="24"/>
        </w:rPr>
        <w:t xml:space="preserve">further </w:t>
      </w:r>
      <w:r w:rsidR="00E60F76">
        <w:rPr>
          <w:rFonts w:asciiTheme="minorHAnsi" w:hAnsiTheme="minorHAnsi" w:cstheme="minorHAnsi"/>
          <w:iCs/>
          <w:sz w:val="24"/>
          <w:szCs w:val="24"/>
        </w:rPr>
        <w:t xml:space="preserve">suggested that ensuring greater deterrent to duty-holders for unsafe work conditions and practices would in turn lead to a reduction in health and safety costs with potential increases in safety standards and compliance. </w:t>
      </w:r>
    </w:p>
    <w:p w14:paraId="3B003BE2" w14:textId="28B22D29" w:rsidR="00F031F9" w:rsidRPr="00F031F9" w:rsidRDefault="00F031F9" w:rsidP="00EA7FCD">
      <w:pPr>
        <w:rPr>
          <w:rFonts w:asciiTheme="minorHAnsi" w:hAnsiTheme="minorHAnsi" w:cstheme="minorHAnsi"/>
          <w:iCs/>
          <w:sz w:val="24"/>
          <w:szCs w:val="24"/>
        </w:rPr>
      </w:pPr>
      <w:r w:rsidRPr="00F031F9">
        <w:rPr>
          <w:rFonts w:asciiTheme="minorHAnsi" w:hAnsiTheme="minorHAnsi" w:cstheme="minorHAnsi"/>
          <w:iCs/>
          <w:sz w:val="24"/>
          <w:szCs w:val="24"/>
        </w:rPr>
        <w:t>The penalty of imprisonment is also reasonable and proportionate, as it reflects the seriousness of the harm which could result where PCBUs provide unsafe workplaces and practices. Further, as each case for the offence will turn on its own facts and circumstances, and that different offenders may be described as having acted with differing levels of culpability or blameworthiness, to the extent that unique cases arise when a person may commit the offence, the Court’s wide sentencing discretion, and the safeguard inclusion of alternative verdicts, such as through category 2 offences, will allow the offender’s level of culpability to be reflected through a more lenient sentence.</w:t>
      </w:r>
    </w:p>
    <w:p w14:paraId="7A6A6648" w14:textId="751C6620" w:rsidR="00476199" w:rsidRDefault="00F031F9" w:rsidP="00EA7FCD">
      <w:pPr>
        <w:rPr>
          <w:rFonts w:asciiTheme="minorHAnsi" w:hAnsiTheme="minorHAnsi" w:cstheme="minorHAnsi"/>
          <w:iCs/>
          <w:sz w:val="24"/>
          <w:szCs w:val="24"/>
        </w:rPr>
      </w:pPr>
      <w:r>
        <w:rPr>
          <w:rFonts w:asciiTheme="minorHAnsi" w:hAnsiTheme="minorHAnsi" w:cstheme="minorHAnsi"/>
          <w:iCs/>
          <w:sz w:val="24"/>
          <w:szCs w:val="24"/>
        </w:rPr>
        <w:t>I</w:t>
      </w:r>
      <w:r w:rsidR="00476199">
        <w:rPr>
          <w:rFonts w:asciiTheme="minorHAnsi" w:hAnsiTheme="minorHAnsi" w:cstheme="minorHAnsi"/>
          <w:iCs/>
          <w:sz w:val="24"/>
          <w:szCs w:val="24"/>
        </w:rPr>
        <w:t>t is appropriate to ensure that the penalties for category 1 offences are commensurate with the risks of the offence and proportionate to other offences for breach of duties that seriously risk the health and safety of workers</w:t>
      </w:r>
      <w:r>
        <w:rPr>
          <w:rFonts w:asciiTheme="minorHAnsi" w:hAnsiTheme="minorHAnsi" w:cstheme="minorHAnsi"/>
          <w:iCs/>
          <w:sz w:val="24"/>
          <w:szCs w:val="24"/>
        </w:rPr>
        <w:t xml:space="preserve"> and that duty holders are appropriately held accountable for their behaviour</w:t>
      </w:r>
      <w:r w:rsidR="00476199">
        <w:rPr>
          <w:rFonts w:asciiTheme="minorHAnsi" w:hAnsiTheme="minorHAnsi" w:cstheme="minorHAnsi"/>
          <w:iCs/>
          <w:sz w:val="24"/>
          <w:szCs w:val="24"/>
        </w:rPr>
        <w:t xml:space="preserve">.  The ACT’s industrial manslaughter offence attracts a maximum penalty of 20 years imprisonment, recognising the seriousness of the offence and the consequences of an industrial death.  </w:t>
      </w:r>
    </w:p>
    <w:p w14:paraId="0B538550" w14:textId="033914CC" w:rsidR="00BA2015" w:rsidRDefault="007A2E65" w:rsidP="00EA7FCD">
      <w:pPr>
        <w:rPr>
          <w:rFonts w:asciiTheme="minorHAnsi" w:hAnsiTheme="minorHAnsi" w:cstheme="minorHAnsi"/>
          <w:iCs/>
          <w:sz w:val="24"/>
          <w:szCs w:val="24"/>
        </w:rPr>
      </w:pPr>
      <w:r>
        <w:rPr>
          <w:rFonts w:asciiTheme="minorHAnsi" w:hAnsiTheme="minorHAnsi" w:cstheme="minorHAnsi"/>
          <w:iCs/>
          <w:sz w:val="24"/>
          <w:szCs w:val="24"/>
        </w:rPr>
        <w:t xml:space="preserve">Without adoption of the model WHS law increases to the maximum imprisonment penalty, it is likely that the ACT would be seen as reducing the relative value of safety for workers in </w:t>
      </w:r>
      <w:r>
        <w:rPr>
          <w:rFonts w:asciiTheme="minorHAnsi" w:hAnsiTheme="minorHAnsi" w:cstheme="minorHAnsi"/>
          <w:iCs/>
          <w:sz w:val="24"/>
          <w:szCs w:val="24"/>
        </w:rPr>
        <w:lastRenderedPageBreak/>
        <w:t>the Territory as compared to other jurisdictions, and in compar</w:t>
      </w:r>
      <w:r w:rsidR="006A06D4">
        <w:rPr>
          <w:rFonts w:asciiTheme="minorHAnsi" w:hAnsiTheme="minorHAnsi" w:cstheme="minorHAnsi"/>
          <w:iCs/>
          <w:sz w:val="24"/>
          <w:szCs w:val="24"/>
        </w:rPr>
        <w:t xml:space="preserve">ison </w:t>
      </w:r>
      <w:r>
        <w:rPr>
          <w:rFonts w:asciiTheme="minorHAnsi" w:hAnsiTheme="minorHAnsi" w:cstheme="minorHAnsi"/>
          <w:iCs/>
          <w:sz w:val="24"/>
          <w:szCs w:val="24"/>
        </w:rPr>
        <w:t xml:space="preserve">with the maximum penalties imposed </w:t>
      </w:r>
      <w:r w:rsidR="00476199">
        <w:rPr>
          <w:rFonts w:asciiTheme="minorHAnsi" w:hAnsiTheme="minorHAnsi" w:cstheme="minorHAnsi"/>
          <w:iCs/>
          <w:sz w:val="24"/>
          <w:szCs w:val="24"/>
        </w:rPr>
        <w:t>for related serious offences</w:t>
      </w:r>
      <w:r>
        <w:rPr>
          <w:rFonts w:asciiTheme="minorHAnsi" w:hAnsiTheme="minorHAnsi" w:cstheme="minorHAnsi"/>
          <w:iCs/>
          <w:sz w:val="24"/>
          <w:szCs w:val="24"/>
        </w:rPr>
        <w:t xml:space="preserve">.  </w:t>
      </w:r>
    </w:p>
    <w:p w14:paraId="2C9C6AB1" w14:textId="6A631189" w:rsidR="00D87206" w:rsidRDefault="00D87206" w:rsidP="00EA7FCD">
      <w:pPr>
        <w:rPr>
          <w:rFonts w:asciiTheme="minorHAnsi" w:hAnsiTheme="minorHAnsi" w:cstheme="minorHAnsi"/>
          <w:iCs/>
          <w:sz w:val="24"/>
          <w:szCs w:val="24"/>
        </w:rPr>
      </w:pPr>
      <w:r>
        <w:rPr>
          <w:rFonts w:asciiTheme="minorHAnsi" w:hAnsiTheme="minorHAnsi" w:cstheme="minorHAnsi"/>
          <w:iCs/>
          <w:sz w:val="24"/>
          <w:szCs w:val="24"/>
        </w:rPr>
        <w:t xml:space="preserve">The Bill does not amend or limit the reasonable excuse defence contained in section 31 for category 1 offences. </w:t>
      </w:r>
    </w:p>
    <w:p w14:paraId="50D777EF" w14:textId="77777777" w:rsidR="00F7715A" w:rsidRDefault="00F7715A" w:rsidP="00EA7FCD">
      <w:pPr>
        <w:rPr>
          <w:rFonts w:asciiTheme="minorHAnsi" w:hAnsiTheme="minorHAnsi" w:cstheme="minorHAnsi"/>
          <w:iCs/>
          <w:sz w:val="24"/>
          <w:szCs w:val="24"/>
        </w:rPr>
      </w:pPr>
      <w:r>
        <w:rPr>
          <w:rFonts w:asciiTheme="minorHAnsi" w:hAnsiTheme="minorHAnsi" w:cstheme="minorHAnsi"/>
          <w:iCs/>
          <w:sz w:val="24"/>
          <w:szCs w:val="24"/>
        </w:rPr>
        <w:t xml:space="preserve">The use of imprisonment as a penalty is considered an appropriate and effective to achieve the legitimate purpose, given the significant consequences that can arise from unsafe working conditions. The increase in the maximum penalty of imprisonment for a category 1 offence (which is an established offence provision under the ACT’s WHS Act), stresses the seriousness of the offence and acts as an appropriate deterrent from that behaviour. </w:t>
      </w:r>
    </w:p>
    <w:p w14:paraId="6F4904B8" w14:textId="77777777" w:rsidR="00C545C7" w:rsidRDefault="00C545C7" w:rsidP="00EA7FCD">
      <w:pPr>
        <w:rPr>
          <w:rFonts w:asciiTheme="minorHAnsi" w:hAnsiTheme="minorHAnsi" w:cstheme="minorHAnsi"/>
          <w:iCs/>
          <w:sz w:val="24"/>
          <w:szCs w:val="24"/>
        </w:rPr>
      </w:pPr>
    </w:p>
    <w:p w14:paraId="10B33C1C" w14:textId="74D13B8D" w:rsidR="00E35A1E" w:rsidRPr="00E23ACE" w:rsidRDefault="00E23ACE" w:rsidP="00EA7FCD">
      <w:pPr>
        <w:pStyle w:val="ListParagraph"/>
        <w:numPr>
          <w:ilvl w:val="0"/>
          <w:numId w:val="20"/>
        </w:numPr>
        <w:rPr>
          <w:rFonts w:asciiTheme="minorHAnsi" w:hAnsiTheme="minorHAnsi" w:cstheme="minorHAnsi"/>
          <w:b/>
          <w:bCs/>
          <w:iCs/>
          <w:sz w:val="24"/>
          <w:szCs w:val="24"/>
        </w:rPr>
      </w:pPr>
      <w:r w:rsidRPr="00E23ACE">
        <w:rPr>
          <w:rFonts w:asciiTheme="minorHAnsi" w:hAnsiTheme="minorHAnsi" w:cstheme="minorHAnsi"/>
          <w:b/>
          <w:bCs/>
          <w:iCs/>
          <w:sz w:val="24"/>
          <w:szCs w:val="24"/>
        </w:rPr>
        <w:t>Proportionality (s28(2)(e))</w:t>
      </w:r>
    </w:p>
    <w:p w14:paraId="7257ED52" w14:textId="77777777" w:rsidR="004462E1" w:rsidRDefault="00E23ACE" w:rsidP="00EA7FCD">
      <w:pPr>
        <w:rPr>
          <w:rFonts w:asciiTheme="minorHAnsi" w:hAnsiTheme="minorHAnsi" w:cstheme="minorHAnsi"/>
          <w:iCs/>
          <w:sz w:val="24"/>
          <w:szCs w:val="24"/>
        </w:rPr>
      </w:pPr>
      <w:r w:rsidRPr="00E23ACE">
        <w:rPr>
          <w:rFonts w:asciiTheme="minorHAnsi" w:hAnsiTheme="minorHAnsi" w:cstheme="minorHAnsi"/>
          <w:iCs/>
          <w:sz w:val="24"/>
          <w:szCs w:val="24"/>
        </w:rPr>
        <w:t>The application of strict liability to the duty element</w:t>
      </w:r>
      <w:r w:rsidR="00136345">
        <w:rPr>
          <w:rFonts w:asciiTheme="minorHAnsi" w:hAnsiTheme="minorHAnsi" w:cstheme="minorHAnsi"/>
          <w:iCs/>
          <w:sz w:val="24"/>
          <w:szCs w:val="24"/>
        </w:rPr>
        <w:t xml:space="preserve"> at 31(1)(a) </w:t>
      </w:r>
      <w:r w:rsidRPr="00E23ACE">
        <w:rPr>
          <w:rFonts w:asciiTheme="minorHAnsi" w:hAnsiTheme="minorHAnsi" w:cstheme="minorHAnsi"/>
          <w:iCs/>
          <w:sz w:val="24"/>
          <w:szCs w:val="24"/>
        </w:rPr>
        <w:t xml:space="preserve">of the </w:t>
      </w:r>
      <w:r>
        <w:rPr>
          <w:rFonts w:asciiTheme="minorHAnsi" w:hAnsiTheme="minorHAnsi" w:cstheme="minorHAnsi"/>
          <w:iCs/>
          <w:sz w:val="24"/>
          <w:szCs w:val="24"/>
        </w:rPr>
        <w:t>category 1 offence</w:t>
      </w:r>
      <w:r w:rsidRPr="00E23ACE">
        <w:rPr>
          <w:rFonts w:asciiTheme="minorHAnsi" w:hAnsiTheme="minorHAnsi" w:cstheme="minorHAnsi"/>
          <w:iCs/>
          <w:sz w:val="24"/>
          <w:szCs w:val="24"/>
        </w:rPr>
        <w:t xml:space="preserve"> </w:t>
      </w:r>
      <w:r w:rsidR="00F7715A">
        <w:rPr>
          <w:rFonts w:asciiTheme="minorHAnsi" w:hAnsiTheme="minorHAnsi" w:cstheme="minorHAnsi"/>
          <w:iCs/>
          <w:sz w:val="24"/>
          <w:szCs w:val="24"/>
        </w:rPr>
        <w:t xml:space="preserve">and the increase to the maximum penalty amount </w:t>
      </w:r>
      <w:r w:rsidRPr="00E23ACE">
        <w:rPr>
          <w:rFonts w:asciiTheme="minorHAnsi" w:hAnsiTheme="minorHAnsi" w:cstheme="minorHAnsi"/>
          <w:iCs/>
          <w:sz w:val="24"/>
          <w:szCs w:val="24"/>
        </w:rPr>
        <w:t xml:space="preserve">is proportionate to the limitation on the right to the presumption of innocence encapsulated by </w:t>
      </w:r>
      <w:r w:rsidR="000B5DBB">
        <w:rPr>
          <w:rFonts w:asciiTheme="minorHAnsi" w:hAnsiTheme="minorHAnsi" w:cstheme="minorHAnsi"/>
          <w:iCs/>
          <w:sz w:val="24"/>
          <w:szCs w:val="24"/>
        </w:rPr>
        <w:t>the ACT’s Work Health and Safety laws and this</w:t>
      </w:r>
      <w:r w:rsidRPr="00E23ACE">
        <w:rPr>
          <w:rFonts w:asciiTheme="minorHAnsi" w:hAnsiTheme="minorHAnsi" w:cstheme="minorHAnsi"/>
          <w:iCs/>
          <w:sz w:val="24"/>
          <w:szCs w:val="24"/>
        </w:rPr>
        <w:t xml:space="preserve"> Bill.</w:t>
      </w:r>
      <w:r w:rsidR="00F7715A">
        <w:rPr>
          <w:rFonts w:asciiTheme="minorHAnsi" w:hAnsiTheme="minorHAnsi" w:cstheme="minorHAnsi"/>
          <w:iCs/>
          <w:sz w:val="24"/>
          <w:szCs w:val="24"/>
        </w:rPr>
        <w:t xml:space="preserve">  </w:t>
      </w:r>
    </w:p>
    <w:p w14:paraId="5D5762A7" w14:textId="77777777" w:rsidR="004462E1" w:rsidRDefault="004462E1" w:rsidP="00EA7FCD">
      <w:pPr>
        <w:rPr>
          <w:rFonts w:asciiTheme="minorHAnsi" w:hAnsiTheme="minorHAnsi" w:cstheme="minorHAnsi"/>
          <w:iCs/>
          <w:sz w:val="24"/>
          <w:szCs w:val="24"/>
        </w:rPr>
      </w:pPr>
      <w:r w:rsidRPr="00F031F9">
        <w:rPr>
          <w:rFonts w:asciiTheme="minorHAnsi" w:hAnsiTheme="minorHAnsi" w:cstheme="minorHAnsi"/>
          <w:iCs/>
          <w:sz w:val="24"/>
          <w:szCs w:val="24"/>
        </w:rPr>
        <w:t>The penalty of imprisonment is reasonable and proportionate, as it reflects the seriousness of the harm which could result where PCBUs provide unsafe workplaces and practices. Further, as each case for the offence will turn on its own facts and circumstances, and that different offenders may be described as having acted with differing levels of culpability or blameworthiness, to the extent that unique cases arise when a person may commit the offence, the Court’s wide sentencing discretion, and the safeguard inclusion of alternative verdicts, such as through category 2 offences, will allow the offender’s level of culpability to be reflected through a more lenient sentence.</w:t>
      </w:r>
    </w:p>
    <w:p w14:paraId="798FCD19" w14:textId="77777777" w:rsidR="004462E1" w:rsidRDefault="004462E1" w:rsidP="00EA7FCD">
      <w:pPr>
        <w:rPr>
          <w:rFonts w:asciiTheme="minorHAnsi" w:hAnsiTheme="minorHAnsi" w:cstheme="minorHAnsi"/>
          <w:iCs/>
          <w:sz w:val="24"/>
          <w:szCs w:val="24"/>
        </w:rPr>
      </w:pPr>
      <w:r>
        <w:rPr>
          <w:rFonts w:asciiTheme="minorHAnsi" w:hAnsiTheme="minorHAnsi" w:cstheme="minorHAnsi"/>
          <w:iCs/>
          <w:sz w:val="24"/>
          <w:szCs w:val="24"/>
        </w:rPr>
        <w:t xml:space="preserve">It is appropriate to ensure that the penalties for category 1 offences are commensurate with the risks of the offence and proportionate to other offences for breach of duties that seriously risk the health and safety of workers and that duty holders are appropriately held accountable for their behaviour.  The ACT’s industrial manslaughter offence attracts a maximum penalty of 20 years imprisonment, recognising the seriousness of the offence and the consequences of an industrial death.  </w:t>
      </w:r>
    </w:p>
    <w:p w14:paraId="0DDBBA0D" w14:textId="77777777" w:rsidR="004462E1" w:rsidRDefault="004462E1" w:rsidP="00EA7FCD">
      <w:pPr>
        <w:rPr>
          <w:rFonts w:asciiTheme="minorHAnsi" w:hAnsiTheme="minorHAnsi" w:cstheme="minorHAnsi"/>
          <w:iCs/>
          <w:sz w:val="24"/>
          <w:szCs w:val="24"/>
        </w:rPr>
      </w:pPr>
      <w:r>
        <w:rPr>
          <w:rFonts w:asciiTheme="minorHAnsi" w:hAnsiTheme="minorHAnsi" w:cstheme="minorHAnsi"/>
          <w:iCs/>
          <w:sz w:val="24"/>
          <w:szCs w:val="24"/>
        </w:rPr>
        <w:t xml:space="preserve">The increase to penalties including the increase in imprisonment is made under the national model WHS legislation and the amendment in this Bill adopts the same amounts as the model laws and consistent with other harmonised jurisdictions.  </w:t>
      </w:r>
    </w:p>
    <w:p w14:paraId="346FEB33" w14:textId="3EB8BBAD" w:rsidR="004462E1" w:rsidRDefault="004462E1" w:rsidP="00EA7FCD">
      <w:pPr>
        <w:rPr>
          <w:rFonts w:asciiTheme="minorHAnsi" w:hAnsiTheme="minorHAnsi" w:cstheme="minorHAnsi"/>
          <w:iCs/>
          <w:sz w:val="24"/>
          <w:szCs w:val="24"/>
        </w:rPr>
      </w:pPr>
      <w:r>
        <w:rPr>
          <w:rFonts w:asciiTheme="minorHAnsi" w:hAnsiTheme="minorHAnsi" w:cstheme="minorHAnsi"/>
          <w:iCs/>
          <w:sz w:val="24"/>
          <w:szCs w:val="24"/>
        </w:rPr>
        <w:t xml:space="preserve">Without adoption of the model WHS law increases to the maximum imprisonment penalty, it is likely that the ACT would be seen as reducing the relative value of safety for workers in </w:t>
      </w:r>
      <w:r>
        <w:rPr>
          <w:rFonts w:asciiTheme="minorHAnsi" w:hAnsiTheme="minorHAnsi" w:cstheme="minorHAnsi"/>
          <w:iCs/>
          <w:sz w:val="24"/>
          <w:szCs w:val="24"/>
        </w:rPr>
        <w:lastRenderedPageBreak/>
        <w:t>the Territory as compared to other jurisdictions, and in compar</w:t>
      </w:r>
      <w:r w:rsidR="006A06D4">
        <w:rPr>
          <w:rFonts w:asciiTheme="minorHAnsi" w:hAnsiTheme="minorHAnsi" w:cstheme="minorHAnsi"/>
          <w:iCs/>
          <w:sz w:val="24"/>
          <w:szCs w:val="24"/>
        </w:rPr>
        <w:t>ison</w:t>
      </w:r>
      <w:r>
        <w:rPr>
          <w:rFonts w:asciiTheme="minorHAnsi" w:hAnsiTheme="minorHAnsi" w:cstheme="minorHAnsi"/>
          <w:iCs/>
          <w:sz w:val="24"/>
          <w:szCs w:val="24"/>
        </w:rPr>
        <w:t xml:space="preserve"> with the maximum penalties imposed for related serious offences.  </w:t>
      </w:r>
    </w:p>
    <w:p w14:paraId="440F272E" w14:textId="7B8B9213" w:rsidR="004462E1" w:rsidRDefault="004462E1" w:rsidP="00EA7FCD">
      <w:pPr>
        <w:rPr>
          <w:rFonts w:asciiTheme="minorHAnsi" w:hAnsiTheme="minorHAnsi" w:cstheme="minorHAnsi"/>
          <w:iCs/>
          <w:sz w:val="24"/>
          <w:szCs w:val="24"/>
        </w:rPr>
      </w:pPr>
      <w:r>
        <w:rPr>
          <w:rFonts w:asciiTheme="minorHAnsi" w:hAnsiTheme="minorHAnsi" w:cstheme="minorHAnsi"/>
          <w:iCs/>
          <w:sz w:val="24"/>
          <w:szCs w:val="24"/>
        </w:rPr>
        <w:t xml:space="preserve">The Bill does not amend or limit the reasonable excuse defence contained in section 31 for category 1 offences. </w:t>
      </w:r>
    </w:p>
    <w:p w14:paraId="6E97ED6D" w14:textId="77777777" w:rsidR="00F7715A" w:rsidRPr="00E23ACE" w:rsidRDefault="00F7715A" w:rsidP="00EA7FCD">
      <w:pPr>
        <w:rPr>
          <w:rFonts w:asciiTheme="minorHAnsi" w:hAnsiTheme="minorHAnsi" w:cstheme="minorHAnsi"/>
          <w:iCs/>
          <w:sz w:val="24"/>
          <w:szCs w:val="24"/>
        </w:rPr>
      </w:pPr>
      <w:r>
        <w:rPr>
          <w:rFonts w:asciiTheme="minorHAnsi" w:hAnsiTheme="minorHAnsi" w:cstheme="minorHAnsi"/>
          <w:iCs/>
          <w:sz w:val="24"/>
          <w:szCs w:val="24"/>
        </w:rPr>
        <w:t xml:space="preserve">Category 1 offences are serious breaches of WHS duties and apply where a person is exposed to risk of death or serious injury resulting from reckless conduct without reasonable excuse. For a Category 1 offence this means that the person is reckless as to the risk of death or serious injury to an individual to whom a WHS duty is owed. </w:t>
      </w:r>
    </w:p>
    <w:p w14:paraId="15901D68" w14:textId="0CA07D50" w:rsidR="00F7715A" w:rsidRDefault="00E23ACE" w:rsidP="00EA7FCD">
      <w:pPr>
        <w:rPr>
          <w:rFonts w:asciiTheme="minorHAnsi" w:hAnsiTheme="minorHAnsi" w:cstheme="minorHAnsi"/>
          <w:iCs/>
          <w:sz w:val="24"/>
          <w:szCs w:val="24"/>
        </w:rPr>
      </w:pPr>
      <w:r w:rsidRPr="00E23ACE">
        <w:rPr>
          <w:rFonts w:asciiTheme="minorHAnsi" w:hAnsiTheme="minorHAnsi" w:cstheme="minorHAnsi"/>
          <w:iCs/>
          <w:sz w:val="24"/>
          <w:szCs w:val="24"/>
        </w:rPr>
        <w:t xml:space="preserve">Given the seriousness of </w:t>
      </w:r>
      <w:r w:rsidR="000B5DBB">
        <w:rPr>
          <w:rFonts w:asciiTheme="minorHAnsi" w:hAnsiTheme="minorHAnsi" w:cstheme="minorHAnsi"/>
          <w:iCs/>
          <w:sz w:val="24"/>
          <w:szCs w:val="24"/>
        </w:rPr>
        <w:t>category 1</w:t>
      </w:r>
      <w:r w:rsidRPr="00E23ACE">
        <w:rPr>
          <w:rFonts w:asciiTheme="minorHAnsi" w:hAnsiTheme="minorHAnsi" w:cstheme="minorHAnsi"/>
          <w:iCs/>
          <w:sz w:val="24"/>
          <w:szCs w:val="24"/>
        </w:rPr>
        <w:t xml:space="preserve"> offences, the application of strict liability is necessary and proportionate to ensure a culture of proactive work safe practices. </w:t>
      </w:r>
      <w:r w:rsidR="00F7715A" w:rsidRPr="00F7715A">
        <w:rPr>
          <w:rFonts w:asciiTheme="minorHAnsi" w:hAnsiTheme="minorHAnsi" w:cstheme="minorHAnsi"/>
          <w:iCs/>
          <w:sz w:val="24"/>
          <w:szCs w:val="24"/>
        </w:rPr>
        <w:t>Strict liability offences are needed to ensure that every relevant person complies with their obligations at all times and acts appropriately to secure the health and safety of workers and others at the workplace. The regulatory regime established for this purpose seeks to encourage duty holders to maintain a workplace that is as free as possible from harm or injury, and, to develop a safety culture. The fostering of such a culture would be far more difficult to accomplish without the use of strict liability offences</w:t>
      </w:r>
      <w:r w:rsidR="00C155A3">
        <w:rPr>
          <w:rFonts w:asciiTheme="minorHAnsi" w:hAnsiTheme="minorHAnsi" w:cstheme="minorHAnsi"/>
          <w:iCs/>
          <w:sz w:val="24"/>
          <w:szCs w:val="24"/>
        </w:rPr>
        <w:t>.</w:t>
      </w:r>
    </w:p>
    <w:p w14:paraId="75266D1A" w14:textId="4503D635" w:rsidR="00E23ACE" w:rsidRDefault="00E23ACE" w:rsidP="00EA7FCD">
      <w:pPr>
        <w:rPr>
          <w:rFonts w:asciiTheme="minorHAnsi" w:hAnsiTheme="minorHAnsi" w:cstheme="minorHAnsi"/>
          <w:iCs/>
          <w:sz w:val="24"/>
          <w:szCs w:val="24"/>
        </w:rPr>
      </w:pPr>
      <w:r w:rsidRPr="00E23ACE">
        <w:rPr>
          <w:rFonts w:asciiTheme="minorHAnsi" w:hAnsiTheme="minorHAnsi" w:cstheme="minorHAnsi"/>
          <w:iCs/>
          <w:sz w:val="24"/>
          <w:szCs w:val="24"/>
        </w:rPr>
        <w:t xml:space="preserve">The application of strict liability is reasonable and proportionate to protect the health and safety of workers. Strict liability is only applied to </w:t>
      </w:r>
      <w:r w:rsidR="00136345">
        <w:rPr>
          <w:rFonts w:asciiTheme="minorHAnsi" w:hAnsiTheme="minorHAnsi" w:cstheme="minorHAnsi"/>
          <w:iCs/>
          <w:sz w:val="24"/>
          <w:szCs w:val="24"/>
        </w:rPr>
        <w:t xml:space="preserve">the </w:t>
      </w:r>
      <w:r w:rsidRPr="00E23ACE">
        <w:rPr>
          <w:rFonts w:asciiTheme="minorHAnsi" w:hAnsiTheme="minorHAnsi" w:cstheme="minorHAnsi"/>
          <w:iCs/>
          <w:sz w:val="24"/>
          <w:szCs w:val="24"/>
        </w:rPr>
        <w:t xml:space="preserve">particular element of the offence under sections </w:t>
      </w:r>
      <w:r w:rsidR="000B5DBB">
        <w:rPr>
          <w:rFonts w:asciiTheme="minorHAnsi" w:hAnsiTheme="minorHAnsi" w:cstheme="minorHAnsi"/>
          <w:iCs/>
          <w:sz w:val="24"/>
          <w:szCs w:val="24"/>
        </w:rPr>
        <w:t>31(1)(a</w:t>
      </w:r>
      <w:r w:rsidRPr="00E23ACE">
        <w:rPr>
          <w:rFonts w:asciiTheme="minorHAnsi" w:hAnsiTheme="minorHAnsi" w:cstheme="minorHAnsi"/>
          <w:iCs/>
          <w:sz w:val="24"/>
          <w:szCs w:val="24"/>
        </w:rPr>
        <w:t xml:space="preserve">) of the WHS Act. It ensures that those who hold responsibility for a health or safety duty do uphold that responsibility and cannot escape liability by claiming ignorance of the duty, or ignorance of the effect of their conduct. The defence of mistake of fact as provided by the </w:t>
      </w:r>
      <w:r w:rsidRPr="00CC44F5">
        <w:rPr>
          <w:rFonts w:asciiTheme="minorHAnsi" w:hAnsiTheme="minorHAnsi" w:cstheme="minorHAnsi"/>
          <w:i/>
          <w:sz w:val="24"/>
          <w:szCs w:val="24"/>
        </w:rPr>
        <w:t>Criminal Code 2002</w:t>
      </w:r>
      <w:r w:rsidRPr="00E23ACE">
        <w:rPr>
          <w:rFonts w:asciiTheme="minorHAnsi" w:hAnsiTheme="minorHAnsi" w:cstheme="minorHAnsi"/>
          <w:iCs/>
          <w:sz w:val="24"/>
          <w:szCs w:val="24"/>
        </w:rPr>
        <w:t xml:space="preserve"> also remains available to any accused for any strict liability provisions.</w:t>
      </w:r>
    </w:p>
    <w:p w14:paraId="13D1EA61" w14:textId="5AF71B75" w:rsidR="00C155A3" w:rsidRDefault="00C155A3" w:rsidP="00EA7FCD">
      <w:pPr>
        <w:rPr>
          <w:rFonts w:asciiTheme="minorHAnsi" w:hAnsiTheme="minorHAnsi" w:cstheme="minorHAnsi"/>
          <w:iCs/>
          <w:sz w:val="24"/>
          <w:szCs w:val="24"/>
        </w:rPr>
      </w:pPr>
      <w:r>
        <w:rPr>
          <w:rFonts w:asciiTheme="minorHAnsi" w:hAnsiTheme="minorHAnsi" w:cstheme="minorHAnsi"/>
          <w:iCs/>
          <w:sz w:val="24"/>
          <w:szCs w:val="24"/>
        </w:rPr>
        <w:t>The WHS Act imposes hea</w:t>
      </w:r>
      <w:r w:rsidR="00F22ECA">
        <w:rPr>
          <w:rFonts w:asciiTheme="minorHAnsi" w:hAnsiTheme="minorHAnsi" w:cstheme="minorHAnsi"/>
          <w:iCs/>
          <w:sz w:val="24"/>
          <w:szCs w:val="24"/>
        </w:rPr>
        <w:t>l</w:t>
      </w:r>
      <w:r>
        <w:rPr>
          <w:rFonts w:asciiTheme="minorHAnsi" w:hAnsiTheme="minorHAnsi" w:cstheme="minorHAnsi"/>
          <w:iCs/>
          <w:sz w:val="24"/>
          <w:szCs w:val="24"/>
        </w:rPr>
        <w:t xml:space="preserve">th and safety duties on all PCBUs in the Territory, as well as duties to their officers and workers.  All PCBUs are required to be aware of their health and safety duties under the WHS Act and it is reasonably for the law to assume this is the case in the context of a serious breach of duties that such as a workplace death or serious workplace injury or illness. </w:t>
      </w:r>
    </w:p>
    <w:p w14:paraId="3A5D8654" w14:textId="3464D779" w:rsidR="00C155A3" w:rsidRPr="00E23ACE" w:rsidRDefault="00C155A3" w:rsidP="00EA7FCD">
      <w:pPr>
        <w:rPr>
          <w:rFonts w:asciiTheme="minorHAnsi" w:hAnsiTheme="minorHAnsi" w:cstheme="minorHAnsi"/>
          <w:iCs/>
          <w:sz w:val="24"/>
          <w:szCs w:val="24"/>
        </w:rPr>
      </w:pPr>
      <w:r>
        <w:rPr>
          <w:rFonts w:asciiTheme="minorHAnsi" w:hAnsiTheme="minorHAnsi" w:cstheme="minorHAnsi"/>
          <w:iCs/>
          <w:sz w:val="24"/>
          <w:szCs w:val="24"/>
        </w:rPr>
        <w:t>The penalty of 10 years imprisonment is the maximum penalty that can be impos</w:t>
      </w:r>
      <w:r w:rsidR="004462E1">
        <w:rPr>
          <w:rFonts w:asciiTheme="minorHAnsi" w:hAnsiTheme="minorHAnsi" w:cstheme="minorHAnsi"/>
          <w:iCs/>
          <w:sz w:val="24"/>
          <w:szCs w:val="24"/>
        </w:rPr>
        <w:t>ed</w:t>
      </w:r>
      <w:r>
        <w:rPr>
          <w:rFonts w:asciiTheme="minorHAnsi" w:hAnsiTheme="minorHAnsi" w:cstheme="minorHAnsi"/>
          <w:iCs/>
          <w:sz w:val="24"/>
          <w:szCs w:val="24"/>
        </w:rPr>
        <w:t xml:space="preserve"> and recognises the seriousness of the conduct that would be captured by a category 1 offence, which involves negligently or recklessly endangering a person to risk of death or serious injury. </w:t>
      </w:r>
    </w:p>
    <w:p w14:paraId="16F317DC" w14:textId="31FEA790" w:rsidR="00D64585" w:rsidRDefault="00D64585" w:rsidP="00EA7FCD">
      <w:pPr>
        <w:rPr>
          <w:rFonts w:asciiTheme="minorHAnsi" w:hAnsiTheme="minorHAnsi" w:cstheme="minorHAnsi"/>
          <w:iCs/>
          <w:sz w:val="24"/>
          <w:szCs w:val="24"/>
        </w:rPr>
      </w:pPr>
      <w:r w:rsidRPr="00D64585">
        <w:rPr>
          <w:rFonts w:asciiTheme="minorHAnsi" w:hAnsiTheme="minorHAnsi" w:cstheme="minorHAnsi"/>
          <w:iCs/>
          <w:sz w:val="24"/>
          <w:szCs w:val="24"/>
        </w:rPr>
        <w:t xml:space="preserve">Imprisonment is a necessary penalty for the </w:t>
      </w:r>
      <w:r>
        <w:rPr>
          <w:rFonts w:asciiTheme="minorHAnsi" w:hAnsiTheme="minorHAnsi" w:cstheme="minorHAnsi"/>
          <w:iCs/>
          <w:sz w:val="24"/>
          <w:szCs w:val="24"/>
        </w:rPr>
        <w:t xml:space="preserve">category 1 offence </w:t>
      </w:r>
      <w:r w:rsidRPr="00D64585">
        <w:rPr>
          <w:rFonts w:asciiTheme="minorHAnsi" w:hAnsiTheme="minorHAnsi" w:cstheme="minorHAnsi"/>
          <w:iCs/>
          <w:sz w:val="24"/>
          <w:szCs w:val="24"/>
        </w:rPr>
        <w:t xml:space="preserve">provisions so as to adequately deter potential PCBUs and their officers from creating and maintaining unsafe </w:t>
      </w:r>
      <w:r w:rsidRPr="00D64585">
        <w:rPr>
          <w:rFonts w:asciiTheme="minorHAnsi" w:hAnsiTheme="minorHAnsi" w:cstheme="minorHAnsi"/>
          <w:iCs/>
          <w:sz w:val="24"/>
          <w:szCs w:val="24"/>
        </w:rPr>
        <w:lastRenderedPageBreak/>
        <w:t xml:space="preserve">workplaces and engaging in unsafe workplace practices that may result in the death </w:t>
      </w:r>
      <w:r>
        <w:rPr>
          <w:rFonts w:asciiTheme="minorHAnsi" w:hAnsiTheme="minorHAnsi" w:cstheme="minorHAnsi"/>
          <w:iCs/>
          <w:sz w:val="24"/>
          <w:szCs w:val="24"/>
        </w:rPr>
        <w:t xml:space="preserve">or serious injury </w:t>
      </w:r>
      <w:r w:rsidRPr="00D64585">
        <w:rPr>
          <w:rFonts w:asciiTheme="minorHAnsi" w:hAnsiTheme="minorHAnsi" w:cstheme="minorHAnsi"/>
          <w:iCs/>
          <w:sz w:val="24"/>
          <w:szCs w:val="24"/>
        </w:rPr>
        <w:t>of workers.</w:t>
      </w:r>
    </w:p>
    <w:p w14:paraId="5F485B7C" w14:textId="77777777" w:rsidR="004462E1" w:rsidRDefault="004462E1" w:rsidP="00EA7FCD">
      <w:pPr>
        <w:rPr>
          <w:rFonts w:asciiTheme="minorHAnsi" w:hAnsiTheme="minorHAnsi" w:cstheme="minorHAnsi"/>
          <w:iCs/>
          <w:sz w:val="24"/>
          <w:szCs w:val="24"/>
        </w:rPr>
      </w:pPr>
      <w:r w:rsidRPr="00E23ACE">
        <w:rPr>
          <w:rFonts w:asciiTheme="minorHAnsi" w:hAnsiTheme="minorHAnsi" w:cstheme="minorHAnsi"/>
          <w:iCs/>
          <w:sz w:val="24"/>
          <w:szCs w:val="24"/>
        </w:rPr>
        <w:t>The Bill places the least restrictive limitation on the right to presumption of innocence, as it does not apply strict liability to information that is known by an accused, and that may be revealed to prove or disprove the defence.</w:t>
      </w:r>
      <w:r>
        <w:rPr>
          <w:rFonts w:asciiTheme="minorHAnsi" w:hAnsiTheme="minorHAnsi" w:cstheme="minorHAnsi"/>
          <w:iCs/>
          <w:sz w:val="24"/>
          <w:szCs w:val="24"/>
        </w:rPr>
        <w:t xml:space="preserve">  </w:t>
      </w:r>
    </w:p>
    <w:p w14:paraId="28208451" w14:textId="77777777" w:rsidR="00C155A3" w:rsidRDefault="00C155A3" w:rsidP="00C155A3">
      <w:pPr>
        <w:spacing w:after="0"/>
        <w:rPr>
          <w:rFonts w:asciiTheme="minorHAnsi" w:hAnsiTheme="minorHAnsi" w:cstheme="minorHAnsi"/>
          <w:b/>
          <w:bCs/>
          <w:iCs/>
          <w:sz w:val="24"/>
          <w:szCs w:val="24"/>
        </w:rPr>
      </w:pPr>
    </w:p>
    <w:p w14:paraId="2BF40187" w14:textId="31C3304B" w:rsidR="00E15E82" w:rsidRDefault="00E15E82" w:rsidP="00C155A3">
      <w:pPr>
        <w:spacing w:after="0"/>
        <w:rPr>
          <w:b/>
          <w:sz w:val="24"/>
          <w:szCs w:val="24"/>
          <w:u w:val="single"/>
        </w:rPr>
      </w:pPr>
      <w:r>
        <w:rPr>
          <w:b/>
          <w:sz w:val="24"/>
          <w:szCs w:val="24"/>
          <w:u w:val="single"/>
        </w:rPr>
        <w:t>Climate Change Vulnerability Assessment</w:t>
      </w:r>
    </w:p>
    <w:p w14:paraId="4AEB67FE" w14:textId="77777777" w:rsidR="00E15E82" w:rsidRDefault="00E15E82" w:rsidP="00C155A3">
      <w:pPr>
        <w:spacing w:after="0"/>
        <w:rPr>
          <w:bCs/>
          <w:sz w:val="24"/>
          <w:szCs w:val="24"/>
        </w:rPr>
      </w:pPr>
    </w:p>
    <w:p w14:paraId="44014DD8" w14:textId="77777777" w:rsidR="00E15E82" w:rsidRDefault="00E15E82" w:rsidP="00C155A3">
      <w:pPr>
        <w:spacing w:after="0"/>
        <w:rPr>
          <w:bCs/>
          <w:sz w:val="24"/>
          <w:szCs w:val="24"/>
        </w:rPr>
      </w:pPr>
      <w:r>
        <w:rPr>
          <w:bCs/>
          <w:sz w:val="24"/>
          <w:szCs w:val="24"/>
        </w:rPr>
        <w:t>There are no climate change implications associated with the Bill.</w:t>
      </w:r>
    </w:p>
    <w:p w14:paraId="456C8569" w14:textId="6F46E7BB" w:rsidR="00E15E82" w:rsidRDefault="00E15E82">
      <w:pPr>
        <w:spacing w:after="0" w:line="240" w:lineRule="auto"/>
        <w:rPr>
          <w:bCs/>
          <w:sz w:val="24"/>
          <w:szCs w:val="24"/>
        </w:rPr>
      </w:pPr>
      <w:r>
        <w:rPr>
          <w:bCs/>
          <w:sz w:val="24"/>
          <w:szCs w:val="24"/>
        </w:rPr>
        <w:br w:type="page"/>
      </w:r>
    </w:p>
    <w:p w14:paraId="09D762BE" w14:textId="011437C1" w:rsidR="002129EE" w:rsidRPr="00084987" w:rsidRDefault="002129EE" w:rsidP="00084987">
      <w:pPr>
        <w:pStyle w:val="ESText"/>
        <w:spacing w:after="120" w:line="240" w:lineRule="auto"/>
        <w:rPr>
          <w:rFonts w:asciiTheme="minorHAnsi" w:hAnsiTheme="minorHAnsi" w:cs="Arial"/>
          <w:b/>
          <w:bCs/>
          <w:sz w:val="28"/>
          <w:szCs w:val="28"/>
          <w:lang w:eastAsia="en-AU"/>
        </w:rPr>
      </w:pPr>
    </w:p>
    <w:p w14:paraId="7B8836FF" w14:textId="71EA55D2" w:rsidR="002129EE" w:rsidRDefault="002129EE" w:rsidP="005E2D1A">
      <w:pPr>
        <w:pStyle w:val="Heading4"/>
        <w:ind w:left="-108"/>
        <w:jc w:val="center"/>
        <w:rPr>
          <w:rFonts w:asciiTheme="minorHAnsi" w:eastAsia="Times New Roman" w:hAnsiTheme="minorHAnsi" w:cs="Arial"/>
          <w:bCs/>
          <w:i w:val="0"/>
          <w:iCs w:val="0"/>
          <w:color w:val="auto"/>
          <w:sz w:val="28"/>
          <w:szCs w:val="28"/>
          <w:lang w:eastAsia="en-AU"/>
        </w:rPr>
      </w:pPr>
      <w:r w:rsidRPr="002129EE">
        <w:rPr>
          <w:rFonts w:asciiTheme="minorHAnsi" w:eastAsia="Times New Roman" w:hAnsiTheme="minorHAnsi" w:cs="Arial"/>
          <w:bCs/>
          <w:i w:val="0"/>
          <w:iCs w:val="0"/>
          <w:color w:val="auto"/>
          <w:sz w:val="28"/>
          <w:szCs w:val="28"/>
          <w:lang w:eastAsia="en-AU"/>
        </w:rPr>
        <w:t>Workplace Legislation Amendment Bill 202</w:t>
      </w:r>
      <w:r w:rsidR="007C6A76">
        <w:rPr>
          <w:rFonts w:asciiTheme="minorHAnsi" w:eastAsia="Times New Roman" w:hAnsiTheme="minorHAnsi" w:cs="Arial"/>
          <w:bCs/>
          <w:i w:val="0"/>
          <w:iCs w:val="0"/>
          <w:color w:val="auto"/>
          <w:sz w:val="28"/>
          <w:szCs w:val="28"/>
          <w:lang w:eastAsia="en-AU"/>
        </w:rPr>
        <w:t>4</w:t>
      </w:r>
    </w:p>
    <w:p w14:paraId="0A60BEA7" w14:textId="1AA65E9C" w:rsidR="005E2D1A" w:rsidRPr="003E5EE6" w:rsidRDefault="005E2D1A" w:rsidP="005E2D1A">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3C7EB2CF" w14:textId="77777777" w:rsidR="005E2D1A" w:rsidRDefault="005E2D1A" w:rsidP="005E2D1A"/>
    <w:p w14:paraId="639E7422" w14:textId="77777777" w:rsidR="005E2D1A" w:rsidRPr="00D77995" w:rsidRDefault="005E2D1A" w:rsidP="005E2D1A"/>
    <w:p w14:paraId="50DA1A63" w14:textId="0AC834B5" w:rsidR="005E2D1A" w:rsidRDefault="005E2D1A" w:rsidP="005E2D1A">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2129EE" w:rsidRPr="002129EE">
        <w:rPr>
          <w:rFonts w:asciiTheme="minorHAnsi" w:hAnsiTheme="minorHAnsi"/>
          <w:b/>
        </w:rPr>
        <w:t>Workplace Legislation Amendment Bill 202</w:t>
      </w:r>
      <w:r w:rsidR="007C6A76">
        <w:rPr>
          <w:rFonts w:asciiTheme="minorHAnsi" w:hAnsiTheme="minorHAnsi"/>
          <w:b/>
        </w:rPr>
        <w:t>4</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1C157F">
        <w:rPr>
          <w:rFonts w:asciiTheme="minorHAnsi" w:hAnsiTheme="minorHAnsi"/>
        </w:rPr>
        <w:t>Assembly</w:t>
      </w:r>
      <w:r w:rsidRPr="001C157F">
        <w:rPr>
          <w:rFonts w:asciiTheme="minorHAnsi" w:hAnsiTheme="minorHAnsi"/>
          <w:b/>
        </w:rPr>
        <w:t xml:space="preserve"> is </w:t>
      </w:r>
      <w:r w:rsidRPr="001C157F">
        <w:rPr>
          <w:rFonts w:asciiTheme="minorHAnsi" w:hAnsiTheme="minorHAnsi"/>
        </w:rPr>
        <w:t>consistent</w:t>
      </w:r>
      <w:r w:rsidRPr="00521950">
        <w:rPr>
          <w:rFonts w:asciiTheme="minorHAnsi" w:hAnsiTheme="minorHAnsi"/>
        </w:rPr>
        <w:t xml:space="preserve"> with the </w:t>
      </w:r>
      <w:r w:rsidRPr="00521950">
        <w:rPr>
          <w:rFonts w:asciiTheme="minorHAnsi" w:hAnsiTheme="minorHAnsi"/>
          <w:i/>
          <w:iCs/>
        </w:rPr>
        <w:t>Human Rights Act 2004</w:t>
      </w:r>
      <w:r>
        <w:rPr>
          <w:rFonts w:asciiTheme="minorHAnsi" w:hAnsiTheme="minorHAnsi"/>
          <w:i/>
          <w:iCs/>
        </w:rPr>
        <w:t>.</w:t>
      </w:r>
    </w:p>
    <w:p w14:paraId="5A33203B" w14:textId="77777777" w:rsidR="005E2D1A" w:rsidRDefault="005E2D1A" w:rsidP="005E2D1A">
      <w:pPr>
        <w:rPr>
          <w:rFonts w:asciiTheme="minorHAnsi" w:hAnsiTheme="minorHAnsi" w:cstheme="minorHAnsi"/>
        </w:rPr>
      </w:pPr>
    </w:p>
    <w:p w14:paraId="76685038" w14:textId="77777777" w:rsidR="005E2D1A" w:rsidRDefault="005E2D1A" w:rsidP="005E2D1A">
      <w:pPr>
        <w:rPr>
          <w:rFonts w:asciiTheme="minorHAnsi" w:hAnsiTheme="minorHAnsi" w:cstheme="minorHAnsi"/>
        </w:rPr>
      </w:pPr>
    </w:p>
    <w:p w14:paraId="1ADA7DEA" w14:textId="77777777" w:rsidR="005E2D1A" w:rsidRDefault="005E2D1A" w:rsidP="005E2D1A">
      <w:pPr>
        <w:rPr>
          <w:rFonts w:asciiTheme="minorHAnsi" w:hAnsiTheme="minorHAnsi" w:cstheme="minorHAnsi"/>
        </w:rPr>
      </w:pPr>
      <w:r>
        <w:rPr>
          <w:rFonts w:asciiTheme="minorHAnsi" w:hAnsiTheme="minorHAnsi" w:cstheme="minorHAnsi"/>
        </w:rPr>
        <w:t>………………………………………………….</w:t>
      </w:r>
    </w:p>
    <w:p w14:paraId="4562C132" w14:textId="678CCF68" w:rsidR="005E2D1A" w:rsidRDefault="002129EE" w:rsidP="005E2D1A">
      <w:pPr>
        <w:rPr>
          <w:rFonts w:asciiTheme="minorHAnsi" w:hAnsiTheme="minorHAnsi" w:cstheme="minorHAnsi"/>
        </w:rPr>
      </w:pPr>
      <w:r>
        <w:rPr>
          <w:rFonts w:asciiTheme="minorHAnsi" w:hAnsiTheme="minorHAnsi" w:cstheme="minorHAnsi"/>
        </w:rPr>
        <w:t>Shane Rattenbury MLA</w:t>
      </w:r>
      <w:r w:rsidR="005E2D1A">
        <w:rPr>
          <w:rFonts w:asciiTheme="minorHAnsi" w:hAnsiTheme="minorHAnsi" w:cstheme="minorHAnsi"/>
        </w:rPr>
        <w:br/>
        <w:t>Attorney-General</w:t>
      </w:r>
    </w:p>
    <w:p w14:paraId="7194DBDC" w14:textId="265448C2" w:rsidR="002466F7" w:rsidRPr="001D2C51" w:rsidRDefault="005E2D1A" w:rsidP="001D2C51">
      <w:pPr>
        <w:rPr>
          <w:rFonts w:asciiTheme="minorHAnsi" w:hAnsiTheme="minorHAnsi" w:cstheme="minorHAnsi"/>
        </w:rPr>
      </w:pPr>
      <w:r>
        <w:rPr>
          <w:rFonts w:asciiTheme="minorHAnsi" w:hAnsiTheme="minorHAnsi" w:cstheme="minorHAnsi"/>
        </w:rPr>
        <w:br w:type="page"/>
      </w:r>
    </w:p>
    <w:p w14:paraId="769D0D3C" w14:textId="49762516" w:rsidR="00510B38" w:rsidRDefault="002129EE" w:rsidP="00510B38">
      <w:pPr>
        <w:spacing w:after="120" w:line="240" w:lineRule="auto"/>
      </w:pPr>
      <w:r w:rsidRPr="002129EE">
        <w:rPr>
          <w:rFonts w:eastAsia="Times New Roman"/>
          <w:b/>
          <w:bCs/>
          <w:sz w:val="28"/>
          <w:szCs w:val="28"/>
        </w:rPr>
        <w:lastRenderedPageBreak/>
        <w:t>Workplace Legislation Amendment Bill 202</w:t>
      </w:r>
      <w:r w:rsidR="00A10C9A">
        <w:rPr>
          <w:rFonts w:eastAsia="Times New Roman"/>
          <w:b/>
          <w:bCs/>
          <w:sz w:val="28"/>
          <w:szCs w:val="28"/>
        </w:rPr>
        <w:t>4</w:t>
      </w:r>
    </w:p>
    <w:p w14:paraId="1403B490" w14:textId="77777777" w:rsidR="002129EE" w:rsidRDefault="002129EE" w:rsidP="00186BE2">
      <w:pPr>
        <w:spacing w:after="120" w:line="240" w:lineRule="auto"/>
        <w:rPr>
          <w:rFonts w:ascii="Arial" w:hAnsi="Arial" w:cs="Arial"/>
          <w:b/>
          <w:sz w:val="24"/>
          <w:szCs w:val="24"/>
        </w:rPr>
      </w:pPr>
    </w:p>
    <w:p w14:paraId="739A346D" w14:textId="7C2E3712" w:rsidR="00510B38" w:rsidRDefault="00141F54" w:rsidP="00186BE2">
      <w:pPr>
        <w:spacing w:after="120" w:line="240" w:lineRule="auto"/>
        <w:rPr>
          <w:rFonts w:ascii="Arial" w:hAnsi="Arial" w:cs="Arial"/>
          <w:b/>
          <w:sz w:val="24"/>
          <w:szCs w:val="24"/>
        </w:rPr>
      </w:pPr>
      <w:r w:rsidRPr="00186BE2">
        <w:rPr>
          <w:rFonts w:ascii="Arial" w:hAnsi="Arial" w:cs="Arial"/>
          <w:b/>
          <w:sz w:val="24"/>
          <w:szCs w:val="24"/>
        </w:rPr>
        <w:t>CLAUSE NOTES</w:t>
      </w:r>
    </w:p>
    <w:p w14:paraId="6B02BCAE" w14:textId="77777777" w:rsidR="00186BE2" w:rsidRPr="00186BE2" w:rsidRDefault="00186BE2" w:rsidP="00186BE2">
      <w:pPr>
        <w:spacing w:after="120" w:line="240" w:lineRule="auto"/>
        <w:rPr>
          <w:rFonts w:ascii="Arial" w:hAnsi="Arial" w:cs="Arial"/>
          <w:b/>
          <w:sz w:val="24"/>
          <w:szCs w:val="24"/>
        </w:rPr>
      </w:pPr>
    </w:p>
    <w:p w14:paraId="54CD245A" w14:textId="630D57FE" w:rsidR="00270733" w:rsidRPr="00DA7022" w:rsidRDefault="00DA7022" w:rsidP="00510B38">
      <w:pPr>
        <w:spacing w:after="120" w:line="240" w:lineRule="auto"/>
        <w:rPr>
          <w:b/>
          <w:bCs/>
          <w:sz w:val="28"/>
          <w:szCs w:val="28"/>
        </w:rPr>
      </w:pPr>
      <w:r w:rsidRPr="00DA7022">
        <w:rPr>
          <w:b/>
          <w:bCs/>
          <w:sz w:val="28"/>
          <w:szCs w:val="28"/>
        </w:rPr>
        <w:t>Part 1</w:t>
      </w:r>
      <w:r w:rsidRPr="00DA7022">
        <w:rPr>
          <w:b/>
          <w:bCs/>
          <w:sz w:val="28"/>
          <w:szCs w:val="28"/>
        </w:rPr>
        <w:tab/>
      </w:r>
      <w:r w:rsidR="003D6B8C">
        <w:rPr>
          <w:b/>
          <w:bCs/>
          <w:sz w:val="28"/>
          <w:szCs w:val="28"/>
        </w:rPr>
        <w:tab/>
        <w:t>Preliminary</w:t>
      </w:r>
      <w:r w:rsidRPr="00DA7022">
        <w:rPr>
          <w:b/>
          <w:bCs/>
          <w:sz w:val="28"/>
          <w:szCs w:val="28"/>
        </w:rPr>
        <w:tab/>
      </w:r>
    </w:p>
    <w:p w14:paraId="17254361" w14:textId="77777777" w:rsidR="004B5989" w:rsidRDefault="00882008" w:rsidP="00DF3DFD">
      <w:pPr>
        <w:numPr>
          <w:ilvl w:val="0"/>
          <w:numId w:val="1"/>
        </w:numPr>
        <w:spacing w:after="100" w:afterAutospacing="1"/>
        <w:rPr>
          <w:b/>
          <w:sz w:val="24"/>
          <w:szCs w:val="24"/>
        </w:rPr>
      </w:pPr>
      <w:r>
        <w:rPr>
          <w:b/>
          <w:sz w:val="24"/>
          <w:szCs w:val="24"/>
        </w:rPr>
        <w:t>Name of Act</w:t>
      </w:r>
    </w:p>
    <w:p w14:paraId="6BD1FB2B" w14:textId="53742FC8" w:rsidR="00882008" w:rsidRPr="00F373F4" w:rsidRDefault="00882008" w:rsidP="005800CD">
      <w:pPr>
        <w:spacing w:after="100" w:afterAutospacing="1"/>
        <w:rPr>
          <w:rFonts w:asciiTheme="minorHAnsi" w:hAnsiTheme="minorHAnsi" w:cstheme="minorHAnsi"/>
          <w:bCs/>
          <w:sz w:val="24"/>
          <w:szCs w:val="24"/>
        </w:rPr>
      </w:pPr>
      <w:r w:rsidRPr="00F373F4">
        <w:rPr>
          <w:rFonts w:asciiTheme="minorHAnsi" w:hAnsiTheme="minorHAnsi" w:cstheme="minorHAnsi"/>
          <w:bCs/>
          <w:sz w:val="24"/>
          <w:szCs w:val="24"/>
        </w:rPr>
        <w:t xml:space="preserve">This clause provides the name of the Act as the </w:t>
      </w:r>
      <w:r w:rsidR="002129EE" w:rsidRPr="002129EE">
        <w:rPr>
          <w:rFonts w:asciiTheme="minorHAnsi" w:hAnsiTheme="minorHAnsi" w:cstheme="minorHAnsi"/>
          <w:bCs/>
          <w:sz w:val="24"/>
          <w:szCs w:val="24"/>
        </w:rPr>
        <w:t xml:space="preserve">Workplace Legislation Amendment </w:t>
      </w:r>
      <w:r w:rsidR="00A10C9A">
        <w:rPr>
          <w:rFonts w:asciiTheme="minorHAnsi" w:hAnsiTheme="minorHAnsi" w:cstheme="minorHAnsi"/>
          <w:bCs/>
          <w:sz w:val="24"/>
          <w:szCs w:val="24"/>
        </w:rPr>
        <w:t>Act</w:t>
      </w:r>
      <w:r w:rsidR="002129EE" w:rsidRPr="002129EE">
        <w:rPr>
          <w:rFonts w:asciiTheme="minorHAnsi" w:hAnsiTheme="minorHAnsi" w:cstheme="minorHAnsi"/>
          <w:bCs/>
          <w:sz w:val="24"/>
          <w:szCs w:val="24"/>
        </w:rPr>
        <w:t xml:space="preserve"> 202</w:t>
      </w:r>
      <w:r w:rsidR="00A10C9A">
        <w:rPr>
          <w:rFonts w:asciiTheme="minorHAnsi" w:hAnsiTheme="minorHAnsi" w:cstheme="minorHAnsi"/>
          <w:bCs/>
          <w:sz w:val="24"/>
          <w:szCs w:val="24"/>
        </w:rPr>
        <w:t>4</w:t>
      </w:r>
      <w:r w:rsidR="007D2766" w:rsidRPr="00F373F4">
        <w:rPr>
          <w:rFonts w:asciiTheme="minorHAnsi" w:hAnsiTheme="minorHAnsi" w:cstheme="minorHAnsi"/>
          <w:bCs/>
          <w:sz w:val="24"/>
          <w:szCs w:val="24"/>
        </w:rPr>
        <w:t>.</w:t>
      </w:r>
    </w:p>
    <w:p w14:paraId="0214138C" w14:textId="342231C2" w:rsidR="00987D01" w:rsidRDefault="00163766" w:rsidP="00601ACD">
      <w:pPr>
        <w:numPr>
          <w:ilvl w:val="0"/>
          <w:numId w:val="1"/>
        </w:numPr>
        <w:spacing w:after="100" w:afterAutospacing="1"/>
        <w:rPr>
          <w:b/>
          <w:sz w:val="24"/>
          <w:szCs w:val="24"/>
        </w:rPr>
      </w:pPr>
      <w:r w:rsidRPr="00601ACD">
        <w:rPr>
          <w:b/>
          <w:sz w:val="24"/>
          <w:szCs w:val="24"/>
        </w:rPr>
        <w:t xml:space="preserve"> </w:t>
      </w:r>
      <w:r w:rsidR="00882008">
        <w:rPr>
          <w:b/>
          <w:sz w:val="24"/>
          <w:szCs w:val="24"/>
        </w:rPr>
        <w:t>Commencement</w:t>
      </w:r>
    </w:p>
    <w:p w14:paraId="7968FB0E" w14:textId="5004B550" w:rsidR="00A10C9A" w:rsidRPr="00A10C9A" w:rsidRDefault="00A10C9A" w:rsidP="00A10C9A">
      <w:pPr>
        <w:spacing w:after="100" w:afterAutospacing="1"/>
        <w:rPr>
          <w:bCs/>
          <w:sz w:val="24"/>
          <w:szCs w:val="24"/>
        </w:rPr>
      </w:pPr>
      <w:r>
        <w:rPr>
          <w:bCs/>
          <w:sz w:val="24"/>
          <w:szCs w:val="24"/>
        </w:rPr>
        <w:t>This cl</w:t>
      </w:r>
      <w:r w:rsidR="006A06D4">
        <w:rPr>
          <w:bCs/>
          <w:sz w:val="24"/>
          <w:szCs w:val="24"/>
        </w:rPr>
        <w:t>a</w:t>
      </w:r>
      <w:r>
        <w:rPr>
          <w:bCs/>
          <w:sz w:val="24"/>
          <w:szCs w:val="24"/>
        </w:rPr>
        <w:t xml:space="preserve">use provides for commencement of the Act; noting </w:t>
      </w:r>
      <w:r w:rsidR="00211C29">
        <w:rPr>
          <w:bCs/>
          <w:sz w:val="24"/>
          <w:szCs w:val="24"/>
        </w:rPr>
        <w:t>commencement</w:t>
      </w:r>
      <w:r w:rsidR="00F22ECA">
        <w:rPr>
          <w:bCs/>
          <w:sz w:val="24"/>
          <w:szCs w:val="24"/>
        </w:rPr>
        <w:t xml:space="preserve"> of Parts 4 and 5 </w:t>
      </w:r>
      <w:r w:rsidR="00211C29">
        <w:rPr>
          <w:bCs/>
          <w:sz w:val="24"/>
          <w:szCs w:val="24"/>
        </w:rPr>
        <w:t xml:space="preserve"> 4</w:t>
      </w:r>
      <w:r>
        <w:rPr>
          <w:bCs/>
          <w:sz w:val="24"/>
          <w:szCs w:val="24"/>
        </w:rPr>
        <w:t xml:space="preserve"> months after the Act’s notification day.</w:t>
      </w:r>
    </w:p>
    <w:p w14:paraId="34331A63" w14:textId="406CAB82" w:rsidR="00A10C9A" w:rsidRDefault="00A10C9A" w:rsidP="00601ACD">
      <w:pPr>
        <w:numPr>
          <w:ilvl w:val="0"/>
          <w:numId w:val="1"/>
        </w:numPr>
        <w:spacing w:after="100" w:afterAutospacing="1"/>
        <w:rPr>
          <w:b/>
          <w:sz w:val="24"/>
          <w:szCs w:val="24"/>
        </w:rPr>
      </w:pPr>
      <w:r>
        <w:rPr>
          <w:b/>
          <w:sz w:val="24"/>
          <w:szCs w:val="24"/>
        </w:rPr>
        <w:t>Legislation amended</w:t>
      </w:r>
    </w:p>
    <w:p w14:paraId="25C15013" w14:textId="46223E9D" w:rsidR="00A10C9A" w:rsidRDefault="00A10C9A" w:rsidP="00A10C9A">
      <w:pPr>
        <w:spacing w:after="100" w:afterAutospacing="1"/>
        <w:rPr>
          <w:bCs/>
          <w:sz w:val="24"/>
          <w:szCs w:val="24"/>
        </w:rPr>
      </w:pPr>
      <w:r w:rsidRPr="00A10C9A">
        <w:rPr>
          <w:bCs/>
          <w:sz w:val="24"/>
          <w:szCs w:val="24"/>
        </w:rPr>
        <w:t>This clause provides that the Act amends</w:t>
      </w:r>
      <w:r w:rsidR="006A06D4">
        <w:rPr>
          <w:bCs/>
          <w:sz w:val="24"/>
          <w:szCs w:val="24"/>
        </w:rPr>
        <w:t xml:space="preserve"> the</w:t>
      </w:r>
      <w:r w:rsidRPr="00A10C9A">
        <w:rPr>
          <w:bCs/>
          <w:sz w:val="24"/>
          <w:szCs w:val="24"/>
        </w:rPr>
        <w:t>:</w:t>
      </w:r>
    </w:p>
    <w:p w14:paraId="4EF340AD" w14:textId="2B36DC15" w:rsidR="00E7499D" w:rsidRPr="00E7499D" w:rsidRDefault="00A10C9A" w:rsidP="00E7499D">
      <w:pPr>
        <w:pStyle w:val="ListParagraph"/>
        <w:numPr>
          <w:ilvl w:val="0"/>
          <w:numId w:val="43"/>
        </w:numPr>
        <w:spacing w:before="240" w:after="100" w:afterAutospacing="1"/>
        <w:rPr>
          <w:bCs/>
          <w:i/>
          <w:iCs/>
          <w:sz w:val="24"/>
          <w:szCs w:val="24"/>
        </w:rPr>
      </w:pPr>
      <w:r w:rsidRPr="00E7499D">
        <w:rPr>
          <w:bCs/>
          <w:i/>
          <w:iCs/>
          <w:sz w:val="24"/>
          <w:szCs w:val="24"/>
        </w:rPr>
        <w:t>Long Service Leave (Portable Schemes) Amendment Act 2023;</w:t>
      </w:r>
    </w:p>
    <w:p w14:paraId="32EE3F17" w14:textId="29E9B24C" w:rsidR="00A10C9A" w:rsidRPr="00E7499D" w:rsidRDefault="00A10C9A" w:rsidP="00E7499D">
      <w:pPr>
        <w:pStyle w:val="ListParagraph"/>
        <w:numPr>
          <w:ilvl w:val="0"/>
          <w:numId w:val="43"/>
        </w:numPr>
        <w:spacing w:before="240" w:after="100" w:afterAutospacing="1"/>
        <w:rPr>
          <w:bCs/>
          <w:i/>
          <w:iCs/>
          <w:sz w:val="24"/>
          <w:szCs w:val="24"/>
        </w:rPr>
      </w:pPr>
      <w:r w:rsidRPr="00E7499D">
        <w:rPr>
          <w:bCs/>
          <w:i/>
          <w:iCs/>
          <w:sz w:val="24"/>
          <w:szCs w:val="24"/>
        </w:rPr>
        <w:t>Work Health and Safety Act 2011;</w:t>
      </w:r>
    </w:p>
    <w:p w14:paraId="1B9C0127" w14:textId="33AD2354" w:rsidR="00A10C9A" w:rsidRPr="00E7499D" w:rsidRDefault="00A10C9A" w:rsidP="00E7499D">
      <w:pPr>
        <w:pStyle w:val="ListParagraph"/>
        <w:numPr>
          <w:ilvl w:val="0"/>
          <w:numId w:val="43"/>
        </w:numPr>
        <w:spacing w:before="240" w:after="100" w:afterAutospacing="1"/>
        <w:rPr>
          <w:bCs/>
          <w:i/>
          <w:iCs/>
          <w:sz w:val="24"/>
          <w:szCs w:val="24"/>
        </w:rPr>
      </w:pPr>
      <w:r w:rsidRPr="00E7499D">
        <w:rPr>
          <w:bCs/>
          <w:i/>
          <w:iCs/>
          <w:sz w:val="24"/>
          <w:szCs w:val="24"/>
        </w:rPr>
        <w:t>Work Health and Safety Regulation 2011.</w:t>
      </w:r>
    </w:p>
    <w:p w14:paraId="154083CF" w14:textId="5247A8E9" w:rsidR="00A10C9A" w:rsidRDefault="00A10C9A" w:rsidP="00A10C9A">
      <w:pPr>
        <w:spacing w:after="100" w:afterAutospacing="1"/>
        <w:rPr>
          <w:b/>
          <w:sz w:val="24"/>
          <w:szCs w:val="24"/>
        </w:rPr>
      </w:pPr>
      <w:r>
        <w:rPr>
          <w:b/>
          <w:sz w:val="24"/>
          <w:szCs w:val="24"/>
        </w:rPr>
        <w:t>Part 2 Long Service Leave (Portable Schemes) Amendment Act 2023</w:t>
      </w:r>
    </w:p>
    <w:p w14:paraId="4282DD69" w14:textId="2D0F6DC6" w:rsidR="00A10C9A" w:rsidRDefault="00A10C9A" w:rsidP="00601ACD">
      <w:pPr>
        <w:numPr>
          <w:ilvl w:val="0"/>
          <w:numId w:val="1"/>
        </w:numPr>
        <w:spacing w:after="100" w:afterAutospacing="1"/>
        <w:rPr>
          <w:b/>
          <w:sz w:val="24"/>
          <w:szCs w:val="24"/>
        </w:rPr>
      </w:pPr>
      <w:r>
        <w:rPr>
          <w:b/>
          <w:sz w:val="24"/>
          <w:szCs w:val="24"/>
        </w:rPr>
        <w:t>Commencement Section 2(3)</w:t>
      </w:r>
    </w:p>
    <w:p w14:paraId="6ADB5BC4" w14:textId="63F6D037" w:rsidR="00A10C9A" w:rsidRPr="00A10C9A" w:rsidRDefault="00A10C9A" w:rsidP="00A10C9A">
      <w:pPr>
        <w:spacing w:after="100" w:afterAutospacing="1"/>
        <w:rPr>
          <w:bCs/>
          <w:sz w:val="24"/>
          <w:szCs w:val="24"/>
        </w:rPr>
      </w:pPr>
      <w:r>
        <w:rPr>
          <w:bCs/>
          <w:sz w:val="24"/>
          <w:szCs w:val="24"/>
        </w:rPr>
        <w:t>This clause provides for a minor and technical amendment to the Long Service Leave (Portable Schemes) Amendment Act 2023 to align commencement of un-commence</w:t>
      </w:r>
      <w:r w:rsidR="006A06D4">
        <w:rPr>
          <w:bCs/>
          <w:sz w:val="24"/>
          <w:szCs w:val="24"/>
        </w:rPr>
        <w:t>d</w:t>
      </w:r>
      <w:r>
        <w:rPr>
          <w:bCs/>
          <w:sz w:val="24"/>
          <w:szCs w:val="24"/>
        </w:rPr>
        <w:t xml:space="preserve"> provisions with quarterly reporting processes for the Long Service Leave Portable Schemes. </w:t>
      </w:r>
    </w:p>
    <w:p w14:paraId="595A8C37" w14:textId="77777777" w:rsidR="00EF472F" w:rsidRPr="00172EE7" w:rsidRDefault="00EF472F" w:rsidP="00EF472F">
      <w:pPr>
        <w:spacing w:after="100" w:afterAutospacing="1"/>
        <w:rPr>
          <w:b/>
          <w:sz w:val="24"/>
          <w:szCs w:val="24"/>
        </w:rPr>
      </w:pPr>
      <w:r w:rsidRPr="00172EE7">
        <w:rPr>
          <w:b/>
          <w:sz w:val="24"/>
          <w:szCs w:val="24"/>
        </w:rPr>
        <w:t xml:space="preserve">Part 3 </w:t>
      </w:r>
      <w:r w:rsidRPr="00172EE7">
        <w:rPr>
          <w:b/>
          <w:sz w:val="24"/>
          <w:szCs w:val="24"/>
        </w:rPr>
        <w:tab/>
      </w:r>
      <w:r w:rsidRPr="00172EE7">
        <w:rPr>
          <w:b/>
          <w:sz w:val="24"/>
          <w:szCs w:val="24"/>
        </w:rPr>
        <w:tab/>
        <w:t>Public Sector Management Act 1993</w:t>
      </w:r>
    </w:p>
    <w:p w14:paraId="01C20DD3" w14:textId="77777777" w:rsidR="00EF472F" w:rsidRPr="00172EE7" w:rsidRDefault="00EF472F" w:rsidP="00EF472F">
      <w:pPr>
        <w:numPr>
          <w:ilvl w:val="0"/>
          <w:numId w:val="1"/>
        </w:numPr>
        <w:spacing w:after="100" w:afterAutospacing="1"/>
        <w:rPr>
          <w:b/>
          <w:sz w:val="24"/>
          <w:szCs w:val="24"/>
        </w:rPr>
      </w:pPr>
      <w:r w:rsidRPr="00172EE7">
        <w:rPr>
          <w:b/>
          <w:sz w:val="24"/>
          <w:szCs w:val="24"/>
        </w:rPr>
        <w:t>New Section 143A</w:t>
      </w:r>
    </w:p>
    <w:p w14:paraId="15914FBE" w14:textId="6C7D29AE" w:rsidR="00F22ECA" w:rsidRPr="00172EE7" w:rsidRDefault="00F22ECA" w:rsidP="00F22ECA">
      <w:pPr>
        <w:spacing w:after="100" w:afterAutospacing="1"/>
        <w:rPr>
          <w:bCs/>
          <w:sz w:val="24"/>
          <w:szCs w:val="24"/>
        </w:rPr>
      </w:pPr>
      <w:r w:rsidRPr="00172EE7">
        <w:rPr>
          <w:bCs/>
          <w:sz w:val="24"/>
          <w:szCs w:val="24"/>
        </w:rPr>
        <w:t xml:space="preserve">This clause provides for the independence of the Public Sector </w:t>
      </w:r>
      <w:r w:rsidR="006A06D4">
        <w:rPr>
          <w:bCs/>
          <w:sz w:val="24"/>
          <w:szCs w:val="24"/>
        </w:rPr>
        <w:t>Standards</w:t>
      </w:r>
      <w:r w:rsidRPr="00172EE7">
        <w:rPr>
          <w:bCs/>
          <w:sz w:val="24"/>
          <w:szCs w:val="24"/>
        </w:rPr>
        <w:t xml:space="preserve"> Commissioner in the exercise of the commissioner’s functions.</w:t>
      </w:r>
    </w:p>
    <w:p w14:paraId="111AF234" w14:textId="5485A9CD" w:rsidR="00F22ECA" w:rsidRPr="00172EE7" w:rsidRDefault="00F22ECA" w:rsidP="00F22ECA">
      <w:pPr>
        <w:spacing w:after="100" w:afterAutospacing="1"/>
        <w:ind w:left="360"/>
        <w:rPr>
          <w:b/>
          <w:sz w:val="24"/>
          <w:szCs w:val="24"/>
        </w:rPr>
      </w:pPr>
    </w:p>
    <w:p w14:paraId="3DE3E071" w14:textId="5656B9BA" w:rsidR="00F22ECA" w:rsidRPr="00172EE7" w:rsidRDefault="00F22ECA" w:rsidP="00EF472F">
      <w:pPr>
        <w:numPr>
          <w:ilvl w:val="0"/>
          <w:numId w:val="1"/>
        </w:numPr>
        <w:spacing w:after="100" w:afterAutospacing="1"/>
        <w:rPr>
          <w:b/>
          <w:sz w:val="24"/>
          <w:szCs w:val="24"/>
        </w:rPr>
      </w:pPr>
      <w:r w:rsidRPr="00172EE7">
        <w:rPr>
          <w:b/>
          <w:sz w:val="24"/>
          <w:szCs w:val="24"/>
        </w:rPr>
        <w:lastRenderedPageBreak/>
        <w:t>New section 149A</w:t>
      </w:r>
    </w:p>
    <w:p w14:paraId="385CC0BB" w14:textId="52D40E9C" w:rsidR="00EF472F" w:rsidRPr="00172EE7" w:rsidRDefault="00F22ECA" w:rsidP="00E7499D">
      <w:pPr>
        <w:spacing w:after="100" w:afterAutospacing="1"/>
        <w:rPr>
          <w:b/>
          <w:sz w:val="24"/>
          <w:szCs w:val="24"/>
        </w:rPr>
      </w:pPr>
      <w:r w:rsidRPr="00172EE7">
        <w:rPr>
          <w:bCs/>
          <w:sz w:val="24"/>
          <w:szCs w:val="24"/>
        </w:rPr>
        <w:t>This clause provides for the independence of a public employee exercising a function of the commissioner.</w:t>
      </w:r>
    </w:p>
    <w:p w14:paraId="666996B6" w14:textId="40B8FD49" w:rsidR="00E7499D" w:rsidRPr="00E7499D" w:rsidRDefault="00E7499D" w:rsidP="00E7499D">
      <w:pPr>
        <w:spacing w:after="100" w:afterAutospacing="1"/>
        <w:rPr>
          <w:b/>
          <w:sz w:val="24"/>
          <w:szCs w:val="24"/>
        </w:rPr>
      </w:pPr>
      <w:r w:rsidRPr="00172EE7">
        <w:rPr>
          <w:b/>
          <w:sz w:val="24"/>
          <w:szCs w:val="24"/>
        </w:rPr>
        <w:t xml:space="preserve">Part </w:t>
      </w:r>
      <w:r w:rsidR="00EF472F" w:rsidRPr="00172EE7">
        <w:rPr>
          <w:b/>
          <w:sz w:val="24"/>
          <w:szCs w:val="24"/>
        </w:rPr>
        <w:t>4</w:t>
      </w:r>
      <w:r w:rsidRPr="00E7499D">
        <w:rPr>
          <w:b/>
          <w:sz w:val="24"/>
          <w:szCs w:val="24"/>
        </w:rPr>
        <w:tab/>
      </w:r>
      <w:r w:rsidRPr="00E7499D">
        <w:rPr>
          <w:b/>
          <w:sz w:val="24"/>
          <w:szCs w:val="24"/>
        </w:rPr>
        <w:tab/>
        <w:t>Work Health and Safety Act 2011</w:t>
      </w:r>
    </w:p>
    <w:p w14:paraId="222C1E8B" w14:textId="3AE47DE3" w:rsidR="00A10C9A" w:rsidRDefault="00A10C9A" w:rsidP="00601ACD">
      <w:pPr>
        <w:numPr>
          <w:ilvl w:val="0"/>
          <w:numId w:val="1"/>
        </w:numPr>
        <w:spacing w:after="100" w:afterAutospacing="1"/>
        <w:rPr>
          <w:b/>
          <w:sz w:val="24"/>
          <w:szCs w:val="24"/>
        </w:rPr>
      </w:pPr>
      <w:r>
        <w:rPr>
          <w:b/>
          <w:sz w:val="24"/>
          <w:szCs w:val="24"/>
        </w:rPr>
        <w:t>Offences against Act - application of Criminal Code etc New section 12B(2)</w:t>
      </w:r>
    </w:p>
    <w:p w14:paraId="2954BCFC" w14:textId="399ACD55" w:rsidR="00A10C9A" w:rsidRDefault="00A10C9A" w:rsidP="00A10C9A">
      <w:pPr>
        <w:spacing w:after="100" w:afterAutospacing="1"/>
        <w:rPr>
          <w:b/>
          <w:sz w:val="24"/>
          <w:szCs w:val="24"/>
        </w:rPr>
      </w:pPr>
      <w:r>
        <w:rPr>
          <w:bCs/>
          <w:sz w:val="24"/>
          <w:szCs w:val="24"/>
        </w:rPr>
        <w:t xml:space="preserve">This clause disapplies the ACT </w:t>
      </w:r>
      <w:r w:rsidRPr="00A10C9A">
        <w:rPr>
          <w:bCs/>
          <w:i/>
          <w:iCs/>
          <w:sz w:val="24"/>
          <w:szCs w:val="24"/>
        </w:rPr>
        <w:t>Criminal Code 2002</w:t>
      </w:r>
      <w:r>
        <w:rPr>
          <w:bCs/>
          <w:sz w:val="24"/>
          <w:szCs w:val="24"/>
        </w:rPr>
        <w:t xml:space="preserve"> Part 2.5 (Corporate criminal responsibilities) to an offence under the WHS Act - accommodating the new corporate criminal responsibility provision dealt with by division 13.4. </w:t>
      </w:r>
    </w:p>
    <w:p w14:paraId="16105394" w14:textId="76455009" w:rsidR="00A10C9A" w:rsidRDefault="00A10C9A" w:rsidP="00601ACD">
      <w:pPr>
        <w:numPr>
          <w:ilvl w:val="0"/>
          <w:numId w:val="1"/>
        </w:numPr>
        <w:spacing w:after="100" w:afterAutospacing="1"/>
        <w:rPr>
          <w:b/>
          <w:sz w:val="24"/>
          <w:szCs w:val="24"/>
        </w:rPr>
      </w:pPr>
      <w:r>
        <w:rPr>
          <w:b/>
          <w:sz w:val="24"/>
          <w:szCs w:val="24"/>
        </w:rPr>
        <w:t>Negligence or reckless conduct - category 1 Section 31(1)(b)</w:t>
      </w:r>
    </w:p>
    <w:p w14:paraId="4857C0AB" w14:textId="4F5E1A6E" w:rsidR="00A10C9A" w:rsidRDefault="00A10C9A" w:rsidP="00A10C9A">
      <w:pPr>
        <w:spacing w:after="100" w:afterAutospacing="1"/>
        <w:rPr>
          <w:bCs/>
          <w:sz w:val="24"/>
          <w:szCs w:val="24"/>
        </w:rPr>
      </w:pPr>
      <w:r>
        <w:rPr>
          <w:bCs/>
          <w:sz w:val="24"/>
          <w:szCs w:val="24"/>
        </w:rPr>
        <w:t xml:space="preserve">This clause </w:t>
      </w:r>
      <w:r w:rsidR="00363F02">
        <w:rPr>
          <w:bCs/>
          <w:sz w:val="24"/>
          <w:szCs w:val="24"/>
        </w:rPr>
        <w:t xml:space="preserve">makes a technical change to clarify </w:t>
      </w:r>
      <w:r w:rsidR="00936554">
        <w:rPr>
          <w:bCs/>
          <w:sz w:val="24"/>
          <w:szCs w:val="24"/>
        </w:rPr>
        <w:t>that category 1 offences apply to an officer of a person conducting a business or undertaking</w:t>
      </w:r>
      <w:r w:rsidR="009115B0">
        <w:rPr>
          <w:bCs/>
          <w:sz w:val="24"/>
          <w:szCs w:val="24"/>
        </w:rPr>
        <w:t>.  Officer is defined by the WHS Act</w:t>
      </w:r>
      <w:r w:rsidR="00B77F76">
        <w:rPr>
          <w:bCs/>
          <w:sz w:val="24"/>
          <w:szCs w:val="24"/>
        </w:rPr>
        <w:t xml:space="preserve"> and attracts additional WHS duties as provided by section 27 of the WHS Act. </w:t>
      </w:r>
      <w:r w:rsidR="00363F02">
        <w:rPr>
          <w:bCs/>
          <w:sz w:val="24"/>
          <w:szCs w:val="24"/>
        </w:rPr>
        <w:t xml:space="preserve"> It has always been understood that these persons, like any duty holder, are liable for a category 1 offence. </w:t>
      </w:r>
    </w:p>
    <w:p w14:paraId="2C60E9F8" w14:textId="3C4F23F9" w:rsidR="00A10C9A" w:rsidRDefault="00B77F76" w:rsidP="00601ACD">
      <w:pPr>
        <w:numPr>
          <w:ilvl w:val="0"/>
          <w:numId w:val="1"/>
        </w:numPr>
        <w:spacing w:after="100" w:afterAutospacing="1"/>
        <w:rPr>
          <w:b/>
          <w:sz w:val="24"/>
          <w:szCs w:val="24"/>
        </w:rPr>
      </w:pPr>
      <w:r>
        <w:rPr>
          <w:b/>
          <w:sz w:val="24"/>
          <w:szCs w:val="24"/>
        </w:rPr>
        <w:t>Section 31(1), penalty</w:t>
      </w:r>
    </w:p>
    <w:p w14:paraId="515BFFBB" w14:textId="7A4ACCEF" w:rsidR="00B77F76" w:rsidRPr="00B77F76" w:rsidRDefault="00B77F76" w:rsidP="00B77F76">
      <w:pPr>
        <w:spacing w:after="100" w:afterAutospacing="1"/>
        <w:rPr>
          <w:bCs/>
          <w:sz w:val="24"/>
          <w:szCs w:val="24"/>
        </w:rPr>
      </w:pPr>
      <w:r>
        <w:rPr>
          <w:bCs/>
          <w:sz w:val="24"/>
          <w:szCs w:val="24"/>
        </w:rPr>
        <w:t xml:space="preserve">This clause provides for the applicable penalties for a category 1 offence specifying the maximum monetary penalty and maximum term of imprisonment. </w:t>
      </w:r>
      <w:r w:rsidR="008A08C0">
        <w:rPr>
          <w:bCs/>
          <w:sz w:val="24"/>
          <w:szCs w:val="24"/>
        </w:rPr>
        <w:t xml:space="preserve">This gives effect to the May 2021 decision by WHS Ministers to increase category 1 offence penalties </w:t>
      </w:r>
      <w:r w:rsidR="004D295E">
        <w:rPr>
          <w:bCs/>
          <w:sz w:val="24"/>
          <w:szCs w:val="24"/>
        </w:rPr>
        <w:t>in</w:t>
      </w:r>
      <w:r w:rsidR="008A08C0">
        <w:rPr>
          <w:bCs/>
          <w:sz w:val="24"/>
          <w:szCs w:val="24"/>
        </w:rPr>
        <w:t xml:space="preserve"> addition to the increase of all monetary penalties in the model WHS Act. The increase in penalties for a category 1 offence </w:t>
      </w:r>
      <w:r w:rsidR="00A61CFA">
        <w:rPr>
          <w:bCs/>
          <w:sz w:val="24"/>
          <w:szCs w:val="24"/>
        </w:rPr>
        <w:t xml:space="preserve">reflects the </w:t>
      </w:r>
      <w:r w:rsidR="008A08C0">
        <w:rPr>
          <w:bCs/>
          <w:sz w:val="24"/>
          <w:szCs w:val="24"/>
        </w:rPr>
        <w:t>seriousness of offences of this kind and address</w:t>
      </w:r>
      <w:r w:rsidR="00A61CFA">
        <w:rPr>
          <w:bCs/>
          <w:sz w:val="24"/>
          <w:szCs w:val="24"/>
        </w:rPr>
        <w:t>es</w:t>
      </w:r>
      <w:r w:rsidR="008A08C0">
        <w:rPr>
          <w:bCs/>
          <w:sz w:val="24"/>
          <w:szCs w:val="24"/>
        </w:rPr>
        <w:t xml:space="preserve"> community concerns for greater accountability of duty holders who put workers and other persons</w:t>
      </w:r>
      <w:r w:rsidR="00A61CFA">
        <w:rPr>
          <w:bCs/>
          <w:sz w:val="24"/>
          <w:szCs w:val="24"/>
        </w:rPr>
        <w:t>’</w:t>
      </w:r>
      <w:r w:rsidR="008A08C0">
        <w:rPr>
          <w:bCs/>
          <w:sz w:val="24"/>
          <w:szCs w:val="24"/>
        </w:rPr>
        <w:t xml:space="preserve"> lives at risk.</w:t>
      </w:r>
    </w:p>
    <w:p w14:paraId="6A9A2057" w14:textId="64C5ED56" w:rsidR="00A10C9A" w:rsidRDefault="00363F02" w:rsidP="00601ACD">
      <w:pPr>
        <w:numPr>
          <w:ilvl w:val="0"/>
          <w:numId w:val="1"/>
        </w:numPr>
        <w:spacing w:after="100" w:afterAutospacing="1"/>
        <w:rPr>
          <w:b/>
          <w:sz w:val="24"/>
          <w:szCs w:val="24"/>
        </w:rPr>
      </w:pPr>
      <w:r>
        <w:rPr>
          <w:b/>
          <w:sz w:val="24"/>
          <w:szCs w:val="24"/>
        </w:rPr>
        <w:t>Failure to comply with health and safety duty - category 2 Section 32, penalty</w:t>
      </w:r>
    </w:p>
    <w:p w14:paraId="28E932DA" w14:textId="77777777" w:rsidR="00363F02" w:rsidRDefault="00363F02" w:rsidP="00363F02">
      <w:pPr>
        <w:rPr>
          <w:rFonts w:asciiTheme="minorHAnsi" w:hAnsiTheme="minorHAnsi" w:cstheme="minorHAnsi"/>
          <w:sz w:val="24"/>
          <w:szCs w:val="24"/>
        </w:rPr>
      </w:pPr>
      <w:r w:rsidRPr="00363F02">
        <w:rPr>
          <w:rFonts w:asciiTheme="minorHAnsi" w:hAnsiTheme="minorHAnsi" w:cstheme="minorHAnsi"/>
          <w:sz w:val="24"/>
          <w:szCs w:val="24"/>
        </w:rPr>
        <w:t xml:space="preserve">At present, every offence/civil penalty provision includes the maximum monetary penalty at the foot of the provision expressed as a dollar amount. </w:t>
      </w:r>
    </w:p>
    <w:p w14:paraId="4036A3A1" w14:textId="495A9B04" w:rsidR="00885E12" w:rsidRDefault="00885E12" w:rsidP="00885E12">
      <w:pPr>
        <w:rPr>
          <w:rFonts w:asciiTheme="minorHAnsi" w:hAnsiTheme="minorHAnsi" w:cstheme="minorHAnsi"/>
          <w:sz w:val="24"/>
          <w:szCs w:val="24"/>
        </w:rPr>
      </w:pPr>
      <w:r w:rsidRPr="00ED443C">
        <w:rPr>
          <w:rFonts w:asciiTheme="minorHAnsi" w:hAnsiTheme="minorHAnsi" w:cstheme="minorHAnsi"/>
          <w:sz w:val="24"/>
          <w:szCs w:val="24"/>
        </w:rPr>
        <w:t>To facilitate the introduction of annual indexation of penalties</w:t>
      </w:r>
      <w:r w:rsidR="00B21F08">
        <w:rPr>
          <w:rFonts w:asciiTheme="minorHAnsi" w:hAnsiTheme="minorHAnsi" w:cstheme="minorHAnsi"/>
          <w:sz w:val="24"/>
          <w:szCs w:val="24"/>
        </w:rPr>
        <w:t xml:space="preserve"> and maintain the ACT’s harmonisation with model WHS laws</w:t>
      </w:r>
      <w:r w:rsidRPr="00ED443C">
        <w:rPr>
          <w:rFonts w:asciiTheme="minorHAnsi" w:hAnsiTheme="minorHAnsi" w:cstheme="minorHAnsi"/>
          <w:sz w:val="24"/>
          <w:szCs w:val="24"/>
        </w:rPr>
        <w:t xml:space="preserve">, the monetary amounts for each of the WHS penalties will be replaced by a reference to a WHS penalty </w:t>
      </w:r>
      <w:r w:rsidR="00B21F08">
        <w:rPr>
          <w:rFonts w:asciiTheme="minorHAnsi" w:hAnsiTheme="minorHAnsi" w:cstheme="minorHAnsi"/>
          <w:sz w:val="24"/>
          <w:szCs w:val="24"/>
        </w:rPr>
        <w:t xml:space="preserve">category or </w:t>
      </w:r>
      <w:r w:rsidRPr="00ED443C">
        <w:rPr>
          <w:rFonts w:asciiTheme="minorHAnsi" w:hAnsiTheme="minorHAnsi" w:cstheme="minorHAnsi"/>
          <w:sz w:val="24"/>
          <w:szCs w:val="24"/>
        </w:rPr>
        <w:t>tier</w:t>
      </w:r>
      <w:r w:rsidR="00B21F08">
        <w:rPr>
          <w:rFonts w:asciiTheme="minorHAnsi" w:hAnsiTheme="minorHAnsi" w:cstheme="minorHAnsi"/>
          <w:sz w:val="24"/>
          <w:szCs w:val="24"/>
        </w:rPr>
        <w:t xml:space="preserve"> (civil).</w:t>
      </w:r>
    </w:p>
    <w:p w14:paraId="0328FC63" w14:textId="33F9BA47" w:rsidR="00BB20D9" w:rsidRDefault="003E57AA" w:rsidP="003E57AA">
      <w:pPr>
        <w:rPr>
          <w:rFonts w:asciiTheme="minorHAnsi" w:hAnsiTheme="minorHAnsi" w:cstheme="minorHAnsi"/>
          <w:sz w:val="24"/>
          <w:szCs w:val="24"/>
        </w:rPr>
      </w:pPr>
      <w:r w:rsidRPr="003E57AA">
        <w:rPr>
          <w:rFonts w:asciiTheme="minorHAnsi" w:hAnsiTheme="minorHAnsi" w:cstheme="minorHAnsi"/>
          <w:sz w:val="24"/>
          <w:szCs w:val="24"/>
        </w:rPr>
        <w:lastRenderedPageBreak/>
        <w:t xml:space="preserve">Given the number of individual penalty provisions and the introduction of annual indexation to adjust penalty amounts for changes in the national CPI, it was considered impractical to modify each penalty provision annually. </w:t>
      </w:r>
    </w:p>
    <w:p w14:paraId="4E268461" w14:textId="56671D15" w:rsidR="003E57AA" w:rsidRPr="003E57AA" w:rsidRDefault="003E57AA" w:rsidP="003E57AA">
      <w:pPr>
        <w:rPr>
          <w:rFonts w:asciiTheme="minorHAnsi" w:hAnsiTheme="minorHAnsi" w:cstheme="minorHAnsi"/>
          <w:sz w:val="24"/>
          <w:szCs w:val="24"/>
        </w:rPr>
      </w:pPr>
      <w:r w:rsidRPr="003E57AA">
        <w:rPr>
          <w:rFonts w:asciiTheme="minorHAnsi" w:hAnsiTheme="minorHAnsi" w:cstheme="minorHAnsi"/>
          <w:sz w:val="24"/>
          <w:szCs w:val="24"/>
        </w:rPr>
        <w:t>To account for this, the following items would replace each individual penalty amount with a reference to the relevant penalty tier set out in new Schedule 4. Indexation will be applied to the penalty tier amounts set out in new Schedule 4 and as a result apply automatically to each provision that specifies that penalty tier as the maximum penalty amount for that offence or civil penalty provision.</w:t>
      </w:r>
    </w:p>
    <w:p w14:paraId="4F630989" w14:textId="44275AD6" w:rsidR="003E57AA" w:rsidRPr="003E57AA" w:rsidRDefault="003E57AA" w:rsidP="003E57AA">
      <w:pPr>
        <w:rPr>
          <w:rFonts w:asciiTheme="minorHAnsi" w:hAnsiTheme="minorHAnsi" w:cstheme="minorHAnsi"/>
          <w:sz w:val="24"/>
          <w:szCs w:val="24"/>
        </w:rPr>
      </w:pPr>
      <w:r w:rsidRPr="003E57AA">
        <w:rPr>
          <w:rFonts w:asciiTheme="minorHAnsi" w:hAnsiTheme="minorHAnsi" w:cstheme="minorHAnsi"/>
          <w:sz w:val="24"/>
          <w:szCs w:val="24"/>
        </w:rPr>
        <w:t xml:space="preserve">There </w:t>
      </w:r>
      <w:r w:rsidR="001B6436">
        <w:rPr>
          <w:rFonts w:asciiTheme="minorHAnsi" w:hAnsiTheme="minorHAnsi" w:cstheme="minorHAnsi"/>
          <w:sz w:val="24"/>
          <w:szCs w:val="24"/>
        </w:rPr>
        <w:t>will</w:t>
      </w:r>
      <w:r w:rsidRPr="003E57AA">
        <w:rPr>
          <w:rFonts w:asciiTheme="minorHAnsi" w:hAnsiTheme="minorHAnsi" w:cstheme="minorHAnsi"/>
          <w:sz w:val="24"/>
          <w:szCs w:val="24"/>
        </w:rPr>
        <w:t xml:space="preserve"> be three kinds of penalty tiers:</w:t>
      </w:r>
    </w:p>
    <w:p w14:paraId="2E64F69B" w14:textId="77777777" w:rsidR="001B6436" w:rsidRDefault="003E57AA" w:rsidP="003E57AA">
      <w:pPr>
        <w:pStyle w:val="ListParagraph"/>
        <w:numPr>
          <w:ilvl w:val="0"/>
          <w:numId w:val="36"/>
        </w:numPr>
        <w:rPr>
          <w:rFonts w:asciiTheme="minorHAnsi" w:hAnsiTheme="minorHAnsi" w:cstheme="minorHAnsi"/>
          <w:sz w:val="24"/>
          <w:szCs w:val="24"/>
        </w:rPr>
      </w:pPr>
      <w:r w:rsidRPr="001B6436">
        <w:rPr>
          <w:rFonts w:asciiTheme="minorHAnsi" w:hAnsiTheme="minorHAnsi" w:cstheme="minorHAnsi"/>
          <w:sz w:val="24"/>
          <w:szCs w:val="24"/>
        </w:rPr>
        <w:t>Category penalties would be the penalties set for the three category offences in Part 2 of the WHS Act (sections 31-33).</w:t>
      </w:r>
    </w:p>
    <w:p w14:paraId="5CECA70F" w14:textId="7DD1E57A" w:rsidR="001B6436" w:rsidRDefault="003E57AA" w:rsidP="003E57AA">
      <w:pPr>
        <w:pStyle w:val="ListParagraph"/>
        <w:numPr>
          <w:ilvl w:val="0"/>
          <w:numId w:val="36"/>
        </w:numPr>
        <w:rPr>
          <w:rFonts w:asciiTheme="minorHAnsi" w:hAnsiTheme="minorHAnsi" w:cstheme="minorHAnsi"/>
          <w:sz w:val="24"/>
          <w:szCs w:val="24"/>
        </w:rPr>
      </w:pPr>
      <w:r w:rsidRPr="001B6436">
        <w:rPr>
          <w:rFonts w:asciiTheme="minorHAnsi" w:hAnsiTheme="minorHAnsi" w:cstheme="minorHAnsi"/>
          <w:sz w:val="24"/>
          <w:szCs w:val="24"/>
        </w:rPr>
        <w:t>nine different monetary penalty tiers used for the general offences in the WHS Act and Regulations reflecting the nine different penalty levels used in the WHS Act and Regulations.</w:t>
      </w:r>
    </w:p>
    <w:p w14:paraId="4CA52B97" w14:textId="785D8343" w:rsidR="003E57AA" w:rsidRPr="001B6436" w:rsidRDefault="003E57AA" w:rsidP="003E57AA">
      <w:pPr>
        <w:pStyle w:val="ListParagraph"/>
        <w:numPr>
          <w:ilvl w:val="0"/>
          <w:numId w:val="36"/>
        </w:numPr>
        <w:rPr>
          <w:rFonts w:asciiTheme="minorHAnsi" w:hAnsiTheme="minorHAnsi" w:cstheme="minorHAnsi"/>
          <w:sz w:val="24"/>
          <w:szCs w:val="24"/>
        </w:rPr>
      </w:pPr>
      <w:r w:rsidRPr="001B6436">
        <w:rPr>
          <w:rFonts w:asciiTheme="minorHAnsi" w:hAnsiTheme="minorHAnsi" w:cstheme="minorHAnsi"/>
          <w:sz w:val="24"/>
          <w:szCs w:val="24"/>
        </w:rPr>
        <w:t>four WHS civil penalty provision tiers for the four different civil penalty amounts used in Part 7 of the WHS Act.</w:t>
      </w:r>
    </w:p>
    <w:p w14:paraId="444F6680" w14:textId="77777777" w:rsidR="00B21F08" w:rsidRPr="00B21F08" w:rsidRDefault="00B21F08" w:rsidP="00B21F08">
      <w:pPr>
        <w:rPr>
          <w:rFonts w:asciiTheme="minorHAnsi" w:hAnsiTheme="minorHAnsi" w:cstheme="minorHAnsi"/>
          <w:sz w:val="24"/>
          <w:szCs w:val="24"/>
        </w:rPr>
      </w:pPr>
      <w:r w:rsidRPr="00B21F08">
        <w:rPr>
          <w:rFonts w:asciiTheme="minorHAnsi" w:hAnsiTheme="minorHAnsi" w:cstheme="minorHAnsi"/>
          <w:sz w:val="24"/>
          <w:szCs w:val="24"/>
        </w:rPr>
        <w:t>The general 39.03 per cent increase in monetary penalties represents the average increase in penalty units for non-WHS offences across all jurisdictions since 2011 (when the model Act was introduced).</w:t>
      </w:r>
    </w:p>
    <w:p w14:paraId="4CF77BB3" w14:textId="4F652071" w:rsidR="00363F02" w:rsidRDefault="00363F02" w:rsidP="00363F02">
      <w:pPr>
        <w:rPr>
          <w:rFonts w:asciiTheme="minorHAnsi" w:hAnsiTheme="minorHAnsi" w:cstheme="minorHAnsi"/>
          <w:sz w:val="24"/>
          <w:szCs w:val="24"/>
        </w:rPr>
      </w:pPr>
      <w:r w:rsidRPr="00ED443C">
        <w:rPr>
          <w:rFonts w:asciiTheme="minorHAnsi" w:hAnsiTheme="minorHAnsi" w:cstheme="minorHAnsi"/>
          <w:sz w:val="24"/>
          <w:szCs w:val="24"/>
        </w:rPr>
        <w:t>Indexation will be applied to the penalty tier amounts.</w:t>
      </w:r>
    </w:p>
    <w:p w14:paraId="75C65710" w14:textId="77777777" w:rsidR="00D13601" w:rsidRDefault="00D13601" w:rsidP="00D13601">
      <w:pPr>
        <w:numPr>
          <w:ilvl w:val="0"/>
          <w:numId w:val="1"/>
        </w:numPr>
        <w:spacing w:after="100" w:afterAutospacing="1"/>
        <w:rPr>
          <w:b/>
          <w:sz w:val="24"/>
          <w:szCs w:val="24"/>
        </w:rPr>
      </w:pPr>
      <w:r>
        <w:rPr>
          <w:b/>
          <w:sz w:val="24"/>
          <w:szCs w:val="24"/>
        </w:rPr>
        <w:t>Failure to comply with health and safety duty - category 3 Section 33, penalty</w:t>
      </w:r>
    </w:p>
    <w:p w14:paraId="029A5548" w14:textId="6C8AC712" w:rsidR="00D13601" w:rsidRPr="00ED443C" w:rsidRDefault="00D13601" w:rsidP="00363F02">
      <w:pPr>
        <w:rPr>
          <w:rFonts w:asciiTheme="minorHAnsi" w:hAnsiTheme="minorHAnsi" w:cstheme="minorHAnsi"/>
          <w:sz w:val="24"/>
          <w:szCs w:val="24"/>
        </w:rPr>
      </w:pPr>
      <w:r>
        <w:rPr>
          <w:rFonts w:asciiTheme="minorHAnsi" w:hAnsiTheme="minorHAnsi" w:cstheme="minorHAnsi"/>
          <w:sz w:val="24"/>
          <w:szCs w:val="24"/>
        </w:rPr>
        <w:t>As provided at Clause 8.</w:t>
      </w:r>
    </w:p>
    <w:p w14:paraId="4544317E" w14:textId="77777777" w:rsidR="00363F02" w:rsidRDefault="00363F02" w:rsidP="00363F02">
      <w:pPr>
        <w:numPr>
          <w:ilvl w:val="0"/>
          <w:numId w:val="1"/>
        </w:numPr>
        <w:spacing w:after="100" w:afterAutospacing="1"/>
        <w:rPr>
          <w:b/>
          <w:sz w:val="24"/>
          <w:szCs w:val="24"/>
        </w:rPr>
      </w:pPr>
      <w:r>
        <w:rPr>
          <w:b/>
          <w:sz w:val="24"/>
          <w:szCs w:val="24"/>
        </w:rPr>
        <w:t>Industrial manslaughter Section 34A(1), penalty, except note</w:t>
      </w:r>
    </w:p>
    <w:p w14:paraId="37C66ECF" w14:textId="759A6C7C" w:rsidR="00BB20D9" w:rsidRPr="00BB20D9" w:rsidRDefault="00BB20D9" w:rsidP="00BB20D9">
      <w:pPr>
        <w:spacing w:after="100" w:afterAutospacing="1"/>
        <w:rPr>
          <w:bCs/>
          <w:sz w:val="24"/>
          <w:szCs w:val="24"/>
        </w:rPr>
      </w:pPr>
      <w:r>
        <w:rPr>
          <w:bCs/>
          <w:sz w:val="24"/>
          <w:szCs w:val="24"/>
        </w:rPr>
        <w:t xml:space="preserve">This clause sets the offence provisions for an industrial manslaughter offence - increasing the maximum monetary penalty, expressed in penalty units as per the above, to $18 million.  The increase in the maximum monetary penalty reflects the seriousness of the offence and is consistent with the penalty for industrial manslaughter in the model WHS Act.  </w:t>
      </w:r>
    </w:p>
    <w:p w14:paraId="59E2DDC3" w14:textId="30ADB949" w:rsidR="00363F02" w:rsidRDefault="00D13601" w:rsidP="00601ACD">
      <w:pPr>
        <w:numPr>
          <w:ilvl w:val="0"/>
          <w:numId w:val="1"/>
        </w:numPr>
        <w:spacing w:after="100" w:afterAutospacing="1"/>
        <w:rPr>
          <w:b/>
          <w:sz w:val="24"/>
          <w:szCs w:val="24"/>
        </w:rPr>
      </w:pPr>
      <w:r>
        <w:rPr>
          <w:b/>
          <w:sz w:val="24"/>
          <w:szCs w:val="24"/>
        </w:rPr>
        <w:t>Contravening WHS entry permit conditions Section 123, penalty</w:t>
      </w:r>
    </w:p>
    <w:p w14:paraId="6C438D6C" w14:textId="5482C418" w:rsidR="00D13601" w:rsidRPr="00D13601" w:rsidRDefault="00D13601" w:rsidP="00D13601">
      <w:pPr>
        <w:spacing w:after="100" w:afterAutospacing="1"/>
        <w:rPr>
          <w:bCs/>
          <w:sz w:val="24"/>
          <w:szCs w:val="24"/>
        </w:rPr>
      </w:pPr>
      <w:r>
        <w:rPr>
          <w:bCs/>
          <w:sz w:val="24"/>
          <w:szCs w:val="24"/>
        </w:rPr>
        <w:t>As provided at Clause 8.</w:t>
      </w:r>
    </w:p>
    <w:p w14:paraId="2A31B0FA" w14:textId="79020072" w:rsidR="00E7499D" w:rsidRDefault="00E7499D" w:rsidP="00601ACD">
      <w:pPr>
        <w:numPr>
          <w:ilvl w:val="0"/>
          <w:numId w:val="1"/>
        </w:numPr>
        <w:spacing w:after="100" w:afterAutospacing="1"/>
        <w:rPr>
          <w:b/>
          <w:sz w:val="24"/>
          <w:szCs w:val="24"/>
        </w:rPr>
      </w:pPr>
      <w:r>
        <w:rPr>
          <w:b/>
          <w:sz w:val="24"/>
          <w:szCs w:val="24"/>
        </w:rPr>
        <w:lastRenderedPageBreak/>
        <w:t>Unauthorised use or disclosure of information or documents Section 148(d)</w:t>
      </w:r>
    </w:p>
    <w:p w14:paraId="679FCD48" w14:textId="5FB5D414" w:rsidR="00E7499D" w:rsidRPr="00E7499D" w:rsidRDefault="00E7499D" w:rsidP="00E7499D">
      <w:pPr>
        <w:spacing w:after="100" w:afterAutospacing="1"/>
        <w:rPr>
          <w:bCs/>
          <w:sz w:val="24"/>
          <w:szCs w:val="24"/>
        </w:rPr>
      </w:pPr>
      <w:r>
        <w:rPr>
          <w:bCs/>
          <w:sz w:val="24"/>
          <w:szCs w:val="24"/>
        </w:rPr>
        <w:t>This clause provides for a technical correction to reference of the (Cwlth)).</w:t>
      </w:r>
    </w:p>
    <w:p w14:paraId="763ECE07" w14:textId="36C477B8" w:rsidR="00A10C9A" w:rsidRDefault="00D13601" w:rsidP="00601ACD">
      <w:pPr>
        <w:numPr>
          <w:ilvl w:val="0"/>
          <w:numId w:val="1"/>
        </w:numPr>
        <w:spacing w:after="100" w:afterAutospacing="1"/>
        <w:rPr>
          <w:b/>
          <w:sz w:val="24"/>
          <w:szCs w:val="24"/>
        </w:rPr>
      </w:pPr>
      <w:r>
        <w:rPr>
          <w:b/>
          <w:sz w:val="24"/>
          <w:szCs w:val="24"/>
        </w:rPr>
        <w:t xml:space="preserve">Return of WHS entry permits Section 149(1), penalty </w:t>
      </w:r>
    </w:p>
    <w:p w14:paraId="71838B28" w14:textId="77777777" w:rsidR="00D13601" w:rsidRPr="00D13601" w:rsidRDefault="00D13601" w:rsidP="00D13601">
      <w:pPr>
        <w:spacing w:after="100" w:afterAutospacing="1"/>
        <w:rPr>
          <w:bCs/>
          <w:sz w:val="24"/>
          <w:szCs w:val="24"/>
        </w:rPr>
      </w:pPr>
      <w:r w:rsidRPr="00D13601">
        <w:rPr>
          <w:bCs/>
          <w:sz w:val="24"/>
          <w:szCs w:val="24"/>
        </w:rPr>
        <w:t>As provided at Clause 8.</w:t>
      </w:r>
    </w:p>
    <w:p w14:paraId="3A43206B" w14:textId="2A26821A" w:rsidR="00D13601" w:rsidRDefault="00D13601" w:rsidP="00D13601">
      <w:pPr>
        <w:numPr>
          <w:ilvl w:val="0"/>
          <w:numId w:val="1"/>
        </w:numPr>
        <w:spacing w:after="100" w:afterAutospacing="1"/>
        <w:rPr>
          <w:b/>
          <w:sz w:val="24"/>
          <w:szCs w:val="24"/>
        </w:rPr>
      </w:pPr>
      <w:r>
        <w:rPr>
          <w:b/>
          <w:sz w:val="24"/>
          <w:szCs w:val="24"/>
        </w:rPr>
        <w:t>Union to provide information to regulator Section 150, penalty</w:t>
      </w:r>
    </w:p>
    <w:p w14:paraId="0F85E04C" w14:textId="77777777" w:rsidR="00D13601" w:rsidRPr="00D13601" w:rsidRDefault="00D13601" w:rsidP="00D13601">
      <w:pPr>
        <w:spacing w:after="100" w:afterAutospacing="1"/>
        <w:rPr>
          <w:bCs/>
          <w:sz w:val="24"/>
          <w:szCs w:val="24"/>
        </w:rPr>
      </w:pPr>
      <w:r w:rsidRPr="00D13601">
        <w:rPr>
          <w:bCs/>
          <w:sz w:val="24"/>
          <w:szCs w:val="24"/>
        </w:rPr>
        <w:t>As provided at Clause 8.</w:t>
      </w:r>
    </w:p>
    <w:p w14:paraId="07BEB532" w14:textId="16287A26" w:rsidR="00D13601" w:rsidRDefault="00D13601" w:rsidP="00601ACD">
      <w:pPr>
        <w:numPr>
          <w:ilvl w:val="0"/>
          <w:numId w:val="1"/>
        </w:numPr>
        <w:spacing w:after="100" w:afterAutospacing="1"/>
        <w:rPr>
          <w:b/>
          <w:sz w:val="24"/>
          <w:szCs w:val="24"/>
        </w:rPr>
      </w:pPr>
      <w:r>
        <w:rPr>
          <w:b/>
          <w:sz w:val="24"/>
          <w:szCs w:val="24"/>
        </w:rPr>
        <w:t>Abrogation of privilege against self-incrimination Section 173(2)</w:t>
      </w:r>
    </w:p>
    <w:p w14:paraId="09ABD8E9" w14:textId="5314667E" w:rsidR="00D13601" w:rsidRPr="00D13601" w:rsidRDefault="00D13601" w:rsidP="00D13601">
      <w:pPr>
        <w:rPr>
          <w:bCs/>
          <w:sz w:val="24"/>
          <w:szCs w:val="24"/>
        </w:rPr>
      </w:pPr>
      <w:r>
        <w:rPr>
          <w:bCs/>
          <w:sz w:val="24"/>
          <w:szCs w:val="24"/>
        </w:rPr>
        <w:t xml:space="preserve">This clause provides a technical amendment to clarify that the abrogation of privilege against self-incrimination applies to an individual aligning with the terminology in the model WHS Act. </w:t>
      </w:r>
    </w:p>
    <w:p w14:paraId="79FA12B0" w14:textId="7703AE1E" w:rsidR="00D13601" w:rsidRDefault="00D13601" w:rsidP="00601ACD">
      <w:pPr>
        <w:numPr>
          <w:ilvl w:val="0"/>
          <w:numId w:val="1"/>
        </w:numPr>
        <w:spacing w:after="100" w:afterAutospacing="1"/>
        <w:rPr>
          <w:b/>
          <w:sz w:val="24"/>
          <w:szCs w:val="24"/>
        </w:rPr>
      </w:pPr>
      <w:r>
        <w:rPr>
          <w:b/>
          <w:sz w:val="24"/>
          <w:szCs w:val="24"/>
        </w:rPr>
        <w:t>Offence to assault, threaten or intimidate inspector Section 190, penalty</w:t>
      </w:r>
    </w:p>
    <w:p w14:paraId="61842D81" w14:textId="77777777" w:rsidR="00D13601" w:rsidRPr="00D13601" w:rsidRDefault="00D13601" w:rsidP="00D13601">
      <w:pPr>
        <w:spacing w:after="100" w:afterAutospacing="1"/>
        <w:rPr>
          <w:bCs/>
          <w:sz w:val="24"/>
          <w:szCs w:val="24"/>
        </w:rPr>
      </w:pPr>
      <w:r w:rsidRPr="00D13601">
        <w:rPr>
          <w:bCs/>
          <w:sz w:val="24"/>
          <w:szCs w:val="24"/>
        </w:rPr>
        <w:t>As provided at Clause 8.</w:t>
      </w:r>
    </w:p>
    <w:p w14:paraId="38A3E3CB" w14:textId="7B1295A4" w:rsidR="00211C29" w:rsidRDefault="00211C29" w:rsidP="00601ACD">
      <w:pPr>
        <w:numPr>
          <w:ilvl w:val="0"/>
          <w:numId w:val="1"/>
        </w:numPr>
        <w:spacing w:after="100" w:afterAutospacing="1"/>
        <w:rPr>
          <w:b/>
          <w:sz w:val="24"/>
          <w:szCs w:val="24"/>
        </w:rPr>
      </w:pPr>
      <w:r>
        <w:rPr>
          <w:b/>
          <w:sz w:val="24"/>
          <w:szCs w:val="24"/>
        </w:rPr>
        <w:t>Offence to impersonate inspector Section 189, penalty</w:t>
      </w:r>
    </w:p>
    <w:p w14:paraId="0F217B15" w14:textId="24552B11" w:rsidR="00211C29" w:rsidRPr="00211C29" w:rsidRDefault="00211C29" w:rsidP="00211C29">
      <w:pPr>
        <w:spacing w:after="100" w:afterAutospacing="1"/>
        <w:rPr>
          <w:bCs/>
          <w:sz w:val="24"/>
          <w:szCs w:val="24"/>
        </w:rPr>
      </w:pPr>
      <w:r>
        <w:rPr>
          <w:bCs/>
          <w:sz w:val="24"/>
          <w:szCs w:val="24"/>
        </w:rPr>
        <w:t xml:space="preserve">As provided at Clause 8. </w:t>
      </w:r>
    </w:p>
    <w:p w14:paraId="48BB3023" w14:textId="77777777" w:rsidR="00211C29" w:rsidRDefault="00211C29" w:rsidP="00601ACD">
      <w:pPr>
        <w:numPr>
          <w:ilvl w:val="0"/>
          <w:numId w:val="1"/>
        </w:numPr>
        <w:spacing w:after="100" w:afterAutospacing="1"/>
        <w:rPr>
          <w:b/>
          <w:sz w:val="24"/>
          <w:szCs w:val="24"/>
        </w:rPr>
      </w:pPr>
      <w:r>
        <w:rPr>
          <w:b/>
          <w:sz w:val="24"/>
          <w:szCs w:val="24"/>
        </w:rPr>
        <w:t>Offence to assault, threaten or intimidate inspector Section 190, penalty</w:t>
      </w:r>
    </w:p>
    <w:p w14:paraId="404B4320" w14:textId="0B248013" w:rsidR="00211C29" w:rsidRPr="00211C29" w:rsidRDefault="00211C29" w:rsidP="00211C29">
      <w:pPr>
        <w:spacing w:after="100" w:afterAutospacing="1"/>
        <w:rPr>
          <w:bCs/>
          <w:sz w:val="24"/>
          <w:szCs w:val="24"/>
        </w:rPr>
      </w:pPr>
      <w:r>
        <w:rPr>
          <w:bCs/>
          <w:sz w:val="24"/>
          <w:szCs w:val="24"/>
        </w:rPr>
        <w:t>As provided at Clause 8, noting that no amendment has been made to the maximum imprisonment penalty.</w:t>
      </w:r>
    </w:p>
    <w:p w14:paraId="3D678404" w14:textId="50329A03" w:rsidR="00D13601" w:rsidRDefault="00D13601" w:rsidP="00601ACD">
      <w:pPr>
        <w:numPr>
          <w:ilvl w:val="0"/>
          <w:numId w:val="1"/>
        </w:numPr>
        <w:spacing w:after="100" w:afterAutospacing="1"/>
        <w:rPr>
          <w:b/>
          <w:sz w:val="24"/>
          <w:szCs w:val="24"/>
        </w:rPr>
      </w:pPr>
      <w:r>
        <w:rPr>
          <w:b/>
          <w:sz w:val="24"/>
          <w:szCs w:val="24"/>
        </w:rPr>
        <w:t>Division 13.4 Offences by bodies corporate</w:t>
      </w:r>
    </w:p>
    <w:p w14:paraId="3B0A9A5B" w14:textId="77777777" w:rsidR="00CE7D5A" w:rsidRPr="00ED443C" w:rsidRDefault="00CE7D5A" w:rsidP="00CE7D5A">
      <w:pPr>
        <w:rPr>
          <w:rFonts w:asciiTheme="minorHAnsi" w:hAnsiTheme="minorHAnsi" w:cstheme="minorHAnsi"/>
          <w:b/>
          <w:bCs/>
          <w:color w:val="000000"/>
          <w:sz w:val="24"/>
          <w:szCs w:val="24"/>
        </w:rPr>
      </w:pPr>
      <w:r w:rsidRPr="00ED443C">
        <w:rPr>
          <w:rFonts w:asciiTheme="minorHAnsi" w:hAnsiTheme="minorHAnsi" w:cstheme="minorHAnsi"/>
          <w:b/>
          <w:bCs/>
          <w:color w:val="000000"/>
          <w:sz w:val="24"/>
          <w:szCs w:val="24"/>
        </w:rPr>
        <w:t xml:space="preserve">Section 244 Definitions </w:t>
      </w:r>
    </w:p>
    <w:p w14:paraId="20D06CCD" w14:textId="77777777" w:rsidR="00CE7D5A" w:rsidRPr="00ED443C" w:rsidRDefault="00CE7D5A" w:rsidP="00CE7D5A">
      <w:pPr>
        <w:rPr>
          <w:rFonts w:asciiTheme="minorHAnsi" w:hAnsiTheme="minorHAnsi" w:cstheme="minorHAnsi"/>
          <w:sz w:val="24"/>
          <w:szCs w:val="24"/>
        </w:rPr>
      </w:pPr>
      <w:r w:rsidRPr="00ED443C">
        <w:rPr>
          <w:rFonts w:asciiTheme="minorHAnsi" w:hAnsiTheme="minorHAnsi" w:cstheme="minorHAnsi"/>
          <w:color w:val="000000"/>
          <w:sz w:val="24"/>
          <w:szCs w:val="24"/>
        </w:rPr>
        <w:t xml:space="preserve">The new section 244 </w:t>
      </w:r>
      <w:r w:rsidRPr="00ED443C">
        <w:rPr>
          <w:rFonts w:asciiTheme="minorHAnsi" w:hAnsiTheme="minorHAnsi" w:cstheme="minorHAnsi"/>
          <w:sz w:val="24"/>
          <w:szCs w:val="24"/>
        </w:rPr>
        <w:t xml:space="preserve">defines key terms and concepts in sections 244A-244D. </w:t>
      </w:r>
    </w:p>
    <w:p w14:paraId="76EAC2D8" w14:textId="77777777" w:rsidR="00CE7D5A" w:rsidRPr="00ED443C" w:rsidRDefault="00CE7D5A" w:rsidP="00CE7D5A">
      <w:pPr>
        <w:ind w:left="720"/>
        <w:rPr>
          <w:rFonts w:asciiTheme="minorHAnsi" w:hAnsiTheme="minorHAnsi" w:cstheme="minorHAnsi"/>
          <w:color w:val="000000" w:themeColor="text1"/>
          <w:sz w:val="24"/>
          <w:szCs w:val="24"/>
        </w:rPr>
      </w:pPr>
      <w:r w:rsidRPr="00ED443C">
        <w:rPr>
          <w:rFonts w:asciiTheme="minorHAnsi" w:hAnsiTheme="minorHAnsi" w:cstheme="minorHAnsi"/>
          <w:b/>
          <w:bCs/>
          <w:i/>
          <w:iCs/>
          <w:color w:val="000000" w:themeColor="text1"/>
          <w:sz w:val="24"/>
          <w:szCs w:val="24"/>
        </w:rPr>
        <w:t>Authorised person</w:t>
      </w:r>
      <w:r w:rsidRPr="00ED443C">
        <w:rPr>
          <w:rFonts w:asciiTheme="minorHAnsi" w:hAnsiTheme="minorHAnsi" w:cstheme="minorHAnsi"/>
          <w:color w:val="000000" w:themeColor="text1"/>
          <w:sz w:val="24"/>
          <w:szCs w:val="24"/>
        </w:rPr>
        <w:t xml:space="preserve"> for a body corporate is defined to mean an officer, employee or agent of the body corporate acting within the officer’s, employee’s or agent’s actual or apparent authority. </w:t>
      </w:r>
    </w:p>
    <w:p w14:paraId="2741D886" w14:textId="77777777" w:rsidR="00CE7D5A" w:rsidRPr="00ED443C" w:rsidRDefault="00CE7D5A" w:rsidP="00CE7D5A">
      <w:pPr>
        <w:ind w:left="720"/>
        <w:rPr>
          <w:rFonts w:asciiTheme="minorHAnsi" w:hAnsiTheme="minorHAnsi" w:cstheme="minorHAnsi"/>
          <w:color w:val="000000" w:themeColor="text1"/>
          <w:sz w:val="24"/>
          <w:szCs w:val="24"/>
        </w:rPr>
      </w:pPr>
      <w:r w:rsidRPr="00B02804">
        <w:rPr>
          <w:rFonts w:asciiTheme="minorHAnsi" w:hAnsiTheme="minorHAnsi" w:cstheme="minorHAnsi"/>
          <w:color w:val="000000" w:themeColor="text1"/>
          <w:sz w:val="24"/>
          <w:szCs w:val="24"/>
        </w:rPr>
        <w:lastRenderedPageBreak/>
        <w:t xml:space="preserve">The definition of ‘authorised person’ incorporates the common law doctrine of actual and </w:t>
      </w:r>
      <w:r w:rsidRPr="00B02804">
        <w:rPr>
          <w:sz w:val="24"/>
          <w:szCs w:val="24"/>
        </w:rPr>
        <w:t>apparent authority. A person’s actual or apparent authority may extend beyond the actual or apparent scope of his or her employment.</w:t>
      </w:r>
      <w:r w:rsidRPr="00ED443C">
        <w:rPr>
          <w:rStyle w:val="cf01"/>
          <w:rFonts w:asciiTheme="minorHAnsi" w:hAnsiTheme="minorHAnsi" w:cstheme="minorHAnsi"/>
          <w:color w:val="000000" w:themeColor="text1"/>
          <w:sz w:val="24"/>
          <w:szCs w:val="24"/>
        </w:rPr>
        <w:t xml:space="preserve"> </w:t>
      </w:r>
    </w:p>
    <w:p w14:paraId="241C507E" w14:textId="77777777" w:rsidR="00CE7D5A" w:rsidRPr="00ED443C" w:rsidRDefault="00CE7D5A" w:rsidP="00CE7D5A">
      <w:pPr>
        <w:ind w:left="720"/>
        <w:rPr>
          <w:rFonts w:asciiTheme="minorHAnsi" w:hAnsiTheme="minorHAnsi" w:cstheme="minorHAnsi"/>
          <w:color w:val="000000" w:themeColor="text1"/>
          <w:sz w:val="24"/>
          <w:szCs w:val="24"/>
        </w:rPr>
      </w:pPr>
      <w:r w:rsidRPr="00ED443C">
        <w:rPr>
          <w:rFonts w:asciiTheme="minorHAnsi" w:hAnsiTheme="minorHAnsi" w:cstheme="minorHAnsi"/>
          <w:color w:val="000000" w:themeColor="text1"/>
          <w:sz w:val="24"/>
          <w:szCs w:val="24"/>
        </w:rPr>
        <w:t>Actual authority derives from the relationship between the principal and the agent (</w:t>
      </w:r>
      <w:r w:rsidRPr="00ED443C">
        <w:rPr>
          <w:rFonts w:asciiTheme="minorHAnsi" w:hAnsiTheme="minorHAnsi" w:cstheme="minorHAnsi"/>
          <w:i/>
          <w:iCs/>
          <w:color w:val="000000" w:themeColor="text1"/>
          <w:sz w:val="24"/>
          <w:szCs w:val="24"/>
        </w:rPr>
        <w:t xml:space="preserve">Freeman and Lockyer v Buckhurst Park Properties (Mangal) Ltd </w:t>
      </w:r>
      <w:r w:rsidRPr="00ED443C">
        <w:rPr>
          <w:rFonts w:asciiTheme="minorHAnsi" w:hAnsiTheme="minorHAnsi" w:cstheme="minorHAnsi"/>
          <w:color w:val="000000" w:themeColor="text1"/>
          <w:sz w:val="24"/>
          <w:szCs w:val="24"/>
        </w:rPr>
        <w:t xml:space="preserve">[1964] 2 QB 480 [502]). Apparent authority is created by the relationship between the principal and the third party: </w:t>
      </w:r>
    </w:p>
    <w:p w14:paraId="6D48B402" w14:textId="77777777" w:rsidR="00CE7D5A" w:rsidRPr="00ED443C" w:rsidRDefault="00CE7D5A" w:rsidP="00CE7D5A">
      <w:pPr>
        <w:ind w:left="720"/>
        <w:rPr>
          <w:rFonts w:asciiTheme="minorHAnsi" w:hAnsiTheme="minorHAnsi" w:cstheme="minorHAnsi"/>
          <w:color w:val="000000" w:themeColor="text1"/>
          <w:sz w:val="24"/>
          <w:szCs w:val="24"/>
        </w:rPr>
      </w:pPr>
      <w:r w:rsidRPr="00ED443C">
        <w:rPr>
          <w:rFonts w:asciiTheme="minorHAnsi" w:hAnsiTheme="minorHAnsi" w:cstheme="minorHAnsi"/>
          <w:color w:val="000000" w:themeColor="text1"/>
          <w:sz w:val="24"/>
          <w:szCs w:val="24"/>
        </w:rPr>
        <w:t>An ‘apparent’ or ‘ostensible’ authority, on the other hand, is a legal relationship between the principal and the contractor created by a representation, made by the principal to the contractor, intended to be and in fact acted upon by the contractor, that the agent has authority to enter on behalf of the principal into a contract of a kind within the scope of the ‘apparent’ authority, so as to render the principal liable to perform any obligations imposed upon him by such contract (</w:t>
      </w:r>
      <w:r w:rsidRPr="00ED443C">
        <w:rPr>
          <w:rFonts w:asciiTheme="minorHAnsi" w:hAnsiTheme="minorHAnsi" w:cstheme="minorHAnsi"/>
          <w:i/>
          <w:iCs/>
          <w:color w:val="000000" w:themeColor="text1"/>
          <w:sz w:val="24"/>
          <w:szCs w:val="24"/>
        </w:rPr>
        <w:t>Freeman and Lockyer v Buckhurst Park Properties (Mangal) Ltd</w:t>
      </w:r>
      <w:r w:rsidRPr="00ED443C">
        <w:rPr>
          <w:rFonts w:asciiTheme="minorHAnsi" w:hAnsiTheme="minorHAnsi" w:cstheme="minorHAnsi"/>
          <w:color w:val="000000" w:themeColor="text1"/>
          <w:sz w:val="24"/>
          <w:szCs w:val="24"/>
        </w:rPr>
        <w:t xml:space="preserve"> [1964] 2 QB 480 [502]). </w:t>
      </w:r>
    </w:p>
    <w:p w14:paraId="192EA073" w14:textId="77777777" w:rsidR="00CE7D5A" w:rsidRPr="00ED443C" w:rsidRDefault="00CE7D5A" w:rsidP="00CE7D5A">
      <w:pPr>
        <w:ind w:left="720"/>
        <w:rPr>
          <w:rFonts w:asciiTheme="minorHAnsi" w:hAnsiTheme="minorHAnsi" w:cstheme="minorHAnsi"/>
          <w:sz w:val="24"/>
          <w:szCs w:val="24"/>
        </w:rPr>
      </w:pPr>
      <w:r w:rsidRPr="00ED443C">
        <w:rPr>
          <w:rFonts w:asciiTheme="minorHAnsi" w:hAnsiTheme="minorHAnsi" w:cstheme="minorHAnsi"/>
          <w:b/>
          <w:bCs/>
          <w:i/>
          <w:iCs/>
          <w:sz w:val="24"/>
          <w:szCs w:val="24"/>
        </w:rPr>
        <w:t>Board of directors</w:t>
      </w:r>
      <w:r w:rsidRPr="00ED443C">
        <w:rPr>
          <w:rFonts w:asciiTheme="minorHAnsi" w:hAnsiTheme="minorHAnsi" w:cstheme="minorHAnsi"/>
          <w:sz w:val="24"/>
          <w:szCs w:val="24"/>
        </w:rPr>
        <w:t xml:space="preserve"> is defined to mean the body, whatever it is called, exercising the </w:t>
      </w:r>
      <w:r w:rsidRPr="00ED443C">
        <w:rPr>
          <w:rFonts w:asciiTheme="minorHAnsi" w:hAnsiTheme="minorHAnsi" w:cstheme="minorHAnsi"/>
          <w:color w:val="000000" w:themeColor="text1"/>
          <w:sz w:val="24"/>
          <w:szCs w:val="24"/>
        </w:rPr>
        <w:t xml:space="preserve">executive authority </w:t>
      </w:r>
      <w:r w:rsidRPr="00ED443C">
        <w:rPr>
          <w:rFonts w:asciiTheme="minorHAnsi" w:hAnsiTheme="minorHAnsi" w:cstheme="minorHAnsi"/>
          <w:sz w:val="24"/>
          <w:szCs w:val="24"/>
        </w:rPr>
        <w:t xml:space="preserve">of the body corporate. </w:t>
      </w:r>
    </w:p>
    <w:p w14:paraId="2E75BE1A" w14:textId="77777777" w:rsidR="00CE7D5A" w:rsidRPr="00ED443C" w:rsidRDefault="00CE7D5A" w:rsidP="00CE7D5A">
      <w:pPr>
        <w:rPr>
          <w:rFonts w:asciiTheme="minorHAnsi" w:hAnsiTheme="minorHAnsi" w:cstheme="minorHAnsi"/>
          <w:b/>
          <w:bCs/>
          <w:sz w:val="24"/>
          <w:szCs w:val="24"/>
        </w:rPr>
      </w:pPr>
      <w:r w:rsidRPr="00ED443C">
        <w:rPr>
          <w:rFonts w:asciiTheme="minorHAnsi" w:hAnsiTheme="minorHAnsi" w:cstheme="minorHAnsi"/>
          <w:b/>
          <w:bCs/>
          <w:sz w:val="24"/>
          <w:szCs w:val="24"/>
        </w:rPr>
        <w:t xml:space="preserve">Section 244A Physical elements </w:t>
      </w:r>
    </w:p>
    <w:p w14:paraId="760AC129" w14:textId="77777777" w:rsidR="00CE7D5A" w:rsidRPr="00ED443C" w:rsidRDefault="00CE7D5A" w:rsidP="0013480A">
      <w:pPr>
        <w:spacing w:after="120"/>
        <w:rPr>
          <w:rFonts w:asciiTheme="minorHAnsi" w:hAnsiTheme="minorHAnsi" w:cstheme="minorHAnsi"/>
          <w:sz w:val="24"/>
          <w:szCs w:val="24"/>
        </w:rPr>
      </w:pPr>
      <w:r w:rsidRPr="00ED443C">
        <w:rPr>
          <w:rFonts w:asciiTheme="minorHAnsi" w:hAnsiTheme="minorHAnsi" w:cstheme="minorHAnsi"/>
          <w:sz w:val="24"/>
          <w:szCs w:val="24"/>
        </w:rPr>
        <w:t xml:space="preserve">The new section 244A explains how the physical elements of an offence are attributed to a body corporate. Section 244A allows for the physical elements of an offence to be taken to have been committed by a body corporate if the conduct is committed by: </w:t>
      </w:r>
    </w:p>
    <w:p w14:paraId="15A13A4F" w14:textId="77777777" w:rsidR="00CE7D5A" w:rsidRPr="00ED443C" w:rsidRDefault="00CE7D5A" w:rsidP="0013480A">
      <w:pPr>
        <w:pStyle w:val="ListParagraph"/>
        <w:numPr>
          <w:ilvl w:val="0"/>
          <w:numId w:val="24"/>
        </w:numPr>
        <w:spacing w:after="120" w:line="256" w:lineRule="auto"/>
        <w:rPr>
          <w:rFonts w:asciiTheme="minorHAnsi" w:hAnsiTheme="minorHAnsi" w:cstheme="minorHAnsi"/>
          <w:sz w:val="24"/>
          <w:szCs w:val="24"/>
        </w:rPr>
      </w:pPr>
      <w:r w:rsidRPr="00ED443C">
        <w:rPr>
          <w:rFonts w:asciiTheme="minorHAnsi" w:hAnsiTheme="minorHAnsi" w:cstheme="minorHAnsi"/>
          <w:sz w:val="24"/>
          <w:szCs w:val="24"/>
        </w:rPr>
        <w:t xml:space="preserve">the body corporate’s board of directors; or </w:t>
      </w:r>
    </w:p>
    <w:p w14:paraId="65469847" w14:textId="77777777" w:rsidR="00CE7D5A" w:rsidRPr="00ED443C" w:rsidRDefault="00CE7D5A" w:rsidP="0013480A">
      <w:pPr>
        <w:pStyle w:val="ListParagraph"/>
        <w:numPr>
          <w:ilvl w:val="0"/>
          <w:numId w:val="24"/>
        </w:numPr>
        <w:spacing w:after="120" w:line="256" w:lineRule="auto"/>
        <w:rPr>
          <w:rFonts w:asciiTheme="minorHAnsi" w:hAnsiTheme="minorHAnsi" w:cstheme="minorHAnsi"/>
          <w:sz w:val="24"/>
          <w:szCs w:val="24"/>
        </w:rPr>
      </w:pPr>
      <w:r w:rsidRPr="00ED443C">
        <w:rPr>
          <w:rFonts w:asciiTheme="minorHAnsi" w:hAnsiTheme="minorHAnsi" w:cstheme="minorHAnsi"/>
          <w:sz w:val="24"/>
          <w:szCs w:val="24"/>
        </w:rPr>
        <w:t>1 or more authorised persons; or</w:t>
      </w:r>
    </w:p>
    <w:p w14:paraId="604CC2BE" w14:textId="77777777" w:rsidR="00CE7D5A" w:rsidRPr="00ED443C" w:rsidRDefault="00CE7D5A" w:rsidP="0013480A">
      <w:pPr>
        <w:pStyle w:val="ListParagraph"/>
        <w:numPr>
          <w:ilvl w:val="0"/>
          <w:numId w:val="24"/>
        </w:numPr>
        <w:spacing w:after="120" w:line="256" w:lineRule="auto"/>
        <w:rPr>
          <w:rFonts w:asciiTheme="minorHAnsi" w:hAnsiTheme="minorHAnsi" w:cstheme="minorHAnsi"/>
          <w:sz w:val="24"/>
          <w:szCs w:val="24"/>
        </w:rPr>
      </w:pPr>
      <w:r w:rsidRPr="00ED443C">
        <w:rPr>
          <w:rFonts w:asciiTheme="minorHAnsi" w:hAnsiTheme="minorHAnsi" w:cstheme="minorHAnsi"/>
          <w:sz w:val="24"/>
          <w:szCs w:val="24"/>
        </w:rPr>
        <w:t xml:space="preserve">1 or more persons acting at the direction of or with the express or implied agreement or consent of: </w:t>
      </w:r>
    </w:p>
    <w:p w14:paraId="7BD7E2E3" w14:textId="77777777" w:rsidR="00CE7D5A" w:rsidRPr="00ED443C" w:rsidRDefault="00CE7D5A" w:rsidP="0013480A">
      <w:pPr>
        <w:pStyle w:val="ListParagraph"/>
        <w:numPr>
          <w:ilvl w:val="1"/>
          <w:numId w:val="24"/>
        </w:numPr>
        <w:spacing w:after="120" w:line="256" w:lineRule="auto"/>
        <w:rPr>
          <w:rFonts w:asciiTheme="minorHAnsi" w:hAnsiTheme="minorHAnsi" w:cstheme="minorHAnsi"/>
          <w:sz w:val="24"/>
          <w:szCs w:val="24"/>
        </w:rPr>
      </w:pPr>
      <w:r w:rsidRPr="00ED443C">
        <w:rPr>
          <w:rFonts w:asciiTheme="minorHAnsi" w:hAnsiTheme="minorHAnsi" w:cstheme="minorHAnsi"/>
          <w:sz w:val="24"/>
          <w:szCs w:val="24"/>
        </w:rPr>
        <w:t xml:space="preserve">an authorised person, or </w:t>
      </w:r>
    </w:p>
    <w:p w14:paraId="242825F0" w14:textId="77777777" w:rsidR="00CE7D5A" w:rsidRPr="00ED443C" w:rsidRDefault="00CE7D5A" w:rsidP="00CE7D5A">
      <w:pPr>
        <w:pStyle w:val="ListParagraph"/>
        <w:numPr>
          <w:ilvl w:val="1"/>
          <w:numId w:val="24"/>
        </w:numPr>
        <w:spacing w:after="160" w:line="256" w:lineRule="auto"/>
        <w:contextualSpacing/>
        <w:rPr>
          <w:rFonts w:asciiTheme="minorHAnsi" w:hAnsiTheme="minorHAnsi" w:cstheme="minorHAnsi"/>
          <w:sz w:val="24"/>
          <w:szCs w:val="24"/>
        </w:rPr>
      </w:pPr>
      <w:r w:rsidRPr="00ED443C">
        <w:rPr>
          <w:rFonts w:asciiTheme="minorHAnsi" w:hAnsiTheme="minorHAnsi" w:cstheme="minorHAnsi"/>
          <w:sz w:val="24"/>
          <w:szCs w:val="24"/>
        </w:rPr>
        <w:t>the body corporate’s board of directors.</w:t>
      </w:r>
    </w:p>
    <w:p w14:paraId="33442B40" w14:textId="66D18A2F" w:rsidR="00CE7D5A" w:rsidRPr="00ED443C" w:rsidRDefault="00CE7D5A" w:rsidP="00CE7D5A">
      <w:pPr>
        <w:rPr>
          <w:rFonts w:asciiTheme="minorHAnsi" w:hAnsiTheme="minorHAnsi" w:cstheme="minorHAnsi"/>
          <w:b/>
          <w:bCs/>
          <w:sz w:val="24"/>
          <w:szCs w:val="24"/>
        </w:rPr>
      </w:pPr>
      <w:r w:rsidRPr="00ED443C">
        <w:rPr>
          <w:rFonts w:asciiTheme="minorHAnsi" w:hAnsiTheme="minorHAnsi" w:cstheme="minorHAnsi"/>
          <w:b/>
          <w:bCs/>
          <w:sz w:val="24"/>
          <w:szCs w:val="24"/>
        </w:rPr>
        <w:t>Section 244B Fault element</w:t>
      </w:r>
      <w:r w:rsidR="00B02804">
        <w:rPr>
          <w:rFonts w:asciiTheme="minorHAnsi" w:hAnsiTheme="minorHAnsi" w:cstheme="minorHAnsi"/>
          <w:b/>
          <w:bCs/>
          <w:sz w:val="24"/>
          <w:szCs w:val="24"/>
        </w:rPr>
        <w:t>s</w:t>
      </w:r>
      <w:r w:rsidRPr="00ED443C">
        <w:rPr>
          <w:rFonts w:asciiTheme="minorHAnsi" w:hAnsiTheme="minorHAnsi" w:cstheme="minorHAnsi"/>
          <w:b/>
          <w:bCs/>
          <w:sz w:val="24"/>
          <w:szCs w:val="24"/>
        </w:rPr>
        <w:t xml:space="preserve"> </w:t>
      </w:r>
      <w:r w:rsidR="00B02804">
        <w:rPr>
          <w:rFonts w:asciiTheme="minorHAnsi" w:hAnsiTheme="minorHAnsi" w:cstheme="minorHAnsi"/>
          <w:b/>
          <w:bCs/>
          <w:sz w:val="24"/>
          <w:szCs w:val="24"/>
        </w:rPr>
        <w:t>other than negligence</w:t>
      </w:r>
    </w:p>
    <w:p w14:paraId="593BFF87" w14:textId="77777777" w:rsidR="00CE7D5A" w:rsidRPr="00ED443C" w:rsidRDefault="00CE7D5A" w:rsidP="00CE7D5A">
      <w:pPr>
        <w:rPr>
          <w:rFonts w:asciiTheme="minorHAnsi" w:hAnsiTheme="minorHAnsi" w:cstheme="minorHAnsi"/>
          <w:sz w:val="24"/>
          <w:szCs w:val="24"/>
        </w:rPr>
      </w:pPr>
      <w:r w:rsidRPr="00ED443C">
        <w:rPr>
          <w:rFonts w:asciiTheme="minorHAnsi" w:hAnsiTheme="minorHAnsi" w:cstheme="minorHAnsi"/>
          <w:sz w:val="24"/>
          <w:szCs w:val="24"/>
        </w:rPr>
        <w:t xml:space="preserve">The new section 244B explains how the fault elements of an offence are attributed to a body corporate. Where it is necessary to establish a state of mind (fault element) of a body corporate in relation to the commission of the physical element of an offence, subsection 244B(1) provides that it is sufficient to show: </w:t>
      </w:r>
    </w:p>
    <w:p w14:paraId="6DC6D09B" w14:textId="77777777" w:rsidR="00CE7D5A" w:rsidRPr="00ED443C" w:rsidRDefault="00CE7D5A" w:rsidP="0013480A">
      <w:pPr>
        <w:pStyle w:val="ListParagraph"/>
        <w:numPr>
          <w:ilvl w:val="0"/>
          <w:numId w:val="25"/>
        </w:numPr>
        <w:spacing w:after="120" w:line="257" w:lineRule="auto"/>
        <w:ind w:hanging="357"/>
        <w:rPr>
          <w:rFonts w:asciiTheme="minorHAnsi" w:hAnsiTheme="minorHAnsi" w:cstheme="minorHAnsi"/>
          <w:sz w:val="24"/>
          <w:szCs w:val="24"/>
        </w:rPr>
      </w:pPr>
      <w:r w:rsidRPr="00ED443C">
        <w:rPr>
          <w:rFonts w:asciiTheme="minorHAnsi" w:hAnsiTheme="minorHAnsi" w:cstheme="minorHAnsi"/>
          <w:sz w:val="24"/>
          <w:szCs w:val="24"/>
        </w:rPr>
        <w:t xml:space="preserve">the body corporate’s board of directors: </w:t>
      </w:r>
    </w:p>
    <w:p w14:paraId="7F3DC018" w14:textId="7E7A7F2D" w:rsidR="00CE7D5A" w:rsidRPr="00ED443C" w:rsidRDefault="00B02804" w:rsidP="0013480A">
      <w:pPr>
        <w:pStyle w:val="ListParagraph"/>
        <w:numPr>
          <w:ilvl w:val="1"/>
          <w:numId w:val="25"/>
        </w:numPr>
        <w:spacing w:after="120" w:line="257" w:lineRule="auto"/>
        <w:ind w:hanging="357"/>
        <w:rPr>
          <w:rFonts w:asciiTheme="minorHAnsi" w:hAnsiTheme="minorHAnsi" w:cstheme="minorHAnsi"/>
          <w:sz w:val="24"/>
          <w:szCs w:val="24"/>
        </w:rPr>
      </w:pPr>
      <w:r>
        <w:rPr>
          <w:rFonts w:asciiTheme="minorHAnsi" w:hAnsiTheme="minorHAnsi" w:cstheme="minorHAnsi"/>
          <w:sz w:val="24"/>
          <w:szCs w:val="24"/>
        </w:rPr>
        <w:lastRenderedPageBreak/>
        <w:t>engaged in the conduct constituting the offence and had that state of mind in relation to the physical element of the offence; or</w:t>
      </w:r>
      <w:r w:rsidR="00CE7D5A" w:rsidRPr="00ED443C">
        <w:rPr>
          <w:rFonts w:asciiTheme="minorHAnsi" w:hAnsiTheme="minorHAnsi" w:cstheme="minorHAnsi"/>
          <w:sz w:val="24"/>
          <w:szCs w:val="24"/>
        </w:rPr>
        <w:t xml:space="preserve"> </w:t>
      </w:r>
    </w:p>
    <w:p w14:paraId="7EFF473C" w14:textId="77777777" w:rsidR="00CE7D5A" w:rsidRPr="00ED443C" w:rsidRDefault="00CE7D5A" w:rsidP="0013480A">
      <w:pPr>
        <w:pStyle w:val="ListParagraph"/>
        <w:numPr>
          <w:ilvl w:val="1"/>
          <w:numId w:val="25"/>
        </w:numPr>
        <w:spacing w:after="120" w:line="257" w:lineRule="auto"/>
        <w:ind w:hanging="357"/>
        <w:rPr>
          <w:rFonts w:asciiTheme="minorHAnsi" w:hAnsiTheme="minorHAnsi" w:cstheme="minorHAnsi"/>
          <w:sz w:val="24"/>
          <w:szCs w:val="24"/>
        </w:rPr>
      </w:pPr>
      <w:r w:rsidRPr="00ED443C">
        <w:rPr>
          <w:rFonts w:asciiTheme="minorHAnsi" w:hAnsiTheme="minorHAnsi" w:cstheme="minorHAnsi"/>
          <w:sz w:val="24"/>
          <w:szCs w:val="24"/>
        </w:rPr>
        <w:t xml:space="preserve">expressly, tacitly or impliedly authorised or permitted the carrying out of the conduct constituting the physical element of the offence; or </w:t>
      </w:r>
    </w:p>
    <w:p w14:paraId="225CC601" w14:textId="551EB457" w:rsidR="00CE7D5A" w:rsidRPr="00ED443C" w:rsidRDefault="00CE7D5A" w:rsidP="0013480A">
      <w:pPr>
        <w:pStyle w:val="ListParagraph"/>
        <w:numPr>
          <w:ilvl w:val="0"/>
          <w:numId w:val="25"/>
        </w:numPr>
        <w:spacing w:after="120" w:line="257" w:lineRule="auto"/>
        <w:ind w:hanging="357"/>
        <w:rPr>
          <w:rFonts w:asciiTheme="minorHAnsi" w:hAnsiTheme="minorHAnsi" w:cstheme="minorHAnsi"/>
          <w:sz w:val="24"/>
          <w:szCs w:val="24"/>
        </w:rPr>
      </w:pPr>
      <w:r w:rsidRPr="00ED443C">
        <w:rPr>
          <w:rFonts w:asciiTheme="minorHAnsi" w:hAnsiTheme="minorHAnsi" w:cstheme="minorHAnsi"/>
          <w:sz w:val="24"/>
          <w:szCs w:val="24"/>
        </w:rPr>
        <w:t>an authorised person</w:t>
      </w:r>
      <w:r w:rsidR="00B02804">
        <w:rPr>
          <w:rFonts w:asciiTheme="minorHAnsi" w:hAnsiTheme="minorHAnsi" w:cstheme="minorHAnsi"/>
          <w:sz w:val="24"/>
          <w:szCs w:val="24"/>
        </w:rPr>
        <w:t xml:space="preserve"> for the body corporate</w:t>
      </w:r>
      <w:r w:rsidRPr="00ED443C">
        <w:rPr>
          <w:rFonts w:asciiTheme="minorHAnsi" w:hAnsiTheme="minorHAnsi" w:cstheme="minorHAnsi"/>
          <w:sz w:val="24"/>
          <w:szCs w:val="24"/>
        </w:rPr>
        <w:t xml:space="preserve">: </w:t>
      </w:r>
    </w:p>
    <w:p w14:paraId="5C24DBEB" w14:textId="15F94AE5" w:rsidR="00CE7D5A" w:rsidRDefault="00B02804" w:rsidP="0013480A">
      <w:pPr>
        <w:pStyle w:val="ListParagraph"/>
        <w:numPr>
          <w:ilvl w:val="1"/>
          <w:numId w:val="25"/>
        </w:numPr>
        <w:spacing w:after="120" w:line="257" w:lineRule="auto"/>
        <w:ind w:hanging="357"/>
        <w:rPr>
          <w:rFonts w:asciiTheme="minorHAnsi" w:hAnsiTheme="minorHAnsi" w:cstheme="minorHAnsi"/>
          <w:sz w:val="24"/>
          <w:szCs w:val="24"/>
        </w:rPr>
      </w:pPr>
      <w:r>
        <w:rPr>
          <w:rFonts w:asciiTheme="minorHAnsi" w:hAnsiTheme="minorHAnsi" w:cstheme="minorHAnsi"/>
          <w:sz w:val="24"/>
          <w:szCs w:val="24"/>
        </w:rPr>
        <w:t>engaged in the conduct constituting the offence and had that state of mind in relation to the physical element of the offence</w:t>
      </w:r>
      <w:r w:rsidR="00CE7D5A" w:rsidRPr="00ED443C">
        <w:rPr>
          <w:rFonts w:asciiTheme="minorHAnsi" w:hAnsiTheme="minorHAnsi" w:cstheme="minorHAnsi"/>
          <w:sz w:val="24"/>
          <w:szCs w:val="24"/>
        </w:rPr>
        <w:t xml:space="preserve">; or </w:t>
      </w:r>
    </w:p>
    <w:p w14:paraId="64BD33E4" w14:textId="4BBBD854" w:rsidR="00B02804" w:rsidRPr="00ED443C" w:rsidRDefault="00B02804" w:rsidP="0013480A">
      <w:pPr>
        <w:pStyle w:val="ListParagraph"/>
        <w:numPr>
          <w:ilvl w:val="1"/>
          <w:numId w:val="25"/>
        </w:numPr>
        <w:spacing w:after="120" w:line="257" w:lineRule="auto"/>
        <w:ind w:hanging="357"/>
        <w:rPr>
          <w:rFonts w:asciiTheme="minorHAnsi" w:hAnsiTheme="minorHAnsi" w:cstheme="minorHAnsi"/>
          <w:sz w:val="24"/>
          <w:szCs w:val="24"/>
        </w:rPr>
      </w:pPr>
      <w:r w:rsidRPr="00ED443C">
        <w:rPr>
          <w:rFonts w:asciiTheme="minorHAnsi" w:hAnsiTheme="minorHAnsi" w:cstheme="minorHAnsi"/>
          <w:sz w:val="24"/>
          <w:szCs w:val="24"/>
        </w:rPr>
        <w:t>expressly, tacitly or impliedly authorised or permitted the carrying out of the conduct constituting the physical element of the offence</w:t>
      </w:r>
      <w:r>
        <w:rPr>
          <w:rFonts w:asciiTheme="minorHAnsi" w:hAnsiTheme="minorHAnsi" w:cstheme="minorHAnsi"/>
          <w:sz w:val="24"/>
          <w:szCs w:val="24"/>
        </w:rPr>
        <w:t>; or</w:t>
      </w:r>
    </w:p>
    <w:p w14:paraId="0D15B21F" w14:textId="77777777" w:rsidR="00CE7D5A" w:rsidRPr="00ED443C" w:rsidRDefault="00CE7D5A" w:rsidP="00CE7D5A">
      <w:pPr>
        <w:pStyle w:val="ListParagraph"/>
        <w:numPr>
          <w:ilvl w:val="0"/>
          <w:numId w:val="25"/>
        </w:numPr>
        <w:spacing w:after="160" w:line="256" w:lineRule="auto"/>
        <w:contextualSpacing/>
        <w:rPr>
          <w:rFonts w:asciiTheme="minorHAnsi" w:hAnsiTheme="minorHAnsi" w:cstheme="minorHAnsi"/>
          <w:sz w:val="24"/>
          <w:szCs w:val="24"/>
        </w:rPr>
      </w:pPr>
      <w:r w:rsidRPr="00ED443C">
        <w:rPr>
          <w:rFonts w:asciiTheme="minorHAnsi" w:hAnsiTheme="minorHAnsi" w:cstheme="minorHAnsi"/>
          <w:sz w:val="24"/>
          <w:szCs w:val="24"/>
        </w:rPr>
        <w:t xml:space="preserve">a corporate culture existed within the body corporate that directed, encouraged, tolerated or led to the carrying out of the conduct constituting the physical element of the offence. </w:t>
      </w:r>
    </w:p>
    <w:p w14:paraId="1D1E1125" w14:textId="7B3645C1" w:rsidR="00CE7D5A" w:rsidRDefault="00CE7D5A" w:rsidP="00CE7D5A">
      <w:pPr>
        <w:rPr>
          <w:rFonts w:asciiTheme="minorHAnsi" w:hAnsiTheme="minorHAnsi" w:cstheme="minorHAnsi"/>
          <w:sz w:val="24"/>
          <w:szCs w:val="24"/>
        </w:rPr>
      </w:pPr>
      <w:r w:rsidRPr="00ED443C">
        <w:rPr>
          <w:rFonts w:asciiTheme="minorHAnsi" w:hAnsiTheme="minorHAnsi" w:cstheme="minorHAnsi"/>
          <w:sz w:val="24"/>
          <w:szCs w:val="24"/>
        </w:rPr>
        <w:t xml:space="preserve">Subsection 244B(2) establishes that paragraphs </w:t>
      </w:r>
      <w:r w:rsidR="00B02804">
        <w:rPr>
          <w:rFonts w:asciiTheme="minorHAnsi" w:hAnsiTheme="minorHAnsi" w:cstheme="minorHAnsi"/>
          <w:sz w:val="24"/>
          <w:szCs w:val="24"/>
        </w:rPr>
        <w:t>244</w:t>
      </w:r>
      <w:r w:rsidRPr="00ED443C">
        <w:rPr>
          <w:rFonts w:asciiTheme="minorHAnsi" w:hAnsiTheme="minorHAnsi" w:cstheme="minorHAnsi"/>
          <w:sz w:val="24"/>
          <w:szCs w:val="24"/>
        </w:rPr>
        <w:t xml:space="preserve">(1)(b) and (c) do not apply if the body corporate proves it took reasonable precautions to prevent the conduct, authorisation or permission of the conduct. </w:t>
      </w:r>
    </w:p>
    <w:p w14:paraId="35F10870" w14:textId="31E6D662" w:rsidR="00B02804" w:rsidRDefault="00B02804" w:rsidP="00CE7D5A">
      <w:pPr>
        <w:rPr>
          <w:rFonts w:asciiTheme="minorHAnsi" w:hAnsiTheme="minorHAnsi" w:cstheme="minorHAnsi"/>
          <w:sz w:val="24"/>
          <w:szCs w:val="24"/>
        </w:rPr>
      </w:pPr>
      <w:r>
        <w:rPr>
          <w:rFonts w:asciiTheme="minorHAnsi" w:hAnsiTheme="minorHAnsi" w:cstheme="minorHAnsi"/>
          <w:sz w:val="24"/>
          <w:szCs w:val="24"/>
        </w:rPr>
        <w:t xml:space="preserve">Subsection 244(3) establishes the factors relevant to the application of paragraph 244(1))(c) to include whether authority or permission to engage in the conduct constituting an offence, of the same or a similar character, had previously been given by a corporate officer of the body corporate; and whether </w:t>
      </w:r>
      <w:r w:rsidR="0013480A">
        <w:rPr>
          <w:rFonts w:asciiTheme="minorHAnsi" w:hAnsiTheme="minorHAnsi" w:cstheme="minorHAnsi"/>
          <w:sz w:val="24"/>
          <w:szCs w:val="24"/>
        </w:rPr>
        <w:t>t</w:t>
      </w:r>
      <w:r>
        <w:rPr>
          <w:rFonts w:asciiTheme="minorHAnsi" w:hAnsiTheme="minorHAnsi" w:cstheme="minorHAnsi"/>
          <w:sz w:val="24"/>
          <w:szCs w:val="24"/>
        </w:rPr>
        <w:t>he person who engaged in the conduct constituting the offence believed on reasonabl</w:t>
      </w:r>
      <w:r w:rsidR="0013480A">
        <w:rPr>
          <w:rFonts w:asciiTheme="minorHAnsi" w:hAnsiTheme="minorHAnsi" w:cstheme="minorHAnsi"/>
          <w:sz w:val="24"/>
          <w:szCs w:val="24"/>
        </w:rPr>
        <w:t>e</w:t>
      </w:r>
      <w:r>
        <w:rPr>
          <w:rFonts w:asciiTheme="minorHAnsi" w:hAnsiTheme="minorHAnsi" w:cstheme="minorHAnsi"/>
          <w:sz w:val="24"/>
          <w:szCs w:val="24"/>
        </w:rPr>
        <w:t xml:space="preserve"> grounds, or had a reasonable expectation that a corporate officer of the body corporate would have authorised or permitted the conduct.</w:t>
      </w:r>
    </w:p>
    <w:p w14:paraId="25846D1E" w14:textId="7B9D1B0E" w:rsidR="00CE7D5A" w:rsidRPr="00ED443C" w:rsidRDefault="00CE7D5A" w:rsidP="00CE7D5A">
      <w:pPr>
        <w:rPr>
          <w:rFonts w:asciiTheme="minorHAnsi" w:hAnsiTheme="minorHAnsi" w:cstheme="minorHAnsi"/>
          <w:sz w:val="24"/>
          <w:szCs w:val="24"/>
        </w:rPr>
      </w:pPr>
      <w:r w:rsidRPr="00ED443C">
        <w:rPr>
          <w:rFonts w:asciiTheme="minorHAnsi" w:hAnsiTheme="minorHAnsi" w:cstheme="minorHAnsi"/>
          <w:sz w:val="24"/>
          <w:szCs w:val="24"/>
        </w:rPr>
        <w:t xml:space="preserve">‘Corporate culture’ and ‘corporate officer’ are defined in subsection 244B(4). </w:t>
      </w:r>
      <w:r w:rsidRPr="00ED443C">
        <w:rPr>
          <w:rFonts w:asciiTheme="minorHAnsi" w:hAnsiTheme="minorHAnsi" w:cstheme="minorHAnsi"/>
          <w:i/>
          <w:iCs/>
          <w:sz w:val="24"/>
          <w:szCs w:val="24"/>
        </w:rPr>
        <w:t xml:space="preserve">Corporate culture </w:t>
      </w:r>
      <w:r w:rsidRPr="00ED443C">
        <w:rPr>
          <w:rFonts w:asciiTheme="minorHAnsi" w:hAnsiTheme="minorHAnsi" w:cstheme="minorHAnsi"/>
          <w:sz w:val="24"/>
          <w:szCs w:val="24"/>
        </w:rPr>
        <w:t xml:space="preserve">means </w:t>
      </w:r>
      <w:r w:rsidR="0013480A">
        <w:rPr>
          <w:rFonts w:asciiTheme="minorHAnsi" w:hAnsiTheme="minorHAnsi" w:cstheme="minorHAnsi"/>
          <w:sz w:val="24"/>
          <w:szCs w:val="24"/>
        </w:rPr>
        <w:t>one</w:t>
      </w:r>
      <w:r w:rsidRPr="00ED443C">
        <w:rPr>
          <w:rFonts w:asciiTheme="minorHAnsi" w:hAnsiTheme="minorHAnsi" w:cstheme="minorHAnsi"/>
          <w:sz w:val="24"/>
          <w:szCs w:val="24"/>
        </w:rPr>
        <w:t xml:space="preserve"> or more attitudes, policies, rules, courses of conduct or practices existing within the body corporate generally or in the part of the body corporate in which the relevant activity takes place. </w:t>
      </w:r>
      <w:r w:rsidRPr="00ED443C">
        <w:rPr>
          <w:rFonts w:asciiTheme="minorHAnsi" w:hAnsiTheme="minorHAnsi" w:cstheme="minorHAnsi"/>
          <w:i/>
          <w:iCs/>
          <w:sz w:val="24"/>
          <w:szCs w:val="24"/>
        </w:rPr>
        <w:t>Corporate officer</w:t>
      </w:r>
      <w:r w:rsidRPr="00ED443C">
        <w:rPr>
          <w:rFonts w:asciiTheme="minorHAnsi" w:hAnsiTheme="minorHAnsi" w:cstheme="minorHAnsi"/>
          <w:sz w:val="24"/>
          <w:szCs w:val="24"/>
        </w:rPr>
        <w:t xml:space="preserve"> is defined by reference to section 9</w:t>
      </w:r>
      <w:r w:rsidR="00211C29">
        <w:rPr>
          <w:rFonts w:asciiTheme="minorHAnsi" w:hAnsiTheme="minorHAnsi" w:cstheme="minorHAnsi"/>
          <w:sz w:val="24"/>
          <w:szCs w:val="24"/>
        </w:rPr>
        <w:t>AD</w:t>
      </w:r>
      <w:r w:rsidRPr="00ED443C">
        <w:rPr>
          <w:rFonts w:asciiTheme="minorHAnsi" w:hAnsiTheme="minorHAnsi" w:cstheme="minorHAnsi"/>
          <w:sz w:val="24"/>
          <w:szCs w:val="24"/>
        </w:rPr>
        <w:t xml:space="preserve"> of the </w:t>
      </w:r>
      <w:r w:rsidRPr="00ED443C">
        <w:rPr>
          <w:rFonts w:asciiTheme="minorHAnsi" w:hAnsiTheme="minorHAnsi" w:cstheme="minorHAnsi"/>
          <w:i/>
          <w:iCs/>
          <w:sz w:val="24"/>
          <w:szCs w:val="24"/>
        </w:rPr>
        <w:t xml:space="preserve">Corporations Act 2001 </w:t>
      </w:r>
      <w:r w:rsidR="00B02804">
        <w:rPr>
          <w:rFonts w:asciiTheme="minorHAnsi" w:hAnsiTheme="minorHAnsi" w:cstheme="minorHAnsi"/>
          <w:sz w:val="24"/>
          <w:szCs w:val="24"/>
        </w:rPr>
        <w:t>(Cwlth)</w:t>
      </w:r>
      <w:r w:rsidRPr="00ED443C">
        <w:rPr>
          <w:rFonts w:asciiTheme="minorHAnsi" w:hAnsiTheme="minorHAnsi" w:cstheme="minorHAnsi"/>
          <w:sz w:val="24"/>
          <w:szCs w:val="24"/>
        </w:rPr>
        <w:t xml:space="preserve">. </w:t>
      </w:r>
    </w:p>
    <w:p w14:paraId="5B1B1BC3" w14:textId="0911B097" w:rsidR="005F583C" w:rsidRDefault="005F583C" w:rsidP="00CE7D5A">
      <w:pPr>
        <w:rPr>
          <w:rFonts w:asciiTheme="minorHAnsi" w:hAnsiTheme="minorHAnsi" w:cstheme="minorHAnsi"/>
          <w:b/>
          <w:bCs/>
          <w:sz w:val="24"/>
          <w:szCs w:val="24"/>
        </w:rPr>
      </w:pPr>
      <w:r>
        <w:rPr>
          <w:rFonts w:asciiTheme="minorHAnsi" w:hAnsiTheme="minorHAnsi" w:cstheme="minorHAnsi"/>
          <w:b/>
          <w:bCs/>
          <w:sz w:val="24"/>
          <w:szCs w:val="24"/>
        </w:rPr>
        <w:t>244BA Negligence</w:t>
      </w:r>
    </w:p>
    <w:p w14:paraId="2ADDB2AA" w14:textId="72232383" w:rsidR="005F583C" w:rsidRDefault="005F583C" w:rsidP="0013480A">
      <w:pPr>
        <w:spacing w:after="120"/>
        <w:rPr>
          <w:rFonts w:asciiTheme="minorHAnsi" w:hAnsiTheme="minorHAnsi" w:cstheme="minorHAnsi"/>
          <w:sz w:val="24"/>
          <w:szCs w:val="24"/>
        </w:rPr>
      </w:pPr>
      <w:r>
        <w:rPr>
          <w:rFonts w:asciiTheme="minorHAnsi" w:hAnsiTheme="minorHAnsi" w:cstheme="minorHAnsi"/>
          <w:sz w:val="24"/>
          <w:szCs w:val="24"/>
        </w:rPr>
        <w:t>The new section 244BA explains how the fault element of negligence is attributed to a body corporate. It provides that negligence may exist on the part of a body corporate, despite no individual authorised person of the body corporate having the fault element if:</w:t>
      </w:r>
    </w:p>
    <w:p w14:paraId="00504C6F" w14:textId="7A3E3159" w:rsidR="005F583C" w:rsidRDefault="005F583C" w:rsidP="0013480A">
      <w:pPr>
        <w:pStyle w:val="ListParagraph"/>
        <w:numPr>
          <w:ilvl w:val="0"/>
          <w:numId w:val="37"/>
        </w:numPr>
        <w:spacing w:after="120"/>
        <w:rPr>
          <w:rFonts w:asciiTheme="minorHAnsi" w:hAnsiTheme="minorHAnsi" w:cstheme="minorHAnsi"/>
          <w:sz w:val="24"/>
          <w:szCs w:val="24"/>
        </w:rPr>
      </w:pPr>
      <w:r>
        <w:rPr>
          <w:rFonts w:asciiTheme="minorHAnsi" w:hAnsiTheme="minorHAnsi" w:cstheme="minorHAnsi"/>
          <w:sz w:val="24"/>
          <w:szCs w:val="24"/>
        </w:rPr>
        <w:t>negligence is a fault element in relation not the commission of the physical element of an offence; and</w:t>
      </w:r>
    </w:p>
    <w:p w14:paraId="5091EF47" w14:textId="601662B5" w:rsidR="005F583C" w:rsidRDefault="005F583C" w:rsidP="005F583C">
      <w:pPr>
        <w:pStyle w:val="ListParagraph"/>
        <w:numPr>
          <w:ilvl w:val="0"/>
          <w:numId w:val="37"/>
        </w:numPr>
        <w:rPr>
          <w:rFonts w:asciiTheme="minorHAnsi" w:hAnsiTheme="minorHAnsi" w:cstheme="minorHAnsi"/>
          <w:sz w:val="24"/>
          <w:szCs w:val="24"/>
        </w:rPr>
      </w:pPr>
      <w:r>
        <w:rPr>
          <w:rFonts w:asciiTheme="minorHAnsi" w:hAnsiTheme="minorHAnsi" w:cstheme="minorHAnsi"/>
          <w:sz w:val="24"/>
          <w:szCs w:val="24"/>
        </w:rPr>
        <w:t xml:space="preserve">the conduct of the body corporate is negligent when viewed as a whole, determined by aggregating the conduct of more than 1 authorised person. </w:t>
      </w:r>
    </w:p>
    <w:p w14:paraId="1DEEDF74" w14:textId="086732B0" w:rsidR="005F583C" w:rsidRPr="005F583C" w:rsidRDefault="005F583C" w:rsidP="005F583C">
      <w:pPr>
        <w:spacing w:after="0"/>
        <w:rPr>
          <w:rFonts w:asciiTheme="minorHAnsi" w:hAnsiTheme="minorHAnsi" w:cstheme="minorHAnsi"/>
          <w:sz w:val="24"/>
          <w:szCs w:val="24"/>
        </w:rPr>
      </w:pPr>
      <w:r w:rsidRPr="005F583C">
        <w:rPr>
          <w:rFonts w:asciiTheme="minorHAnsi" w:hAnsiTheme="minorHAnsi" w:cstheme="minorHAnsi"/>
          <w:sz w:val="24"/>
          <w:szCs w:val="24"/>
        </w:rPr>
        <w:lastRenderedPageBreak/>
        <w:t>Where it is necessary to establish the negligence of a body corporate in relation to the</w:t>
      </w:r>
    </w:p>
    <w:p w14:paraId="2B123B49" w14:textId="6240A25D" w:rsidR="005F583C" w:rsidRPr="005F583C" w:rsidRDefault="005F583C" w:rsidP="0013480A">
      <w:pPr>
        <w:spacing w:after="120"/>
        <w:rPr>
          <w:rFonts w:asciiTheme="minorHAnsi" w:hAnsiTheme="minorHAnsi" w:cstheme="minorHAnsi"/>
          <w:sz w:val="24"/>
          <w:szCs w:val="24"/>
        </w:rPr>
      </w:pPr>
      <w:r w:rsidRPr="005F583C">
        <w:rPr>
          <w:rFonts w:asciiTheme="minorHAnsi" w:hAnsiTheme="minorHAnsi" w:cstheme="minorHAnsi"/>
          <w:sz w:val="24"/>
          <w:szCs w:val="24"/>
        </w:rPr>
        <w:t>commission of the physical element of an offence, subsection 244BA(2) provides that negligence may be evidenced by the fact that the prohibited conduct was substantially</w:t>
      </w:r>
      <w:r w:rsidR="0054152C">
        <w:rPr>
          <w:rFonts w:asciiTheme="minorHAnsi" w:hAnsiTheme="minorHAnsi" w:cstheme="minorHAnsi"/>
          <w:sz w:val="24"/>
          <w:szCs w:val="24"/>
        </w:rPr>
        <w:t xml:space="preserve"> </w:t>
      </w:r>
      <w:r w:rsidRPr="005F583C">
        <w:rPr>
          <w:rFonts w:asciiTheme="minorHAnsi" w:hAnsiTheme="minorHAnsi" w:cstheme="minorHAnsi"/>
          <w:sz w:val="24"/>
          <w:szCs w:val="24"/>
        </w:rPr>
        <w:t>attributable to:</w:t>
      </w:r>
    </w:p>
    <w:p w14:paraId="4247A1E2" w14:textId="42A21DA5" w:rsidR="005F583C" w:rsidRPr="005F583C" w:rsidRDefault="005F583C" w:rsidP="0013480A">
      <w:pPr>
        <w:pStyle w:val="ListParagraph"/>
        <w:numPr>
          <w:ilvl w:val="0"/>
          <w:numId w:val="38"/>
        </w:numPr>
        <w:spacing w:after="120"/>
        <w:rPr>
          <w:rFonts w:asciiTheme="minorHAnsi" w:hAnsiTheme="minorHAnsi" w:cstheme="minorHAnsi"/>
          <w:sz w:val="24"/>
          <w:szCs w:val="24"/>
        </w:rPr>
      </w:pPr>
      <w:r w:rsidRPr="005F583C">
        <w:rPr>
          <w:rFonts w:asciiTheme="minorHAnsi" w:hAnsiTheme="minorHAnsi" w:cstheme="minorHAnsi"/>
          <w:sz w:val="24"/>
          <w:szCs w:val="24"/>
        </w:rPr>
        <w:t xml:space="preserve">inadequate corporate management, control or supervision of the conduct of </w:t>
      </w:r>
      <w:r w:rsidR="0013480A">
        <w:rPr>
          <w:rFonts w:asciiTheme="minorHAnsi" w:hAnsiTheme="minorHAnsi" w:cstheme="minorHAnsi"/>
          <w:sz w:val="24"/>
          <w:szCs w:val="24"/>
        </w:rPr>
        <w:t>one</w:t>
      </w:r>
      <w:r w:rsidRPr="005F583C">
        <w:rPr>
          <w:rFonts w:asciiTheme="minorHAnsi" w:hAnsiTheme="minorHAnsi" w:cstheme="minorHAnsi"/>
          <w:sz w:val="24"/>
          <w:szCs w:val="24"/>
        </w:rPr>
        <w:t xml:space="preserve"> or</w:t>
      </w:r>
      <w:r>
        <w:rPr>
          <w:rFonts w:asciiTheme="minorHAnsi" w:hAnsiTheme="minorHAnsi" w:cstheme="minorHAnsi"/>
          <w:sz w:val="24"/>
          <w:szCs w:val="24"/>
        </w:rPr>
        <w:t xml:space="preserve"> </w:t>
      </w:r>
      <w:r w:rsidRPr="005F583C">
        <w:rPr>
          <w:rFonts w:asciiTheme="minorHAnsi" w:hAnsiTheme="minorHAnsi" w:cstheme="minorHAnsi"/>
          <w:sz w:val="24"/>
          <w:szCs w:val="24"/>
        </w:rPr>
        <w:t>more of the body corporate’s authorised persons; or</w:t>
      </w:r>
    </w:p>
    <w:p w14:paraId="00018393" w14:textId="1250D16C" w:rsidR="005F583C" w:rsidRDefault="005F583C" w:rsidP="00021AD6">
      <w:pPr>
        <w:pStyle w:val="ListParagraph"/>
        <w:numPr>
          <w:ilvl w:val="0"/>
          <w:numId w:val="38"/>
        </w:numPr>
        <w:spacing w:after="0"/>
        <w:rPr>
          <w:rFonts w:asciiTheme="minorHAnsi" w:hAnsiTheme="minorHAnsi" w:cstheme="minorHAnsi"/>
          <w:sz w:val="24"/>
          <w:szCs w:val="24"/>
        </w:rPr>
      </w:pPr>
      <w:r w:rsidRPr="005F583C">
        <w:rPr>
          <w:rFonts w:asciiTheme="minorHAnsi" w:hAnsiTheme="minorHAnsi" w:cstheme="minorHAnsi"/>
          <w:sz w:val="24"/>
          <w:szCs w:val="24"/>
        </w:rPr>
        <w:t>failure to provide adequate systems for conveying relevant information to relevant</w:t>
      </w:r>
      <w:r>
        <w:rPr>
          <w:rFonts w:asciiTheme="minorHAnsi" w:hAnsiTheme="minorHAnsi" w:cstheme="minorHAnsi"/>
          <w:sz w:val="24"/>
          <w:szCs w:val="24"/>
        </w:rPr>
        <w:t xml:space="preserve"> </w:t>
      </w:r>
      <w:r w:rsidRPr="005F583C">
        <w:rPr>
          <w:rFonts w:asciiTheme="minorHAnsi" w:hAnsiTheme="minorHAnsi" w:cstheme="minorHAnsi"/>
          <w:sz w:val="24"/>
          <w:szCs w:val="24"/>
        </w:rPr>
        <w:t>persons in the body corporate.</w:t>
      </w:r>
    </w:p>
    <w:p w14:paraId="3C62E337" w14:textId="77777777" w:rsidR="005F583C" w:rsidRPr="005F583C" w:rsidRDefault="005F583C" w:rsidP="005F583C">
      <w:pPr>
        <w:pStyle w:val="ListParagraph"/>
        <w:spacing w:after="0"/>
        <w:ind w:left="1440"/>
        <w:rPr>
          <w:rFonts w:asciiTheme="minorHAnsi" w:hAnsiTheme="minorHAnsi" w:cstheme="minorHAnsi"/>
          <w:sz w:val="24"/>
          <w:szCs w:val="24"/>
        </w:rPr>
      </w:pPr>
    </w:p>
    <w:p w14:paraId="645AE5F9" w14:textId="357EC367" w:rsidR="00CE7D5A" w:rsidRPr="00ED443C" w:rsidRDefault="00CE7D5A" w:rsidP="00CE7D5A">
      <w:pPr>
        <w:rPr>
          <w:rFonts w:asciiTheme="minorHAnsi" w:hAnsiTheme="minorHAnsi" w:cstheme="minorHAnsi"/>
          <w:b/>
          <w:bCs/>
          <w:sz w:val="24"/>
          <w:szCs w:val="24"/>
        </w:rPr>
      </w:pPr>
      <w:r w:rsidRPr="00ED443C">
        <w:rPr>
          <w:rFonts w:asciiTheme="minorHAnsi" w:hAnsiTheme="minorHAnsi" w:cstheme="minorHAnsi"/>
          <w:b/>
          <w:bCs/>
          <w:sz w:val="24"/>
          <w:szCs w:val="24"/>
        </w:rPr>
        <w:t xml:space="preserve">Section 244C Mistake of fact </w:t>
      </w:r>
    </w:p>
    <w:p w14:paraId="0E3565A4" w14:textId="77777777" w:rsidR="00CE7D5A" w:rsidRPr="00ED443C" w:rsidRDefault="00CE7D5A" w:rsidP="0013480A">
      <w:pPr>
        <w:spacing w:after="120"/>
        <w:rPr>
          <w:rFonts w:asciiTheme="minorHAnsi" w:hAnsiTheme="minorHAnsi" w:cstheme="minorHAnsi"/>
          <w:sz w:val="24"/>
          <w:szCs w:val="24"/>
        </w:rPr>
      </w:pPr>
      <w:r w:rsidRPr="00ED443C">
        <w:rPr>
          <w:rFonts w:asciiTheme="minorHAnsi" w:hAnsiTheme="minorHAnsi" w:cstheme="minorHAnsi"/>
          <w:sz w:val="24"/>
          <w:szCs w:val="24"/>
        </w:rPr>
        <w:t xml:space="preserve">The new section 244C introduces a mechanism by which a body corporate can rely on the defence of </w:t>
      </w:r>
      <w:r w:rsidRPr="00ED443C">
        <w:rPr>
          <w:rFonts w:asciiTheme="minorHAnsi" w:hAnsiTheme="minorHAnsi" w:cstheme="minorHAnsi"/>
          <w:color w:val="000000" w:themeColor="text1"/>
          <w:sz w:val="24"/>
          <w:szCs w:val="24"/>
        </w:rPr>
        <w:t>mistake of fact, if mistake of fact is relevant to determining liability for an offence</w:t>
      </w:r>
      <w:r w:rsidRPr="00ED443C">
        <w:rPr>
          <w:rFonts w:asciiTheme="minorHAnsi" w:hAnsiTheme="minorHAnsi" w:cstheme="minorHAnsi"/>
          <w:color w:val="FF0000"/>
          <w:sz w:val="24"/>
          <w:szCs w:val="24"/>
        </w:rPr>
        <w:t xml:space="preserve">. </w:t>
      </w:r>
      <w:r w:rsidRPr="00ED443C">
        <w:rPr>
          <w:rFonts w:asciiTheme="minorHAnsi" w:hAnsiTheme="minorHAnsi" w:cstheme="minorHAnsi"/>
          <w:sz w:val="24"/>
          <w:szCs w:val="24"/>
        </w:rPr>
        <w:t xml:space="preserve">A body corporate may rely on mistake of fact only if: </w:t>
      </w:r>
    </w:p>
    <w:p w14:paraId="3188F26F" w14:textId="77777777" w:rsidR="00CE7D5A" w:rsidRPr="00ED443C" w:rsidRDefault="00CE7D5A" w:rsidP="0013480A">
      <w:pPr>
        <w:pStyle w:val="ListParagraph"/>
        <w:numPr>
          <w:ilvl w:val="0"/>
          <w:numId w:val="26"/>
        </w:numPr>
        <w:spacing w:after="120" w:line="256" w:lineRule="auto"/>
        <w:rPr>
          <w:rFonts w:asciiTheme="minorHAnsi" w:hAnsiTheme="minorHAnsi" w:cstheme="minorHAnsi"/>
          <w:sz w:val="24"/>
          <w:szCs w:val="24"/>
        </w:rPr>
      </w:pPr>
      <w:r w:rsidRPr="00ED443C">
        <w:rPr>
          <w:rFonts w:asciiTheme="minorHAnsi" w:hAnsiTheme="minorHAnsi" w:cstheme="minorHAnsi"/>
          <w:sz w:val="24"/>
          <w:szCs w:val="24"/>
        </w:rPr>
        <w:t xml:space="preserve">the employee, agent or officer of the body corporate who carried out the conduct was under a mistaken but reasonable belief about facts that, had they existed, would have meant the conduct would not have constituted the offence; and </w:t>
      </w:r>
    </w:p>
    <w:p w14:paraId="6DC96C74" w14:textId="77777777" w:rsidR="00CE7D5A" w:rsidRPr="00ED443C" w:rsidRDefault="00CE7D5A" w:rsidP="00CE7D5A">
      <w:pPr>
        <w:pStyle w:val="ListParagraph"/>
        <w:numPr>
          <w:ilvl w:val="0"/>
          <w:numId w:val="26"/>
        </w:numPr>
        <w:spacing w:after="160" w:line="256" w:lineRule="auto"/>
        <w:contextualSpacing/>
        <w:rPr>
          <w:rFonts w:asciiTheme="minorHAnsi" w:hAnsiTheme="minorHAnsi" w:cstheme="minorHAnsi"/>
          <w:sz w:val="24"/>
          <w:szCs w:val="24"/>
        </w:rPr>
      </w:pPr>
      <w:r w:rsidRPr="00ED443C">
        <w:rPr>
          <w:rFonts w:asciiTheme="minorHAnsi" w:hAnsiTheme="minorHAnsi" w:cstheme="minorHAnsi"/>
          <w:sz w:val="24"/>
          <w:szCs w:val="24"/>
        </w:rPr>
        <w:t>the body corporate proves it took reasonable precautions to prevent the conduct.</w:t>
      </w:r>
    </w:p>
    <w:p w14:paraId="6352A011" w14:textId="77777777" w:rsidR="00CE7D5A" w:rsidRPr="00ED443C" w:rsidRDefault="00CE7D5A" w:rsidP="00CE7D5A">
      <w:pPr>
        <w:rPr>
          <w:rFonts w:asciiTheme="minorHAnsi" w:hAnsiTheme="minorHAnsi" w:cstheme="minorHAnsi"/>
          <w:sz w:val="24"/>
          <w:szCs w:val="24"/>
        </w:rPr>
      </w:pPr>
      <w:r w:rsidRPr="00ED443C">
        <w:rPr>
          <w:rFonts w:asciiTheme="minorHAnsi" w:hAnsiTheme="minorHAnsi" w:cstheme="minorHAnsi"/>
          <w:b/>
          <w:bCs/>
          <w:sz w:val="24"/>
          <w:szCs w:val="24"/>
        </w:rPr>
        <w:t xml:space="preserve">Section 244D Failure to take reasonable precautions </w:t>
      </w:r>
    </w:p>
    <w:p w14:paraId="73D384D0" w14:textId="21EA47AE" w:rsidR="00CE7D5A" w:rsidRPr="00ED443C" w:rsidRDefault="00CE7D5A" w:rsidP="0013480A">
      <w:pPr>
        <w:spacing w:after="120"/>
        <w:rPr>
          <w:rFonts w:asciiTheme="minorHAnsi" w:hAnsiTheme="minorHAnsi" w:cstheme="minorHAnsi"/>
          <w:sz w:val="24"/>
          <w:szCs w:val="24"/>
        </w:rPr>
      </w:pPr>
      <w:r w:rsidRPr="00ED443C">
        <w:rPr>
          <w:rFonts w:asciiTheme="minorHAnsi" w:hAnsiTheme="minorHAnsi" w:cstheme="minorHAnsi"/>
          <w:sz w:val="24"/>
          <w:szCs w:val="24"/>
        </w:rPr>
        <w:t>The new section 244D includes factors that may be used to</w:t>
      </w:r>
      <w:r w:rsidRPr="00ED443C">
        <w:rPr>
          <w:rFonts w:asciiTheme="minorHAnsi" w:hAnsiTheme="minorHAnsi" w:cstheme="minorHAnsi"/>
          <w:b/>
          <w:bCs/>
          <w:sz w:val="24"/>
          <w:szCs w:val="24"/>
        </w:rPr>
        <w:t xml:space="preserve"> </w:t>
      </w:r>
      <w:r w:rsidRPr="00ED443C">
        <w:rPr>
          <w:rFonts w:asciiTheme="minorHAnsi" w:hAnsiTheme="minorHAnsi" w:cstheme="minorHAnsi"/>
          <w:sz w:val="24"/>
          <w:szCs w:val="24"/>
        </w:rPr>
        <w:t>establish that a body corporate failed to take reasonable precautions, in relation to subsection</w:t>
      </w:r>
      <w:r w:rsidR="00211C29">
        <w:rPr>
          <w:rFonts w:asciiTheme="minorHAnsi" w:hAnsiTheme="minorHAnsi" w:cstheme="minorHAnsi"/>
          <w:sz w:val="24"/>
          <w:szCs w:val="24"/>
        </w:rPr>
        <w:t>s</w:t>
      </w:r>
      <w:r w:rsidRPr="00ED443C">
        <w:rPr>
          <w:rFonts w:asciiTheme="minorHAnsi" w:hAnsiTheme="minorHAnsi" w:cstheme="minorHAnsi"/>
          <w:sz w:val="24"/>
          <w:szCs w:val="24"/>
        </w:rPr>
        <w:t xml:space="preserve"> 244B(2) and 244C</w:t>
      </w:r>
      <w:r w:rsidR="00211C29">
        <w:rPr>
          <w:rFonts w:asciiTheme="minorHAnsi" w:hAnsiTheme="minorHAnsi" w:cstheme="minorHAnsi"/>
          <w:sz w:val="24"/>
          <w:szCs w:val="24"/>
        </w:rPr>
        <w:t>(b)</w:t>
      </w:r>
      <w:r w:rsidRPr="00ED443C">
        <w:rPr>
          <w:rFonts w:asciiTheme="minorHAnsi" w:hAnsiTheme="minorHAnsi" w:cstheme="minorHAnsi"/>
          <w:sz w:val="24"/>
          <w:szCs w:val="24"/>
        </w:rPr>
        <w:t xml:space="preserve">. A failure to take reasonable precautions may be evidenced by the fact that the conduct constituting the offence was substantially attributable to: </w:t>
      </w:r>
    </w:p>
    <w:p w14:paraId="149B1B32" w14:textId="77777777" w:rsidR="00CE7D5A" w:rsidRPr="00ED443C" w:rsidRDefault="00CE7D5A" w:rsidP="0013480A">
      <w:pPr>
        <w:pStyle w:val="ListParagraph"/>
        <w:numPr>
          <w:ilvl w:val="0"/>
          <w:numId w:val="27"/>
        </w:numPr>
        <w:spacing w:after="120" w:line="256" w:lineRule="auto"/>
        <w:rPr>
          <w:rFonts w:asciiTheme="minorHAnsi" w:hAnsiTheme="minorHAnsi" w:cstheme="minorHAnsi"/>
          <w:sz w:val="24"/>
          <w:szCs w:val="24"/>
        </w:rPr>
      </w:pPr>
      <w:r w:rsidRPr="00ED443C">
        <w:rPr>
          <w:rFonts w:asciiTheme="minorHAnsi" w:hAnsiTheme="minorHAnsi" w:cstheme="minorHAnsi"/>
          <w:sz w:val="24"/>
          <w:szCs w:val="24"/>
        </w:rPr>
        <w:t xml:space="preserve">inadequate management, control or supervision of the conduct of one or more of the body corporate’s employees, agents or officers; or </w:t>
      </w:r>
    </w:p>
    <w:p w14:paraId="1D6F1BEB" w14:textId="77777777" w:rsidR="00CE7D5A" w:rsidRDefault="00CE7D5A" w:rsidP="00CE7D5A">
      <w:pPr>
        <w:pStyle w:val="ListParagraph"/>
        <w:numPr>
          <w:ilvl w:val="0"/>
          <w:numId w:val="27"/>
        </w:numPr>
        <w:spacing w:after="160" w:line="256" w:lineRule="auto"/>
        <w:contextualSpacing/>
        <w:rPr>
          <w:rFonts w:asciiTheme="minorHAnsi" w:hAnsiTheme="minorHAnsi" w:cstheme="minorHAnsi"/>
          <w:sz w:val="24"/>
          <w:szCs w:val="24"/>
        </w:rPr>
      </w:pPr>
      <w:r w:rsidRPr="00ED443C">
        <w:rPr>
          <w:rFonts w:asciiTheme="minorHAnsi" w:hAnsiTheme="minorHAnsi" w:cstheme="minorHAnsi"/>
          <w:sz w:val="24"/>
          <w:szCs w:val="24"/>
        </w:rPr>
        <w:t xml:space="preserve">failure to provide adequate systems for conveying relevant information to relevant persons in the body corporate. </w:t>
      </w:r>
    </w:p>
    <w:p w14:paraId="4EF46572" w14:textId="3D41F6B4" w:rsidR="00211C29" w:rsidRPr="0013480A" w:rsidRDefault="00211C29" w:rsidP="0013480A">
      <w:pPr>
        <w:rPr>
          <w:rFonts w:asciiTheme="minorHAnsi" w:hAnsiTheme="minorHAnsi" w:cstheme="minorHAnsi"/>
          <w:b/>
          <w:bCs/>
          <w:sz w:val="24"/>
          <w:szCs w:val="24"/>
        </w:rPr>
      </w:pPr>
      <w:r w:rsidRPr="0013480A">
        <w:rPr>
          <w:rFonts w:asciiTheme="minorHAnsi" w:hAnsiTheme="minorHAnsi" w:cstheme="minorHAnsi"/>
          <w:b/>
          <w:bCs/>
          <w:sz w:val="24"/>
          <w:szCs w:val="24"/>
        </w:rPr>
        <w:t>Section 244E How this division applies to public authorities</w:t>
      </w:r>
    </w:p>
    <w:p w14:paraId="66D2B9FB" w14:textId="1FD3D98F" w:rsidR="00211C29" w:rsidRDefault="00211C29" w:rsidP="00211C29">
      <w:pPr>
        <w:spacing w:after="160" w:line="256" w:lineRule="auto"/>
        <w:contextualSpacing/>
        <w:rPr>
          <w:rFonts w:asciiTheme="minorHAnsi" w:hAnsiTheme="minorHAnsi" w:cstheme="minorHAnsi"/>
          <w:sz w:val="24"/>
          <w:szCs w:val="24"/>
        </w:rPr>
      </w:pPr>
      <w:r>
        <w:rPr>
          <w:rFonts w:asciiTheme="minorHAnsi" w:hAnsiTheme="minorHAnsi" w:cstheme="minorHAnsi"/>
          <w:sz w:val="24"/>
          <w:szCs w:val="24"/>
        </w:rPr>
        <w:t>This new section provides that the division applies in relation to a body corporate in accordance with section 251 (</w:t>
      </w:r>
      <w:r w:rsidR="00A872A3">
        <w:rPr>
          <w:rFonts w:asciiTheme="minorHAnsi" w:hAnsiTheme="minorHAnsi" w:cstheme="minorHAnsi"/>
          <w:sz w:val="24"/>
          <w:szCs w:val="24"/>
        </w:rPr>
        <w:t>imputing conduct to public authorities).</w:t>
      </w:r>
      <w:r>
        <w:rPr>
          <w:rFonts w:asciiTheme="minorHAnsi" w:hAnsiTheme="minorHAnsi" w:cstheme="minorHAnsi"/>
          <w:sz w:val="24"/>
          <w:szCs w:val="24"/>
        </w:rPr>
        <w:t xml:space="preserve"> </w:t>
      </w:r>
    </w:p>
    <w:p w14:paraId="6EFBBF66" w14:textId="77777777" w:rsidR="00211C29" w:rsidRPr="00211C29" w:rsidRDefault="00211C29" w:rsidP="00211C29">
      <w:pPr>
        <w:spacing w:after="160" w:line="256" w:lineRule="auto"/>
        <w:contextualSpacing/>
        <w:rPr>
          <w:rFonts w:asciiTheme="minorHAnsi" w:hAnsiTheme="minorHAnsi" w:cstheme="minorHAnsi"/>
          <w:sz w:val="24"/>
          <w:szCs w:val="24"/>
        </w:rPr>
      </w:pPr>
    </w:p>
    <w:p w14:paraId="3C030156" w14:textId="1B1C8AD0" w:rsidR="00D13601" w:rsidRDefault="00F13FD6" w:rsidP="00601ACD">
      <w:pPr>
        <w:numPr>
          <w:ilvl w:val="0"/>
          <w:numId w:val="1"/>
        </w:numPr>
        <w:spacing w:after="100" w:afterAutospacing="1"/>
        <w:rPr>
          <w:b/>
          <w:sz w:val="24"/>
          <w:szCs w:val="24"/>
        </w:rPr>
      </w:pPr>
      <w:r>
        <w:rPr>
          <w:b/>
          <w:sz w:val="24"/>
          <w:szCs w:val="24"/>
        </w:rPr>
        <w:t>When is a provision a WHS civil penalty provision Section 254(1)(a) and (2)(a)</w:t>
      </w:r>
    </w:p>
    <w:p w14:paraId="4E2C10C3" w14:textId="0305B765" w:rsidR="00F13FD6" w:rsidRPr="00F13FD6" w:rsidRDefault="00F13FD6" w:rsidP="00F13FD6">
      <w:pPr>
        <w:spacing w:after="100" w:afterAutospacing="1"/>
        <w:rPr>
          <w:bCs/>
          <w:sz w:val="24"/>
          <w:szCs w:val="24"/>
        </w:rPr>
      </w:pPr>
      <w:r>
        <w:rPr>
          <w:bCs/>
          <w:sz w:val="24"/>
          <w:szCs w:val="24"/>
        </w:rPr>
        <w:t xml:space="preserve">As provided for Clause 8 this clause provides for the expression of a maximum penalty used to be expressed as a WHS civil penalty provision tier. </w:t>
      </w:r>
    </w:p>
    <w:p w14:paraId="5A52DAD7" w14:textId="48CB05DC" w:rsidR="00E7499D" w:rsidRDefault="00E7499D" w:rsidP="00601ACD">
      <w:pPr>
        <w:numPr>
          <w:ilvl w:val="0"/>
          <w:numId w:val="1"/>
        </w:numPr>
        <w:spacing w:after="100" w:afterAutospacing="1"/>
        <w:rPr>
          <w:b/>
          <w:sz w:val="24"/>
          <w:szCs w:val="24"/>
        </w:rPr>
      </w:pPr>
      <w:r>
        <w:rPr>
          <w:b/>
          <w:sz w:val="24"/>
          <w:szCs w:val="24"/>
        </w:rPr>
        <w:lastRenderedPageBreak/>
        <w:t>Additional ways that regulator may use and share information, Section 271A(3)(b)</w:t>
      </w:r>
    </w:p>
    <w:p w14:paraId="4819075C" w14:textId="2E58DCF4" w:rsidR="00E7499D" w:rsidRPr="00E7499D" w:rsidRDefault="00E7499D" w:rsidP="00E7499D">
      <w:pPr>
        <w:spacing w:after="100" w:afterAutospacing="1"/>
        <w:rPr>
          <w:bCs/>
          <w:sz w:val="24"/>
          <w:szCs w:val="24"/>
        </w:rPr>
      </w:pPr>
      <w:r>
        <w:rPr>
          <w:bCs/>
          <w:sz w:val="24"/>
          <w:szCs w:val="24"/>
        </w:rPr>
        <w:t xml:space="preserve">This clauses provides for interstate coverage of laws prescribed by regulation to ensure that it is sufficient to capture interstate legislation for the purpose of using or sharing information </w:t>
      </w:r>
      <w:r w:rsidR="00A5591B">
        <w:rPr>
          <w:bCs/>
          <w:sz w:val="24"/>
          <w:szCs w:val="24"/>
        </w:rPr>
        <w:t xml:space="preserve">where the regulator reasonably believes the disclosure, access or use is necessary for regulatory purposes under the Act. </w:t>
      </w:r>
    </w:p>
    <w:p w14:paraId="182B7333" w14:textId="77777777" w:rsidR="00A872A3" w:rsidRDefault="00A872A3" w:rsidP="00601ACD">
      <w:pPr>
        <w:numPr>
          <w:ilvl w:val="0"/>
          <w:numId w:val="1"/>
        </w:numPr>
        <w:spacing w:after="100" w:afterAutospacing="1"/>
        <w:rPr>
          <w:b/>
          <w:sz w:val="24"/>
          <w:szCs w:val="24"/>
        </w:rPr>
      </w:pPr>
      <w:r>
        <w:rPr>
          <w:b/>
          <w:sz w:val="24"/>
          <w:szCs w:val="24"/>
        </w:rPr>
        <w:t>Liability of officers for offences by body corporate under s272A Section 272B(1), penalty, except note</w:t>
      </w:r>
    </w:p>
    <w:p w14:paraId="54063E32" w14:textId="48B65E13" w:rsidR="00A872A3" w:rsidRPr="00A872A3" w:rsidRDefault="00A872A3" w:rsidP="00A872A3">
      <w:pPr>
        <w:spacing w:after="100" w:afterAutospacing="1"/>
        <w:rPr>
          <w:bCs/>
          <w:sz w:val="24"/>
          <w:szCs w:val="24"/>
        </w:rPr>
      </w:pPr>
      <w:r>
        <w:rPr>
          <w:bCs/>
          <w:sz w:val="24"/>
          <w:szCs w:val="24"/>
        </w:rPr>
        <w:t>As per clause 8.</w:t>
      </w:r>
    </w:p>
    <w:p w14:paraId="39E6C73F" w14:textId="55EF2FB6" w:rsidR="00D13601" w:rsidRDefault="00F13FD6" w:rsidP="00601ACD">
      <w:pPr>
        <w:numPr>
          <w:ilvl w:val="0"/>
          <w:numId w:val="1"/>
        </w:numPr>
        <w:spacing w:after="100" w:afterAutospacing="1"/>
        <w:rPr>
          <w:b/>
          <w:sz w:val="24"/>
          <w:szCs w:val="24"/>
        </w:rPr>
      </w:pPr>
      <w:r>
        <w:rPr>
          <w:b/>
          <w:sz w:val="24"/>
          <w:szCs w:val="24"/>
        </w:rPr>
        <w:t>Regulation-making powers New section 276(3)(g)</w:t>
      </w:r>
    </w:p>
    <w:p w14:paraId="497369F0" w14:textId="7F92D4A6" w:rsidR="009B6262" w:rsidRPr="009B6262" w:rsidRDefault="009B6262" w:rsidP="009B6262">
      <w:pPr>
        <w:spacing w:after="100" w:afterAutospacing="1"/>
        <w:rPr>
          <w:bCs/>
          <w:sz w:val="24"/>
          <w:szCs w:val="24"/>
        </w:rPr>
      </w:pPr>
      <w:r>
        <w:rPr>
          <w:bCs/>
          <w:sz w:val="24"/>
          <w:szCs w:val="24"/>
        </w:rPr>
        <w:t xml:space="preserve">This clause facilitates the establishment of monetary penalty tiers for the purposes of the WHS Regulation. </w:t>
      </w:r>
    </w:p>
    <w:p w14:paraId="6A52716C" w14:textId="71EE9497" w:rsidR="00D13601" w:rsidRDefault="009B6262" w:rsidP="00601ACD">
      <w:pPr>
        <w:numPr>
          <w:ilvl w:val="0"/>
          <w:numId w:val="1"/>
        </w:numPr>
        <w:spacing w:after="100" w:afterAutospacing="1"/>
        <w:rPr>
          <w:b/>
          <w:sz w:val="24"/>
          <w:szCs w:val="24"/>
        </w:rPr>
      </w:pPr>
      <w:r>
        <w:rPr>
          <w:b/>
          <w:sz w:val="24"/>
          <w:szCs w:val="24"/>
        </w:rPr>
        <w:t>New Schedule 4  Penalty amounts</w:t>
      </w:r>
    </w:p>
    <w:p w14:paraId="6F9C8010" w14:textId="3B2E1FF6" w:rsidR="009B6262" w:rsidRDefault="009B6262" w:rsidP="009B6262">
      <w:pPr>
        <w:spacing w:after="160" w:line="256" w:lineRule="auto"/>
        <w:contextualSpacing/>
        <w:rPr>
          <w:rFonts w:asciiTheme="minorHAnsi" w:hAnsiTheme="minorHAnsi" w:cstheme="minorHAnsi"/>
          <w:sz w:val="24"/>
          <w:szCs w:val="24"/>
        </w:rPr>
      </w:pPr>
      <w:r>
        <w:rPr>
          <w:sz w:val="24"/>
          <w:szCs w:val="24"/>
        </w:rPr>
        <w:t xml:space="preserve">Clause 4.1  </w:t>
      </w:r>
      <w:r w:rsidRPr="00ED443C">
        <w:rPr>
          <w:rFonts w:asciiTheme="minorHAnsi" w:hAnsiTheme="minorHAnsi" w:cstheme="minorHAnsi"/>
          <w:sz w:val="24"/>
          <w:szCs w:val="24"/>
        </w:rPr>
        <w:t xml:space="preserve">defines </w:t>
      </w:r>
      <w:r w:rsidR="00AA43F2">
        <w:rPr>
          <w:rFonts w:asciiTheme="minorHAnsi" w:hAnsiTheme="minorHAnsi" w:cstheme="minorHAnsi"/>
          <w:sz w:val="24"/>
          <w:szCs w:val="24"/>
        </w:rPr>
        <w:t xml:space="preserve">monetary penalties - categories 1 - 3. </w:t>
      </w:r>
    </w:p>
    <w:p w14:paraId="018FFEA1" w14:textId="77777777" w:rsidR="00AA43F2" w:rsidRDefault="00AA43F2" w:rsidP="009B6262">
      <w:pPr>
        <w:spacing w:after="160" w:line="256" w:lineRule="auto"/>
        <w:contextualSpacing/>
        <w:rPr>
          <w:rFonts w:asciiTheme="minorHAnsi" w:hAnsiTheme="minorHAnsi" w:cstheme="minorHAnsi"/>
          <w:sz w:val="24"/>
          <w:szCs w:val="24"/>
        </w:rPr>
      </w:pPr>
    </w:p>
    <w:p w14:paraId="1223AFC8" w14:textId="21C45F6A" w:rsidR="009B6262" w:rsidRDefault="009B6262" w:rsidP="009B6262">
      <w:pPr>
        <w:spacing w:after="160" w:line="256" w:lineRule="auto"/>
        <w:contextualSpacing/>
        <w:rPr>
          <w:rFonts w:asciiTheme="minorHAnsi" w:hAnsiTheme="minorHAnsi" w:cstheme="minorHAnsi"/>
          <w:sz w:val="24"/>
          <w:szCs w:val="24"/>
        </w:rPr>
      </w:pPr>
      <w:r>
        <w:rPr>
          <w:rFonts w:asciiTheme="minorHAnsi" w:hAnsiTheme="minorHAnsi" w:cstheme="minorHAnsi"/>
          <w:sz w:val="24"/>
          <w:szCs w:val="24"/>
        </w:rPr>
        <w:t xml:space="preserve">Clause 4.1A prescribes the maximum monetary penalty for </w:t>
      </w:r>
      <w:r>
        <w:rPr>
          <w:rFonts w:asciiTheme="minorHAnsi" w:hAnsiTheme="minorHAnsi" w:cstheme="minorHAnsi"/>
          <w:b/>
          <w:bCs/>
          <w:i/>
          <w:iCs/>
          <w:sz w:val="24"/>
          <w:szCs w:val="24"/>
        </w:rPr>
        <w:t xml:space="preserve">industrial manslaughter monetary penalty </w:t>
      </w:r>
      <w:r>
        <w:rPr>
          <w:rFonts w:asciiTheme="minorHAnsi" w:hAnsiTheme="minorHAnsi" w:cstheme="minorHAnsi"/>
          <w:sz w:val="24"/>
          <w:szCs w:val="24"/>
        </w:rPr>
        <w:t xml:space="preserve"> as $18,000,000. </w:t>
      </w:r>
    </w:p>
    <w:p w14:paraId="79BDE74C" w14:textId="77777777" w:rsidR="00AA43F2" w:rsidRDefault="00AA43F2" w:rsidP="009B6262">
      <w:pPr>
        <w:spacing w:after="160" w:line="256" w:lineRule="auto"/>
        <w:contextualSpacing/>
        <w:rPr>
          <w:rFonts w:asciiTheme="minorHAnsi" w:hAnsiTheme="minorHAnsi" w:cstheme="minorHAnsi"/>
          <w:sz w:val="24"/>
          <w:szCs w:val="24"/>
        </w:rPr>
      </w:pPr>
    </w:p>
    <w:p w14:paraId="4C76A83D" w14:textId="259DF7B9" w:rsidR="009B6262" w:rsidRDefault="00AA43F2" w:rsidP="009B6262">
      <w:pPr>
        <w:spacing w:after="160" w:line="256" w:lineRule="auto"/>
        <w:contextualSpacing/>
        <w:rPr>
          <w:sz w:val="24"/>
          <w:szCs w:val="24"/>
        </w:rPr>
      </w:pPr>
      <w:r>
        <w:rPr>
          <w:sz w:val="24"/>
          <w:szCs w:val="24"/>
        </w:rPr>
        <w:t xml:space="preserve">Clause 4.2 defines monetary penalties tiers A - I. </w:t>
      </w:r>
    </w:p>
    <w:p w14:paraId="32B4768E" w14:textId="77777777" w:rsidR="00AA43F2" w:rsidRDefault="00AA43F2" w:rsidP="009B6262">
      <w:pPr>
        <w:spacing w:after="160" w:line="256" w:lineRule="auto"/>
        <w:contextualSpacing/>
        <w:rPr>
          <w:sz w:val="24"/>
          <w:szCs w:val="24"/>
        </w:rPr>
      </w:pPr>
    </w:p>
    <w:p w14:paraId="4B6BA16A" w14:textId="16D227FF" w:rsidR="00AA43F2" w:rsidRDefault="00AA43F2" w:rsidP="009B6262">
      <w:pPr>
        <w:spacing w:after="160" w:line="256" w:lineRule="auto"/>
        <w:contextualSpacing/>
        <w:rPr>
          <w:sz w:val="24"/>
          <w:szCs w:val="24"/>
        </w:rPr>
      </w:pPr>
      <w:r>
        <w:rPr>
          <w:sz w:val="24"/>
          <w:szCs w:val="24"/>
        </w:rPr>
        <w:t>Clause 4.3 defines WHS civil penalty tiers 1 - 4.</w:t>
      </w:r>
    </w:p>
    <w:p w14:paraId="6B9366FC" w14:textId="77777777" w:rsidR="00AA43F2" w:rsidRDefault="00AA43F2" w:rsidP="009B6262">
      <w:pPr>
        <w:spacing w:after="160" w:line="256" w:lineRule="auto"/>
        <w:contextualSpacing/>
        <w:rPr>
          <w:sz w:val="24"/>
          <w:szCs w:val="24"/>
        </w:rPr>
      </w:pPr>
    </w:p>
    <w:p w14:paraId="6B39159A" w14:textId="0D348B4E" w:rsidR="009B6262" w:rsidRPr="009B6262" w:rsidRDefault="009B6262" w:rsidP="009B6262">
      <w:pPr>
        <w:spacing w:after="160" w:line="256" w:lineRule="auto"/>
        <w:contextualSpacing/>
        <w:rPr>
          <w:rFonts w:asciiTheme="minorHAnsi" w:hAnsiTheme="minorHAnsi" w:cstheme="minorHAnsi"/>
          <w:color w:val="000000" w:themeColor="text1"/>
          <w:sz w:val="24"/>
          <w:szCs w:val="24"/>
        </w:rPr>
      </w:pPr>
      <w:r w:rsidRPr="009B6262">
        <w:rPr>
          <w:sz w:val="24"/>
          <w:szCs w:val="24"/>
        </w:rPr>
        <w:t>Clause 4.</w:t>
      </w:r>
      <w:r w:rsidR="00AA43F2">
        <w:rPr>
          <w:sz w:val="24"/>
          <w:szCs w:val="24"/>
        </w:rPr>
        <w:t>4</w:t>
      </w:r>
      <w:r w:rsidRPr="009B6262">
        <w:rPr>
          <w:sz w:val="24"/>
          <w:szCs w:val="24"/>
        </w:rPr>
        <w:t xml:space="preserve"> amends</w:t>
      </w:r>
      <w:r w:rsidRPr="009B6262">
        <w:rPr>
          <w:rFonts w:asciiTheme="minorHAnsi" w:hAnsiTheme="minorHAnsi" w:cstheme="minorHAnsi"/>
          <w:color w:val="000000" w:themeColor="text1"/>
          <w:sz w:val="24"/>
          <w:szCs w:val="24"/>
        </w:rPr>
        <w:t xml:space="preserve"> the penalty levels in the WHS Act to reflect increases in the Consumer Price Index (CPI), as discussed at above. This is achieved by introducing an indexation formula, which is to be applied annually to all monetary penalties </w:t>
      </w:r>
      <w:r w:rsidR="00AA43F2">
        <w:rPr>
          <w:rFonts w:asciiTheme="minorHAnsi" w:hAnsiTheme="minorHAnsi" w:cstheme="minorHAnsi"/>
          <w:color w:val="000000" w:themeColor="text1"/>
          <w:sz w:val="24"/>
          <w:szCs w:val="24"/>
        </w:rPr>
        <w:t>as provided in</w:t>
      </w:r>
      <w:r w:rsidRPr="009B6262">
        <w:rPr>
          <w:rFonts w:asciiTheme="minorHAnsi" w:hAnsiTheme="minorHAnsi" w:cstheme="minorHAnsi"/>
          <w:color w:val="000000" w:themeColor="text1"/>
          <w:sz w:val="24"/>
          <w:szCs w:val="24"/>
        </w:rPr>
        <w:t xml:space="preserve"> the model</w:t>
      </w:r>
    </w:p>
    <w:p w14:paraId="07FE9947" w14:textId="77777777" w:rsidR="009B6262" w:rsidRPr="009B6262" w:rsidRDefault="009B6262" w:rsidP="009B6262">
      <w:pPr>
        <w:spacing w:after="160" w:line="256" w:lineRule="auto"/>
        <w:contextualSpacing/>
        <w:rPr>
          <w:rFonts w:asciiTheme="minorHAnsi" w:hAnsiTheme="minorHAnsi" w:cstheme="minorHAnsi"/>
          <w:color w:val="000000" w:themeColor="text1"/>
          <w:sz w:val="24"/>
          <w:szCs w:val="24"/>
        </w:rPr>
      </w:pPr>
      <w:r w:rsidRPr="009B6262">
        <w:rPr>
          <w:rFonts w:asciiTheme="minorHAnsi" w:hAnsiTheme="minorHAnsi" w:cstheme="minorHAnsi"/>
          <w:color w:val="000000" w:themeColor="text1"/>
          <w:sz w:val="24"/>
          <w:szCs w:val="24"/>
        </w:rPr>
        <w:t>WHS Act and the model WHS Regulations.</w:t>
      </w:r>
    </w:p>
    <w:p w14:paraId="4D4AF4A9" w14:textId="77777777" w:rsidR="009B6262" w:rsidRPr="009B6262" w:rsidRDefault="009B6262" w:rsidP="009B6262">
      <w:pPr>
        <w:spacing w:after="160" w:line="256" w:lineRule="auto"/>
        <w:contextualSpacing/>
        <w:rPr>
          <w:rFonts w:asciiTheme="minorHAnsi" w:hAnsiTheme="minorHAnsi" w:cstheme="minorHAnsi"/>
          <w:color w:val="000000" w:themeColor="text1"/>
          <w:sz w:val="24"/>
          <w:szCs w:val="24"/>
        </w:rPr>
      </w:pPr>
    </w:p>
    <w:p w14:paraId="4F98D641" w14:textId="77777777" w:rsidR="009B6262" w:rsidRPr="009B6262" w:rsidRDefault="009B6262" w:rsidP="009B6262">
      <w:pPr>
        <w:spacing w:after="160" w:line="256" w:lineRule="auto"/>
        <w:contextualSpacing/>
        <w:rPr>
          <w:rFonts w:asciiTheme="minorHAnsi" w:hAnsiTheme="minorHAnsi" w:cstheme="minorHAnsi"/>
          <w:color w:val="000000" w:themeColor="text1"/>
          <w:sz w:val="24"/>
          <w:szCs w:val="24"/>
        </w:rPr>
      </w:pPr>
      <w:r w:rsidRPr="009B6262">
        <w:rPr>
          <w:rFonts w:asciiTheme="minorHAnsi" w:hAnsiTheme="minorHAnsi" w:cstheme="minorHAnsi"/>
          <w:color w:val="000000" w:themeColor="text1"/>
          <w:sz w:val="24"/>
          <w:szCs w:val="24"/>
        </w:rPr>
        <w:t>Each monetary penalty set out in clauses 1-3 must be indexed for the year commencing on 1 July 2024, and each subsequent year in accordance with clause 4.</w:t>
      </w:r>
    </w:p>
    <w:p w14:paraId="356053CE" w14:textId="77777777" w:rsidR="009B6262" w:rsidRPr="009B6262" w:rsidRDefault="009B6262" w:rsidP="009B6262">
      <w:pPr>
        <w:spacing w:after="160" w:line="256" w:lineRule="auto"/>
        <w:contextualSpacing/>
        <w:rPr>
          <w:rFonts w:asciiTheme="minorHAnsi" w:hAnsiTheme="minorHAnsi" w:cstheme="minorHAnsi"/>
          <w:color w:val="000000" w:themeColor="text1"/>
          <w:sz w:val="24"/>
          <w:szCs w:val="24"/>
        </w:rPr>
      </w:pPr>
    </w:p>
    <w:p w14:paraId="690D2F5B" w14:textId="50765762" w:rsidR="009B6262" w:rsidRPr="009B6262" w:rsidRDefault="009B6262" w:rsidP="009B6262">
      <w:pPr>
        <w:spacing w:after="160" w:line="256" w:lineRule="auto"/>
        <w:contextualSpacing/>
        <w:rPr>
          <w:rFonts w:asciiTheme="minorHAnsi" w:hAnsiTheme="minorHAnsi" w:cstheme="minorHAnsi"/>
          <w:color w:val="000000" w:themeColor="text1"/>
          <w:sz w:val="24"/>
          <w:szCs w:val="24"/>
        </w:rPr>
      </w:pPr>
      <w:r w:rsidRPr="009B6262">
        <w:rPr>
          <w:rFonts w:asciiTheme="minorHAnsi" w:hAnsiTheme="minorHAnsi" w:cstheme="minorHAnsi"/>
          <w:color w:val="000000" w:themeColor="text1"/>
          <w:sz w:val="24"/>
          <w:szCs w:val="24"/>
        </w:rPr>
        <w:t>Clause 4</w:t>
      </w:r>
      <w:r w:rsidR="00AA43F2">
        <w:rPr>
          <w:rFonts w:asciiTheme="minorHAnsi" w:hAnsiTheme="minorHAnsi" w:cstheme="minorHAnsi"/>
          <w:color w:val="000000" w:themeColor="text1"/>
          <w:sz w:val="24"/>
          <w:szCs w:val="24"/>
        </w:rPr>
        <w:t>.4</w:t>
      </w:r>
      <w:r w:rsidRPr="009B6262">
        <w:rPr>
          <w:rFonts w:asciiTheme="minorHAnsi" w:hAnsiTheme="minorHAnsi" w:cstheme="minorHAnsi"/>
          <w:color w:val="000000" w:themeColor="text1"/>
          <w:sz w:val="24"/>
          <w:szCs w:val="24"/>
        </w:rPr>
        <w:t xml:space="preserve"> contains the formula for calculating the maximum amount of each monetary</w:t>
      </w:r>
      <w:r w:rsidR="0013480A">
        <w:rPr>
          <w:rFonts w:asciiTheme="minorHAnsi" w:hAnsiTheme="minorHAnsi" w:cstheme="minorHAnsi"/>
          <w:color w:val="000000" w:themeColor="text1"/>
          <w:sz w:val="24"/>
          <w:szCs w:val="24"/>
        </w:rPr>
        <w:t xml:space="preserve"> </w:t>
      </w:r>
      <w:r w:rsidRPr="009B6262">
        <w:rPr>
          <w:rFonts w:asciiTheme="minorHAnsi" w:hAnsiTheme="minorHAnsi" w:cstheme="minorHAnsi"/>
          <w:color w:val="000000" w:themeColor="text1"/>
          <w:sz w:val="24"/>
          <w:szCs w:val="24"/>
        </w:rPr>
        <w:t>penalty that will apply in each year. The maximum amount is calculated as follows—</w:t>
      </w:r>
    </w:p>
    <w:p w14:paraId="39DEA268" w14:textId="77777777" w:rsidR="009B6262" w:rsidRPr="009B6262" w:rsidRDefault="009B6262" w:rsidP="009B6262">
      <w:pPr>
        <w:spacing w:after="160" w:line="256" w:lineRule="auto"/>
        <w:contextualSpacing/>
        <w:rPr>
          <w:rFonts w:ascii="Cambria Math" w:hAnsi="Cambria Math" w:cs="Cambria Math"/>
          <w:color w:val="000000" w:themeColor="text1"/>
          <w:sz w:val="24"/>
          <w:szCs w:val="24"/>
        </w:rPr>
      </w:pPr>
    </w:p>
    <w:p w14:paraId="5A905820" w14:textId="041C0E23" w:rsidR="00AA43F2" w:rsidRDefault="009B6262" w:rsidP="00AA43F2">
      <w:pPr>
        <w:pStyle w:val="ListParagraph"/>
        <w:spacing w:after="160" w:line="256" w:lineRule="auto"/>
        <w:ind w:left="360"/>
        <w:contextualSpacing/>
        <w:jc w:val="center"/>
        <w:rPr>
          <w:rFonts w:ascii="Cambria Math" w:hAnsi="Cambria Math" w:cs="Cambria Math"/>
          <w:color w:val="000000" w:themeColor="text1"/>
          <w:sz w:val="52"/>
          <w:szCs w:val="52"/>
        </w:rPr>
      </w:pPr>
      <w:r w:rsidRPr="00AA43F2">
        <w:rPr>
          <w:rFonts w:ascii="Cambria Math" w:hAnsi="Cambria Math" w:cs="Cambria Math"/>
          <w:color w:val="000000" w:themeColor="text1"/>
          <w:sz w:val="52"/>
          <w:szCs w:val="52"/>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977"/>
      </w:tblGrid>
      <w:tr w:rsidR="005A4508" w14:paraId="1B24D586" w14:textId="77777777" w:rsidTr="005A4508">
        <w:trPr>
          <w:jc w:val="center"/>
        </w:trPr>
        <w:tc>
          <w:tcPr>
            <w:tcW w:w="1007" w:type="dxa"/>
          </w:tcPr>
          <w:p w14:paraId="61E3AEC8" w14:textId="77777777" w:rsidR="005A4508" w:rsidRDefault="005A4508" w:rsidP="00AA43F2">
            <w:pPr>
              <w:pStyle w:val="ListParagraph"/>
              <w:spacing w:after="160" w:line="256" w:lineRule="auto"/>
              <w:ind w:left="0"/>
              <w:contextualSpacing/>
              <w:jc w:val="center"/>
              <w:rPr>
                <w:rFonts w:ascii="Cambria Math" w:hAnsi="Cambria Math" w:cs="Cambria Math"/>
                <w:color w:val="000000" w:themeColor="text1"/>
                <w:sz w:val="52"/>
                <w:szCs w:val="52"/>
              </w:rPr>
            </w:pPr>
          </w:p>
        </w:tc>
        <w:tc>
          <w:tcPr>
            <w:tcW w:w="977" w:type="dxa"/>
            <w:vMerge w:val="restart"/>
            <w:vAlign w:val="center"/>
          </w:tcPr>
          <w:p w14:paraId="1446CD70" w14:textId="77777777" w:rsidR="005A4508" w:rsidRDefault="005A4508" w:rsidP="005A4508">
            <w:pPr>
              <w:pStyle w:val="ListParagraph"/>
              <w:spacing w:after="160" w:line="256" w:lineRule="auto"/>
              <w:ind w:left="-266"/>
              <w:contextualSpacing/>
              <w:jc w:val="center"/>
              <w:rPr>
                <w:rFonts w:ascii="Cambria Math" w:hAnsi="Cambria Math" w:cs="Cambria Math"/>
                <w:color w:val="000000" w:themeColor="text1"/>
                <w:sz w:val="52"/>
                <w:szCs w:val="52"/>
              </w:rPr>
            </w:pPr>
            <w:r>
              <w:rPr>
                <w:rFonts w:ascii="Cambria Math" w:hAnsi="Cambria Math" w:cs="Cambria Math"/>
                <w:color w:val="000000" w:themeColor="text1"/>
                <w:sz w:val="52"/>
                <w:szCs w:val="52"/>
              </w:rPr>
              <w:t>B</w:t>
            </w:r>
          </w:p>
          <w:p w14:paraId="7B43F6A9" w14:textId="52A4E749" w:rsidR="005A4508" w:rsidRDefault="00BC0A72" w:rsidP="005A4508">
            <w:pPr>
              <w:pStyle w:val="ListParagraph"/>
              <w:spacing w:after="0" w:line="256" w:lineRule="auto"/>
              <w:ind w:left="-266"/>
              <w:contextualSpacing/>
              <w:jc w:val="center"/>
              <w:rPr>
                <w:rFonts w:ascii="Cambria Math" w:hAnsi="Cambria Math" w:cs="Cambria Math"/>
                <w:color w:val="000000" w:themeColor="text1"/>
                <w:sz w:val="52"/>
                <w:szCs w:val="52"/>
              </w:rPr>
            </w:pPr>
            <w:r>
              <w:rPr>
                <w:rFonts w:ascii="Cambria Math" w:hAnsi="Cambria Math" w:cs="Cambria Math"/>
                <w:color w:val="000000" w:themeColor="text1"/>
                <w:sz w:val="52"/>
                <w:szCs w:val="52"/>
              </w:rPr>
              <w:noBreakHyphen/>
            </w:r>
          </w:p>
          <w:p w14:paraId="76B50F9C" w14:textId="795A9B57" w:rsidR="005A4508" w:rsidRDefault="005A4508" w:rsidP="005A4508">
            <w:pPr>
              <w:pStyle w:val="ListParagraph"/>
              <w:spacing w:after="160" w:line="256" w:lineRule="auto"/>
              <w:ind w:left="-266"/>
              <w:contextualSpacing/>
              <w:jc w:val="center"/>
              <w:rPr>
                <w:rFonts w:ascii="Cambria Math" w:hAnsi="Cambria Math" w:cs="Cambria Math"/>
                <w:color w:val="000000" w:themeColor="text1"/>
                <w:sz w:val="52"/>
                <w:szCs w:val="52"/>
              </w:rPr>
            </w:pPr>
            <w:r>
              <w:rPr>
                <w:rFonts w:ascii="Cambria Math" w:hAnsi="Cambria Math" w:cs="Cambria Math"/>
                <w:color w:val="000000" w:themeColor="text1"/>
                <w:sz w:val="52"/>
                <w:szCs w:val="52"/>
              </w:rPr>
              <w:t>C</w:t>
            </w:r>
          </w:p>
        </w:tc>
      </w:tr>
      <w:tr w:rsidR="005A4508" w14:paraId="2E263F2B" w14:textId="77777777" w:rsidTr="005A4508">
        <w:trPr>
          <w:jc w:val="center"/>
        </w:trPr>
        <w:tc>
          <w:tcPr>
            <w:tcW w:w="1007" w:type="dxa"/>
            <w:vAlign w:val="center"/>
          </w:tcPr>
          <w:p w14:paraId="1BC33AE5" w14:textId="0D8C6928" w:rsidR="005A4508" w:rsidRDefault="005A4508" w:rsidP="005A4508">
            <w:pPr>
              <w:pStyle w:val="ListParagraph"/>
              <w:spacing w:after="160" w:line="256" w:lineRule="auto"/>
              <w:ind w:left="0"/>
              <w:contextualSpacing/>
              <w:jc w:val="center"/>
              <w:rPr>
                <w:rFonts w:ascii="Cambria Math" w:hAnsi="Cambria Math" w:cs="Cambria Math"/>
                <w:color w:val="000000" w:themeColor="text1"/>
                <w:sz w:val="52"/>
                <w:szCs w:val="52"/>
              </w:rPr>
            </w:pPr>
            <w:r>
              <w:rPr>
                <w:rFonts w:ascii="Cambria Math" w:hAnsi="Cambria Math" w:cs="Cambria Math"/>
                <w:color w:val="000000" w:themeColor="text1"/>
                <w:sz w:val="52"/>
                <w:szCs w:val="52"/>
              </w:rPr>
              <w:t>A x</w:t>
            </w:r>
            <w:r w:rsidR="0013480A">
              <w:rPr>
                <w:rFonts w:ascii="Cambria Math" w:hAnsi="Cambria Math" w:cs="Cambria Math"/>
                <w:color w:val="000000" w:themeColor="text1"/>
                <w:sz w:val="52"/>
                <w:szCs w:val="52"/>
              </w:rPr>
              <w:t xml:space="preserve">   </w:t>
            </w:r>
          </w:p>
        </w:tc>
        <w:tc>
          <w:tcPr>
            <w:tcW w:w="977" w:type="dxa"/>
            <w:vMerge/>
          </w:tcPr>
          <w:p w14:paraId="2BB732D7" w14:textId="247AC0E5" w:rsidR="005A4508" w:rsidRDefault="005A4508" w:rsidP="00AA43F2">
            <w:pPr>
              <w:pStyle w:val="ListParagraph"/>
              <w:spacing w:after="160" w:line="256" w:lineRule="auto"/>
              <w:ind w:left="0"/>
              <w:contextualSpacing/>
              <w:jc w:val="center"/>
              <w:rPr>
                <w:rFonts w:ascii="Cambria Math" w:hAnsi="Cambria Math" w:cs="Cambria Math"/>
                <w:color w:val="000000" w:themeColor="text1"/>
                <w:sz w:val="52"/>
                <w:szCs w:val="52"/>
              </w:rPr>
            </w:pPr>
          </w:p>
        </w:tc>
      </w:tr>
      <w:tr w:rsidR="005A4508" w14:paraId="1996FEE1" w14:textId="77777777" w:rsidTr="005A4508">
        <w:trPr>
          <w:trHeight w:val="546"/>
          <w:jc w:val="center"/>
        </w:trPr>
        <w:tc>
          <w:tcPr>
            <w:tcW w:w="1007" w:type="dxa"/>
          </w:tcPr>
          <w:p w14:paraId="5E7EF27C" w14:textId="77777777" w:rsidR="005A4508" w:rsidRDefault="005A4508" w:rsidP="00AA43F2">
            <w:pPr>
              <w:pStyle w:val="ListParagraph"/>
              <w:spacing w:after="160" w:line="256" w:lineRule="auto"/>
              <w:ind w:left="0"/>
              <w:contextualSpacing/>
              <w:jc w:val="center"/>
              <w:rPr>
                <w:rFonts w:ascii="Cambria Math" w:hAnsi="Cambria Math" w:cs="Cambria Math"/>
                <w:color w:val="000000" w:themeColor="text1"/>
                <w:sz w:val="52"/>
                <w:szCs w:val="52"/>
              </w:rPr>
            </w:pPr>
          </w:p>
        </w:tc>
        <w:tc>
          <w:tcPr>
            <w:tcW w:w="977" w:type="dxa"/>
            <w:vMerge/>
          </w:tcPr>
          <w:p w14:paraId="472961BA" w14:textId="1351B9E5" w:rsidR="005A4508" w:rsidRDefault="005A4508" w:rsidP="00AA43F2">
            <w:pPr>
              <w:pStyle w:val="ListParagraph"/>
              <w:spacing w:after="160" w:line="256" w:lineRule="auto"/>
              <w:ind w:left="0"/>
              <w:contextualSpacing/>
              <w:jc w:val="center"/>
              <w:rPr>
                <w:rFonts w:ascii="Cambria Math" w:hAnsi="Cambria Math" w:cs="Cambria Math"/>
                <w:color w:val="000000" w:themeColor="text1"/>
                <w:sz w:val="52"/>
                <w:szCs w:val="52"/>
              </w:rPr>
            </w:pPr>
          </w:p>
        </w:tc>
      </w:tr>
    </w:tbl>
    <w:p w14:paraId="69251D2C" w14:textId="25D4CAFD" w:rsidR="009B6262" w:rsidRPr="005A4508" w:rsidRDefault="005A4508" w:rsidP="005A4508">
      <w:pPr>
        <w:spacing w:after="160" w:line="256" w:lineRule="auto"/>
        <w:contextualSpacing/>
        <w:rPr>
          <w:rFonts w:asciiTheme="minorHAnsi" w:hAnsiTheme="minorHAnsi" w:cstheme="minorHAnsi"/>
          <w:color w:val="000000" w:themeColor="text1"/>
          <w:sz w:val="24"/>
          <w:szCs w:val="24"/>
        </w:rPr>
      </w:pPr>
      <w:r w:rsidRPr="005A4508">
        <w:rPr>
          <w:rFonts w:asciiTheme="minorHAnsi" w:hAnsiTheme="minorHAnsi" w:cstheme="minorHAnsi"/>
          <w:color w:val="000000" w:themeColor="text1"/>
          <w:sz w:val="24"/>
          <w:szCs w:val="24"/>
        </w:rPr>
        <w:t>w</w:t>
      </w:r>
      <w:r w:rsidR="009B6262" w:rsidRPr="005A4508">
        <w:rPr>
          <w:rFonts w:asciiTheme="minorHAnsi" w:hAnsiTheme="minorHAnsi" w:cstheme="minorHAnsi"/>
          <w:color w:val="000000" w:themeColor="text1"/>
          <w:sz w:val="24"/>
          <w:szCs w:val="24"/>
        </w:rPr>
        <w:t>here –</w:t>
      </w:r>
    </w:p>
    <w:p w14:paraId="4FDD1F9D" w14:textId="77777777" w:rsidR="009B6262" w:rsidRPr="009B6262" w:rsidRDefault="009B6262" w:rsidP="00AA43F2">
      <w:pPr>
        <w:pStyle w:val="ListParagraph"/>
        <w:spacing w:after="160" w:line="256" w:lineRule="auto"/>
        <w:contextualSpacing/>
        <w:rPr>
          <w:rFonts w:asciiTheme="minorHAnsi" w:hAnsiTheme="minorHAnsi" w:cstheme="minorHAnsi"/>
          <w:color w:val="000000" w:themeColor="text1"/>
          <w:sz w:val="24"/>
          <w:szCs w:val="24"/>
        </w:rPr>
      </w:pPr>
      <w:r w:rsidRPr="009B6262">
        <w:rPr>
          <w:rFonts w:asciiTheme="minorHAnsi" w:hAnsiTheme="minorHAnsi" w:cstheme="minorHAnsi"/>
          <w:color w:val="000000" w:themeColor="text1"/>
          <w:sz w:val="24"/>
          <w:szCs w:val="24"/>
        </w:rPr>
        <w:t>A is the maximum amount of a monetary penalty set out in clauses 1-3.</w:t>
      </w:r>
    </w:p>
    <w:p w14:paraId="7112A2D3" w14:textId="77777777" w:rsidR="009B6262" w:rsidRPr="009B6262" w:rsidRDefault="009B6262" w:rsidP="00AA43F2">
      <w:pPr>
        <w:pStyle w:val="ListParagraph"/>
        <w:spacing w:after="160" w:line="256" w:lineRule="auto"/>
        <w:contextualSpacing/>
        <w:rPr>
          <w:rFonts w:asciiTheme="minorHAnsi" w:hAnsiTheme="minorHAnsi" w:cstheme="minorHAnsi"/>
          <w:color w:val="000000" w:themeColor="text1"/>
          <w:sz w:val="24"/>
          <w:szCs w:val="24"/>
        </w:rPr>
      </w:pPr>
      <w:r w:rsidRPr="009B6262">
        <w:rPr>
          <w:rFonts w:asciiTheme="minorHAnsi" w:hAnsiTheme="minorHAnsi" w:cstheme="minorHAnsi"/>
          <w:color w:val="000000" w:themeColor="text1"/>
          <w:sz w:val="24"/>
          <w:szCs w:val="24"/>
        </w:rPr>
        <w:t>B is the CPI number for the March quarter in the year immediately preceding the year for which the amount is calculated.</w:t>
      </w:r>
    </w:p>
    <w:p w14:paraId="72FD5BDB" w14:textId="77777777" w:rsidR="009B6262" w:rsidRPr="009B6262" w:rsidRDefault="009B6262" w:rsidP="00AA43F2">
      <w:pPr>
        <w:pStyle w:val="ListParagraph"/>
        <w:spacing w:after="160" w:line="256" w:lineRule="auto"/>
        <w:contextualSpacing/>
        <w:rPr>
          <w:rFonts w:asciiTheme="minorHAnsi" w:hAnsiTheme="minorHAnsi" w:cstheme="minorHAnsi"/>
          <w:color w:val="000000" w:themeColor="text1"/>
          <w:sz w:val="24"/>
          <w:szCs w:val="24"/>
        </w:rPr>
      </w:pPr>
      <w:r w:rsidRPr="009B6262">
        <w:rPr>
          <w:rFonts w:asciiTheme="minorHAnsi" w:hAnsiTheme="minorHAnsi" w:cstheme="minorHAnsi"/>
          <w:color w:val="000000" w:themeColor="text1"/>
          <w:sz w:val="24"/>
          <w:szCs w:val="24"/>
        </w:rPr>
        <w:t>C is the CPI number for the March quarter of 2022.</w:t>
      </w:r>
    </w:p>
    <w:p w14:paraId="0DCEBEEC" w14:textId="77777777" w:rsidR="009B6262" w:rsidRPr="009B6262" w:rsidRDefault="009B6262" w:rsidP="009B6262">
      <w:pPr>
        <w:pStyle w:val="ListParagraph"/>
        <w:spacing w:after="160" w:line="256" w:lineRule="auto"/>
        <w:ind w:left="360"/>
        <w:contextualSpacing/>
        <w:rPr>
          <w:rFonts w:asciiTheme="minorHAnsi" w:hAnsiTheme="minorHAnsi" w:cstheme="minorHAnsi"/>
          <w:color w:val="000000" w:themeColor="text1"/>
          <w:sz w:val="24"/>
          <w:szCs w:val="24"/>
        </w:rPr>
      </w:pPr>
    </w:p>
    <w:p w14:paraId="4F7F1B2E" w14:textId="5E4E2E00" w:rsidR="009B6262" w:rsidRDefault="009B6262" w:rsidP="009B6262">
      <w:pPr>
        <w:pStyle w:val="ListParagraph"/>
        <w:spacing w:after="160" w:line="256" w:lineRule="auto"/>
        <w:ind w:left="360"/>
        <w:contextualSpacing/>
        <w:rPr>
          <w:rFonts w:asciiTheme="minorHAnsi" w:hAnsiTheme="minorHAnsi" w:cstheme="minorHAnsi"/>
          <w:color w:val="000000" w:themeColor="text1"/>
          <w:sz w:val="24"/>
          <w:szCs w:val="24"/>
        </w:rPr>
      </w:pPr>
      <w:r w:rsidRPr="009B6262">
        <w:rPr>
          <w:rFonts w:asciiTheme="minorHAnsi" w:hAnsiTheme="minorHAnsi" w:cstheme="minorHAnsi"/>
          <w:color w:val="000000" w:themeColor="text1"/>
          <w:sz w:val="24"/>
          <w:szCs w:val="24"/>
        </w:rPr>
        <w:t>Clause 4</w:t>
      </w:r>
      <w:r w:rsidR="00AA43F2">
        <w:rPr>
          <w:rFonts w:asciiTheme="minorHAnsi" w:hAnsiTheme="minorHAnsi" w:cstheme="minorHAnsi"/>
          <w:color w:val="000000" w:themeColor="text1"/>
          <w:sz w:val="24"/>
          <w:szCs w:val="24"/>
        </w:rPr>
        <w:t>.4</w:t>
      </w:r>
      <w:r w:rsidRPr="009B6262">
        <w:rPr>
          <w:rFonts w:asciiTheme="minorHAnsi" w:hAnsiTheme="minorHAnsi" w:cstheme="minorHAnsi"/>
          <w:color w:val="000000" w:themeColor="text1"/>
          <w:sz w:val="24"/>
          <w:szCs w:val="24"/>
        </w:rPr>
        <w:t>(3) provides that if the maximum amount of a monetary penalty calculated for a year is less than the amount that applied in the previous year, then the amount for the previous year continues to apply. This ensures that penalty levels do not decrease.</w:t>
      </w:r>
    </w:p>
    <w:p w14:paraId="6E9C434C" w14:textId="77777777" w:rsidR="00AA43F2" w:rsidRPr="009B6262" w:rsidRDefault="00AA43F2" w:rsidP="009B6262">
      <w:pPr>
        <w:pStyle w:val="ListParagraph"/>
        <w:spacing w:after="160" w:line="256" w:lineRule="auto"/>
        <w:ind w:left="360"/>
        <w:contextualSpacing/>
        <w:rPr>
          <w:rFonts w:asciiTheme="minorHAnsi" w:hAnsiTheme="minorHAnsi" w:cstheme="minorHAnsi"/>
          <w:color w:val="000000" w:themeColor="text1"/>
          <w:sz w:val="24"/>
          <w:szCs w:val="24"/>
        </w:rPr>
      </w:pPr>
    </w:p>
    <w:p w14:paraId="7BA3424B" w14:textId="52F031A8" w:rsidR="00AA43F2" w:rsidRDefault="009B6262" w:rsidP="009B6262">
      <w:pPr>
        <w:pStyle w:val="ListParagraph"/>
        <w:spacing w:after="160" w:line="256" w:lineRule="auto"/>
        <w:ind w:left="360"/>
        <w:contextualSpacing/>
        <w:rPr>
          <w:rFonts w:asciiTheme="minorHAnsi" w:hAnsiTheme="minorHAnsi" w:cstheme="minorHAnsi"/>
          <w:color w:val="000000" w:themeColor="text1"/>
          <w:sz w:val="24"/>
          <w:szCs w:val="24"/>
        </w:rPr>
      </w:pPr>
      <w:r w:rsidRPr="009B6262">
        <w:rPr>
          <w:rFonts w:asciiTheme="minorHAnsi" w:hAnsiTheme="minorHAnsi" w:cstheme="minorHAnsi"/>
          <w:color w:val="000000" w:themeColor="text1"/>
          <w:sz w:val="24"/>
          <w:szCs w:val="24"/>
        </w:rPr>
        <w:t>Clause 4</w:t>
      </w:r>
      <w:r w:rsidR="00AA43F2">
        <w:rPr>
          <w:rFonts w:asciiTheme="minorHAnsi" w:hAnsiTheme="minorHAnsi" w:cstheme="minorHAnsi"/>
          <w:color w:val="000000" w:themeColor="text1"/>
          <w:sz w:val="24"/>
          <w:szCs w:val="24"/>
        </w:rPr>
        <w:t>.4</w:t>
      </w:r>
      <w:r w:rsidRPr="009B6262">
        <w:rPr>
          <w:rFonts w:asciiTheme="minorHAnsi" w:hAnsiTheme="minorHAnsi" w:cstheme="minorHAnsi"/>
          <w:color w:val="000000" w:themeColor="text1"/>
          <w:sz w:val="24"/>
          <w:szCs w:val="24"/>
        </w:rPr>
        <w:t>(4) defines CPI number to mean the All Groups Consumer Price Index number, that</w:t>
      </w:r>
      <w:r w:rsidR="00AA43F2">
        <w:rPr>
          <w:rFonts w:asciiTheme="minorHAnsi" w:hAnsiTheme="minorHAnsi" w:cstheme="minorHAnsi"/>
          <w:color w:val="000000" w:themeColor="text1"/>
          <w:sz w:val="24"/>
          <w:szCs w:val="24"/>
        </w:rPr>
        <w:t xml:space="preserve"> </w:t>
      </w:r>
      <w:r w:rsidRPr="009B6262">
        <w:rPr>
          <w:rFonts w:asciiTheme="minorHAnsi" w:hAnsiTheme="minorHAnsi" w:cstheme="minorHAnsi"/>
          <w:color w:val="000000" w:themeColor="text1"/>
          <w:sz w:val="24"/>
          <w:szCs w:val="24"/>
        </w:rPr>
        <w:t xml:space="preserve">is, the weighted average of the </w:t>
      </w:r>
      <w:r w:rsidR="0013480A">
        <w:rPr>
          <w:rFonts w:asciiTheme="minorHAnsi" w:hAnsiTheme="minorHAnsi" w:cstheme="minorHAnsi"/>
          <w:color w:val="000000" w:themeColor="text1"/>
          <w:sz w:val="24"/>
          <w:szCs w:val="24"/>
        </w:rPr>
        <w:t>eight</w:t>
      </w:r>
      <w:r w:rsidRPr="009B6262">
        <w:rPr>
          <w:rFonts w:asciiTheme="minorHAnsi" w:hAnsiTheme="minorHAnsi" w:cstheme="minorHAnsi"/>
          <w:color w:val="000000" w:themeColor="text1"/>
          <w:sz w:val="24"/>
          <w:szCs w:val="24"/>
        </w:rPr>
        <w:t xml:space="preserve"> Australian capital cities, published by the Australian</w:t>
      </w:r>
      <w:r w:rsidR="00AA43F2">
        <w:rPr>
          <w:rFonts w:asciiTheme="minorHAnsi" w:hAnsiTheme="minorHAnsi" w:cstheme="minorHAnsi"/>
          <w:color w:val="000000" w:themeColor="text1"/>
          <w:sz w:val="24"/>
          <w:szCs w:val="24"/>
        </w:rPr>
        <w:t xml:space="preserve"> </w:t>
      </w:r>
      <w:r w:rsidRPr="009B6262">
        <w:rPr>
          <w:rFonts w:asciiTheme="minorHAnsi" w:hAnsiTheme="minorHAnsi" w:cstheme="minorHAnsi"/>
          <w:color w:val="000000" w:themeColor="text1"/>
          <w:sz w:val="24"/>
          <w:szCs w:val="24"/>
        </w:rPr>
        <w:t xml:space="preserve">Statistician. </w:t>
      </w:r>
    </w:p>
    <w:p w14:paraId="63C95532" w14:textId="77777777" w:rsidR="00AA43F2" w:rsidRDefault="00AA43F2" w:rsidP="009B6262">
      <w:pPr>
        <w:pStyle w:val="ListParagraph"/>
        <w:spacing w:after="160" w:line="256" w:lineRule="auto"/>
        <w:ind w:left="360"/>
        <w:contextualSpacing/>
        <w:rPr>
          <w:rFonts w:asciiTheme="minorHAnsi" w:hAnsiTheme="minorHAnsi" w:cstheme="minorHAnsi"/>
          <w:color w:val="000000" w:themeColor="text1"/>
          <w:sz w:val="24"/>
          <w:szCs w:val="24"/>
        </w:rPr>
      </w:pPr>
    </w:p>
    <w:p w14:paraId="06197A68" w14:textId="4133301B" w:rsidR="009B6262" w:rsidRPr="009B6262" w:rsidRDefault="009B6262" w:rsidP="009B6262">
      <w:pPr>
        <w:pStyle w:val="ListParagraph"/>
        <w:spacing w:after="160" w:line="256" w:lineRule="auto"/>
        <w:ind w:left="360"/>
        <w:contextualSpacing/>
        <w:rPr>
          <w:rFonts w:asciiTheme="minorHAnsi" w:hAnsiTheme="minorHAnsi" w:cstheme="minorHAnsi"/>
          <w:color w:val="000000" w:themeColor="text1"/>
          <w:sz w:val="24"/>
          <w:szCs w:val="24"/>
        </w:rPr>
      </w:pPr>
      <w:r w:rsidRPr="009B6262">
        <w:rPr>
          <w:rFonts w:asciiTheme="minorHAnsi" w:hAnsiTheme="minorHAnsi" w:cstheme="minorHAnsi"/>
          <w:color w:val="000000" w:themeColor="text1"/>
          <w:sz w:val="24"/>
          <w:szCs w:val="24"/>
        </w:rPr>
        <w:t>Year means a period of 12 months starting on 1 July.</w:t>
      </w:r>
    </w:p>
    <w:p w14:paraId="1A799258" w14:textId="77777777" w:rsidR="009B6262" w:rsidRPr="009B6262" w:rsidRDefault="009B6262" w:rsidP="009B6262">
      <w:pPr>
        <w:pStyle w:val="ListParagraph"/>
        <w:spacing w:after="160" w:line="256" w:lineRule="auto"/>
        <w:ind w:left="360"/>
        <w:contextualSpacing/>
        <w:rPr>
          <w:rFonts w:asciiTheme="minorHAnsi" w:hAnsiTheme="minorHAnsi" w:cstheme="minorHAnsi"/>
          <w:color w:val="000000" w:themeColor="text1"/>
          <w:sz w:val="24"/>
          <w:szCs w:val="24"/>
        </w:rPr>
      </w:pPr>
    </w:p>
    <w:p w14:paraId="44EFF40A" w14:textId="7DAB61E6" w:rsidR="009B6262" w:rsidRPr="009B6262" w:rsidRDefault="009B6262" w:rsidP="009B6262">
      <w:pPr>
        <w:pStyle w:val="ListParagraph"/>
        <w:spacing w:after="160" w:line="256" w:lineRule="auto"/>
        <w:ind w:left="360"/>
        <w:contextualSpacing/>
        <w:rPr>
          <w:rFonts w:asciiTheme="minorHAnsi" w:hAnsiTheme="minorHAnsi" w:cstheme="minorHAnsi"/>
          <w:color w:val="000000" w:themeColor="text1"/>
          <w:sz w:val="24"/>
          <w:szCs w:val="24"/>
        </w:rPr>
      </w:pPr>
      <w:r w:rsidRPr="009B6262">
        <w:rPr>
          <w:rFonts w:asciiTheme="minorHAnsi" w:hAnsiTheme="minorHAnsi" w:cstheme="minorHAnsi"/>
          <w:color w:val="000000" w:themeColor="text1"/>
          <w:sz w:val="24"/>
          <w:szCs w:val="24"/>
        </w:rPr>
        <w:t xml:space="preserve">Clause </w:t>
      </w:r>
      <w:r w:rsidR="00AA43F2">
        <w:rPr>
          <w:rFonts w:asciiTheme="minorHAnsi" w:hAnsiTheme="minorHAnsi" w:cstheme="minorHAnsi"/>
          <w:color w:val="000000" w:themeColor="text1"/>
          <w:sz w:val="24"/>
          <w:szCs w:val="24"/>
        </w:rPr>
        <w:t>4.5</w:t>
      </w:r>
      <w:r w:rsidRPr="009B6262">
        <w:rPr>
          <w:rFonts w:asciiTheme="minorHAnsi" w:hAnsiTheme="minorHAnsi" w:cstheme="minorHAnsi"/>
          <w:color w:val="000000" w:themeColor="text1"/>
          <w:sz w:val="24"/>
          <w:szCs w:val="24"/>
        </w:rPr>
        <w:t xml:space="preserve"> specifies that for penalties under $10,000 and not a multiple of $100, the maximum amount of a monetary penalty will be rounded down to the nearest $100 and an amount of $50 is rounded down. For penalties more than $10,000 and not a multiple of $1</w:t>
      </w:r>
      <w:r w:rsidR="00FE2813">
        <w:rPr>
          <w:rFonts w:asciiTheme="minorHAnsi" w:hAnsiTheme="minorHAnsi" w:cstheme="minorHAnsi"/>
          <w:color w:val="000000" w:themeColor="text1"/>
          <w:sz w:val="24"/>
          <w:szCs w:val="24"/>
        </w:rPr>
        <w:t>,</w:t>
      </w:r>
      <w:r w:rsidRPr="009B6262">
        <w:rPr>
          <w:rFonts w:asciiTheme="minorHAnsi" w:hAnsiTheme="minorHAnsi" w:cstheme="minorHAnsi"/>
          <w:color w:val="000000" w:themeColor="text1"/>
          <w:sz w:val="24"/>
          <w:szCs w:val="24"/>
        </w:rPr>
        <w:t>000, the maximum amount of the penalty must be rounded to the nearest $1</w:t>
      </w:r>
      <w:r w:rsidR="00FE2813">
        <w:rPr>
          <w:rFonts w:asciiTheme="minorHAnsi" w:hAnsiTheme="minorHAnsi" w:cstheme="minorHAnsi"/>
          <w:color w:val="000000" w:themeColor="text1"/>
          <w:sz w:val="24"/>
          <w:szCs w:val="24"/>
        </w:rPr>
        <w:t>,</w:t>
      </w:r>
      <w:r w:rsidRPr="009B6262">
        <w:rPr>
          <w:rFonts w:asciiTheme="minorHAnsi" w:hAnsiTheme="minorHAnsi" w:cstheme="minorHAnsi"/>
          <w:color w:val="000000" w:themeColor="text1"/>
          <w:sz w:val="24"/>
          <w:szCs w:val="24"/>
        </w:rPr>
        <w:t>000 and an amount of $500 is rounded down.</w:t>
      </w:r>
    </w:p>
    <w:p w14:paraId="4471F4B5" w14:textId="77777777" w:rsidR="009B6262" w:rsidRPr="009B6262" w:rsidRDefault="009B6262" w:rsidP="009B6262">
      <w:pPr>
        <w:pStyle w:val="ListParagraph"/>
        <w:spacing w:after="160" w:line="256" w:lineRule="auto"/>
        <w:ind w:left="360"/>
        <w:contextualSpacing/>
        <w:rPr>
          <w:rFonts w:asciiTheme="minorHAnsi" w:hAnsiTheme="minorHAnsi" w:cstheme="minorHAnsi"/>
          <w:color w:val="000000" w:themeColor="text1"/>
          <w:sz w:val="24"/>
          <w:szCs w:val="24"/>
        </w:rPr>
      </w:pPr>
    </w:p>
    <w:p w14:paraId="1A7D7F50" w14:textId="1A2AE8F3" w:rsidR="009B6262" w:rsidRDefault="009B6262" w:rsidP="009B6262">
      <w:pPr>
        <w:pStyle w:val="ListParagraph"/>
        <w:spacing w:after="160" w:line="256" w:lineRule="auto"/>
        <w:ind w:left="360"/>
        <w:contextualSpacing/>
        <w:rPr>
          <w:rFonts w:asciiTheme="minorHAnsi" w:hAnsiTheme="minorHAnsi" w:cstheme="minorHAnsi"/>
          <w:color w:val="000000" w:themeColor="text1"/>
          <w:sz w:val="24"/>
          <w:szCs w:val="24"/>
        </w:rPr>
      </w:pPr>
      <w:r w:rsidRPr="009B6262">
        <w:rPr>
          <w:rFonts w:asciiTheme="minorHAnsi" w:hAnsiTheme="minorHAnsi" w:cstheme="minorHAnsi"/>
          <w:color w:val="000000" w:themeColor="text1"/>
          <w:sz w:val="24"/>
          <w:szCs w:val="24"/>
        </w:rPr>
        <w:t xml:space="preserve">Clause </w:t>
      </w:r>
      <w:r w:rsidR="00AA43F2">
        <w:rPr>
          <w:rFonts w:asciiTheme="minorHAnsi" w:hAnsiTheme="minorHAnsi" w:cstheme="minorHAnsi"/>
          <w:color w:val="000000" w:themeColor="text1"/>
          <w:sz w:val="24"/>
          <w:szCs w:val="24"/>
        </w:rPr>
        <w:t>4.</w:t>
      </w:r>
      <w:r w:rsidRPr="009B6262">
        <w:rPr>
          <w:rFonts w:asciiTheme="minorHAnsi" w:hAnsiTheme="minorHAnsi" w:cstheme="minorHAnsi"/>
          <w:color w:val="000000" w:themeColor="text1"/>
          <w:sz w:val="24"/>
          <w:szCs w:val="24"/>
        </w:rPr>
        <w:t>6 provides that as soon as practicable after publication by the Australian Statistician</w:t>
      </w:r>
      <w:r w:rsidR="00AA43F2">
        <w:rPr>
          <w:rFonts w:asciiTheme="minorHAnsi" w:hAnsiTheme="minorHAnsi" w:cstheme="minorHAnsi"/>
          <w:color w:val="000000" w:themeColor="text1"/>
          <w:sz w:val="24"/>
          <w:szCs w:val="24"/>
        </w:rPr>
        <w:t xml:space="preserve"> </w:t>
      </w:r>
      <w:r w:rsidRPr="009B6262">
        <w:rPr>
          <w:rFonts w:asciiTheme="minorHAnsi" w:hAnsiTheme="minorHAnsi" w:cstheme="minorHAnsi"/>
          <w:color w:val="000000" w:themeColor="text1"/>
          <w:sz w:val="24"/>
          <w:szCs w:val="24"/>
        </w:rPr>
        <w:t xml:space="preserve">of the CPI number for the March quarter each year the regulator must give </w:t>
      </w:r>
      <w:r w:rsidR="00AA43F2">
        <w:rPr>
          <w:rFonts w:asciiTheme="minorHAnsi" w:hAnsiTheme="minorHAnsi" w:cstheme="minorHAnsi"/>
          <w:color w:val="000000" w:themeColor="text1"/>
          <w:sz w:val="24"/>
          <w:szCs w:val="24"/>
        </w:rPr>
        <w:t xml:space="preserve">public </w:t>
      </w:r>
      <w:r w:rsidRPr="009B6262">
        <w:rPr>
          <w:rFonts w:asciiTheme="minorHAnsi" w:hAnsiTheme="minorHAnsi" w:cstheme="minorHAnsi"/>
          <w:color w:val="000000" w:themeColor="text1"/>
          <w:sz w:val="24"/>
          <w:szCs w:val="24"/>
        </w:rPr>
        <w:t>notice of the</w:t>
      </w:r>
      <w:r w:rsidR="00AA43F2">
        <w:rPr>
          <w:rFonts w:asciiTheme="minorHAnsi" w:hAnsiTheme="minorHAnsi" w:cstheme="minorHAnsi"/>
          <w:color w:val="000000" w:themeColor="text1"/>
          <w:sz w:val="24"/>
          <w:szCs w:val="24"/>
        </w:rPr>
        <w:t xml:space="preserve"> </w:t>
      </w:r>
      <w:r w:rsidRPr="009B6262">
        <w:rPr>
          <w:rFonts w:asciiTheme="minorHAnsi" w:hAnsiTheme="minorHAnsi" w:cstheme="minorHAnsi"/>
          <w:color w:val="000000" w:themeColor="text1"/>
          <w:sz w:val="24"/>
          <w:szCs w:val="24"/>
        </w:rPr>
        <w:t>amount of each monetary penalty calculated under this Schedule</w:t>
      </w:r>
      <w:r w:rsidR="00AA43F2">
        <w:rPr>
          <w:rFonts w:asciiTheme="minorHAnsi" w:hAnsiTheme="minorHAnsi" w:cstheme="minorHAnsi"/>
          <w:color w:val="000000" w:themeColor="text1"/>
          <w:sz w:val="24"/>
          <w:szCs w:val="24"/>
        </w:rPr>
        <w:t>.</w:t>
      </w:r>
      <w:r w:rsidR="00A872A3">
        <w:rPr>
          <w:rFonts w:asciiTheme="minorHAnsi" w:hAnsiTheme="minorHAnsi" w:cstheme="minorHAnsi"/>
          <w:color w:val="000000" w:themeColor="text1"/>
          <w:sz w:val="24"/>
          <w:szCs w:val="24"/>
        </w:rPr>
        <w:t xml:space="preserve"> It also establishes the notice as a notifiable instrument. </w:t>
      </w:r>
    </w:p>
    <w:p w14:paraId="24B15FC6" w14:textId="77777777" w:rsidR="009B6262" w:rsidRPr="009B6262" w:rsidRDefault="009B6262" w:rsidP="009B6262">
      <w:pPr>
        <w:pStyle w:val="ListParagraph"/>
        <w:spacing w:after="160" w:line="256" w:lineRule="auto"/>
        <w:ind w:left="360"/>
        <w:contextualSpacing/>
        <w:rPr>
          <w:rFonts w:asciiTheme="minorHAnsi" w:hAnsiTheme="minorHAnsi" w:cstheme="minorHAnsi"/>
          <w:color w:val="000000" w:themeColor="text1"/>
          <w:sz w:val="24"/>
          <w:szCs w:val="24"/>
        </w:rPr>
      </w:pPr>
    </w:p>
    <w:p w14:paraId="16C334BD" w14:textId="212FC4C4" w:rsidR="00A872A3" w:rsidRDefault="00A872A3" w:rsidP="009B6262">
      <w:pPr>
        <w:pStyle w:val="ListParagraph"/>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Dictionary, new definitions</w:t>
      </w:r>
    </w:p>
    <w:p w14:paraId="25CEF7A1" w14:textId="0FAB3698" w:rsidR="00A872A3" w:rsidRDefault="00A872A3" w:rsidP="00A872A3">
      <w:pPr>
        <w:spacing w:after="100" w:afterAutospacing="1"/>
        <w:rPr>
          <w:bCs/>
          <w:sz w:val="24"/>
          <w:szCs w:val="24"/>
        </w:rPr>
      </w:pPr>
      <w:r>
        <w:rPr>
          <w:rFonts w:asciiTheme="minorHAnsi" w:hAnsiTheme="minorHAnsi" w:cstheme="minorHAnsi"/>
          <w:bCs/>
          <w:sz w:val="24"/>
          <w:szCs w:val="24"/>
        </w:rPr>
        <w:t xml:space="preserve">This </w:t>
      </w:r>
      <w:r>
        <w:rPr>
          <w:bCs/>
          <w:sz w:val="24"/>
          <w:szCs w:val="24"/>
        </w:rPr>
        <w:t>clause provides for key terms and concepts used in the Bill as:</w:t>
      </w:r>
      <w:r>
        <w:rPr>
          <w:bCs/>
          <w:sz w:val="24"/>
          <w:szCs w:val="24"/>
        </w:rPr>
        <w:tab/>
      </w:r>
    </w:p>
    <w:p w14:paraId="0FFE9F00" w14:textId="77777777" w:rsidR="00A872A3" w:rsidRDefault="00A872A3" w:rsidP="00A872A3">
      <w:pPr>
        <w:spacing w:after="0"/>
        <w:rPr>
          <w:bCs/>
          <w:sz w:val="24"/>
          <w:szCs w:val="24"/>
        </w:rPr>
      </w:pPr>
      <w:r>
        <w:rPr>
          <w:bCs/>
          <w:sz w:val="24"/>
          <w:szCs w:val="24"/>
        </w:rPr>
        <w:tab/>
        <w:t>authorised person, for division 14.3 Offences by bodies corporate</w:t>
      </w:r>
    </w:p>
    <w:p w14:paraId="36268FBA" w14:textId="77777777" w:rsidR="00A872A3" w:rsidRDefault="00A872A3" w:rsidP="00A872A3">
      <w:pPr>
        <w:spacing w:after="0"/>
        <w:rPr>
          <w:bCs/>
          <w:sz w:val="24"/>
          <w:szCs w:val="24"/>
        </w:rPr>
      </w:pPr>
      <w:r>
        <w:rPr>
          <w:bCs/>
          <w:sz w:val="24"/>
          <w:szCs w:val="24"/>
        </w:rPr>
        <w:tab/>
        <w:t>board of directors, for division 13.4 Offences by bodies corporate</w:t>
      </w:r>
    </w:p>
    <w:p w14:paraId="0064AC6A" w14:textId="77777777" w:rsidR="00A872A3" w:rsidRDefault="00A872A3" w:rsidP="00A872A3">
      <w:pPr>
        <w:spacing w:after="0"/>
        <w:rPr>
          <w:bCs/>
          <w:sz w:val="24"/>
          <w:szCs w:val="24"/>
        </w:rPr>
      </w:pPr>
      <w:r>
        <w:rPr>
          <w:bCs/>
          <w:sz w:val="24"/>
          <w:szCs w:val="24"/>
        </w:rPr>
        <w:tab/>
        <w:t xml:space="preserve">category 1 monetary penalty - see section 4.1 </w:t>
      </w:r>
    </w:p>
    <w:p w14:paraId="313709D1" w14:textId="77777777" w:rsidR="00A872A3" w:rsidRDefault="00A872A3" w:rsidP="00A872A3">
      <w:pPr>
        <w:spacing w:after="0"/>
        <w:rPr>
          <w:bCs/>
          <w:sz w:val="24"/>
          <w:szCs w:val="24"/>
        </w:rPr>
      </w:pPr>
      <w:r>
        <w:rPr>
          <w:bCs/>
          <w:sz w:val="24"/>
          <w:szCs w:val="24"/>
        </w:rPr>
        <w:tab/>
        <w:t>category 2 monetary penalty - see section 4.1</w:t>
      </w:r>
    </w:p>
    <w:p w14:paraId="27807052" w14:textId="77777777" w:rsidR="00A872A3" w:rsidRDefault="00A872A3" w:rsidP="00A872A3">
      <w:pPr>
        <w:spacing w:after="0"/>
        <w:rPr>
          <w:bCs/>
          <w:sz w:val="24"/>
          <w:szCs w:val="24"/>
        </w:rPr>
      </w:pPr>
      <w:r>
        <w:rPr>
          <w:bCs/>
          <w:sz w:val="24"/>
          <w:szCs w:val="24"/>
        </w:rPr>
        <w:lastRenderedPageBreak/>
        <w:tab/>
        <w:t xml:space="preserve">category 3 monetary penalty - see section 4.1 </w:t>
      </w:r>
    </w:p>
    <w:p w14:paraId="139D334A" w14:textId="61C055BA" w:rsidR="004C73F6" w:rsidRDefault="004C73F6" w:rsidP="00A872A3">
      <w:pPr>
        <w:spacing w:after="0"/>
        <w:rPr>
          <w:bCs/>
          <w:sz w:val="24"/>
          <w:szCs w:val="24"/>
        </w:rPr>
      </w:pPr>
      <w:r>
        <w:rPr>
          <w:bCs/>
          <w:sz w:val="24"/>
          <w:szCs w:val="24"/>
        </w:rPr>
        <w:tab/>
        <w:t>fault element - see the Criminal Code, section 17</w:t>
      </w:r>
    </w:p>
    <w:p w14:paraId="305D8615" w14:textId="2E4159E2" w:rsidR="004C73F6" w:rsidRDefault="004C73F6" w:rsidP="00A872A3">
      <w:pPr>
        <w:spacing w:after="0"/>
        <w:rPr>
          <w:bCs/>
          <w:sz w:val="24"/>
          <w:szCs w:val="24"/>
        </w:rPr>
      </w:pPr>
      <w:r>
        <w:rPr>
          <w:bCs/>
          <w:sz w:val="24"/>
          <w:szCs w:val="24"/>
        </w:rPr>
        <w:tab/>
        <w:t>industrial manslaughter monetary penalty - see section 4.1A</w:t>
      </w:r>
    </w:p>
    <w:p w14:paraId="5ED927EE" w14:textId="41A93EA2" w:rsidR="004C73F6" w:rsidRDefault="004C73F6" w:rsidP="00A872A3">
      <w:pPr>
        <w:spacing w:after="0"/>
        <w:rPr>
          <w:bCs/>
          <w:sz w:val="24"/>
          <w:szCs w:val="24"/>
        </w:rPr>
      </w:pPr>
      <w:r>
        <w:rPr>
          <w:bCs/>
          <w:sz w:val="24"/>
          <w:szCs w:val="24"/>
        </w:rPr>
        <w:tab/>
        <w:t>physical element - see the Criminal Code, section 14</w:t>
      </w:r>
    </w:p>
    <w:p w14:paraId="05647368" w14:textId="6EEAD2E3" w:rsidR="004C73F6" w:rsidRDefault="004C73F6" w:rsidP="00A872A3">
      <w:pPr>
        <w:spacing w:after="0"/>
        <w:rPr>
          <w:bCs/>
          <w:sz w:val="24"/>
          <w:szCs w:val="24"/>
        </w:rPr>
      </w:pPr>
      <w:r>
        <w:rPr>
          <w:bCs/>
          <w:sz w:val="24"/>
          <w:szCs w:val="24"/>
        </w:rPr>
        <w:tab/>
        <w:t>tier A monetary penalty - see section 4.2</w:t>
      </w:r>
    </w:p>
    <w:p w14:paraId="145FBC3A" w14:textId="6AD2BAC0" w:rsidR="004C73F6" w:rsidRDefault="004C73F6" w:rsidP="004C73F6">
      <w:pPr>
        <w:spacing w:after="0"/>
        <w:ind w:firstLine="720"/>
        <w:rPr>
          <w:bCs/>
          <w:sz w:val="24"/>
          <w:szCs w:val="24"/>
        </w:rPr>
      </w:pPr>
      <w:r>
        <w:rPr>
          <w:bCs/>
          <w:sz w:val="24"/>
          <w:szCs w:val="24"/>
        </w:rPr>
        <w:t>tier B monetary penalty - see section 4.2</w:t>
      </w:r>
    </w:p>
    <w:p w14:paraId="1766FA10" w14:textId="7DA714CD" w:rsidR="004C73F6" w:rsidRDefault="004C73F6" w:rsidP="00A872A3">
      <w:pPr>
        <w:spacing w:after="0"/>
        <w:rPr>
          <w:bCs/>
          <w:sz w:val="24"/>
          <w:szCs w:val="24"/>
        </w:rPr>
      </w:pPr>
      <w:r>
        <w:rPr>
          <w:bCs/>
          <w:sz w:val="24"/>
          <w:szCs w:val="24"/>
        </w:rPr>
        <w:tab/>
        <w:t>tier C monetary penalty - see section 4.2</w:t>
      </w:r>
    </w:p>
    <w:p w14:paraId="3C92EB68" w14:textId="54863EB4" w:rsidR="004C73F6" w:rsidRDefault="004C73F6" w:rsidP="00A872A3">
      <w:pPr>
        <w:spacing w:after="0"/>
        <w:rPr>
          <w:bCs/>
          <w:sz w:val="24"/>
          <w:szCs w:val="24"/>
        </w:rPr>
      </w:pPr>
      <w:r>
        <w:rPr>
          <w:bCs/>
          <w:sz w:val="24"/>
          <w:szCs w:val="24"/>
        </w:rPr>
        <w:tab/>
        <w:t>tier D monetary penalty - see section 4.2</w:t>
      </w:r>
    </w:p>
    <w:p w14:paraId="200B7B94" w14:textId="05BDE12F" w:rsidR="004C73F6" w:rsidRDefault="004C73F6" w:rsidP="00A872A3">
      <w:pPr>
        <w:spacing w:after="0"/>
        <w:rPr>
          <w:bCs/>
          <w:sz w:val="24"/>
          <w:szCs w:val="24"/>
        </w:rPr>
      </w:pPr>
      <w:r>
        <w:rPr>
          <w:bCs/>
          <w:sz w:val="24"/>
          <w:szCs w:val="24"/>
        </w:rPr>
        <w:tab/>
        <w:t>tier E monetary penalty - see section 4.2</w:t>
      </w:r>
    </w:p>
    <w:p w14:paraId="6F3347B6" w14:textId="2B27A4A8" w:rsidR="004C73F6" w:rsidRDefault="004C73F6" w:rsidP="00A872A3">
      <w:pPr>
        <w:spacing w:after="0"/>
        <w:rPr>
          <w:bCs/>
          <w:sz w:val="24"/>
          <w:szCs w:val="24"/>
        </w:rPr>
      </w:pPr>
      <w:r>
        <w:rPr>
          <w:bCs/>
          <w:sz w:val="24"/>
          <w:szCs w:val="24"/>
        </w:rPr>
        <w:tab/>
        <w:t>tier F monetary penalty - see section 4.2</w:t>
      </w:r>
    </w:p>
    <w:p w14:paraId="1A9E2228" w14:textId="636D38A5" w:rsidR="004C73F6" w:rsidRDefault="004C73F6" w:rsidP="00A872A3">
      <w:pPr>
        <w:spacing w:after="0"/>
        <w:rPr>
          <w:bCs/>
          <w:sz w:val="24"/>
          <w:szCs w:val="24"/>
        </w:rPr>
      </w:pPr>
      <w:r>
        <w:rPr>
          <w:bCs/>
          <w:sz w:val="24"/>
          <w:szCs w:val="24"/>
        </w:rPr>
        <w:tab/>
        <w:t>tier G monetary penalty - see section 4.2</w:t>
      </w:r>
    </w:p>
    <w:p w14:paraId="55461548" w14:textId="0D923AA8" w:rsidR="004C73F6" w:rsidRDefault="004C73F6" w:rsidP="00A872A3">
      <w:pPr>
        <w:spacing w:after="0"/>
        <w:rPr>
          <w:bCs/>
          <w:sz w:val="24"/>
          <w:szCs w:val="24"/>
        </w:rPr>
      </w:pPr>
      <w:r>
        <w:rPr>
          <w:bCs/>
          <w:sz w:val="24"/>
          <w:szCs w:val="24"/>
        </w:rPr>
        <w:tab/>
        <w:t>tier H monetary penalty - see section 4.2</w:t>
      </w:r>
    </w:p>
    <w:p w14:paraId="78A1E3F5" w14:textId="782B59D7" w:rsidR="004C73F6" w:rsidRDefault="004C73F6" w:rsidP="00A872A3">
      <w:pPr>
        <w:spacing w:after="0"/>
        <w:rPr>
          <w:bCs/>
          <w:sz w:val="24"/>
          <w:szCs w:val="24"/>
        </w:rPr>
      </w:pPr>
      <w:r>
        <w:rPr>
          <w:bCs/>
          <w:sz w:val="24"/>
          <w:szCs w:val="24"/>
        </w:rPr>
        <w:tab/>
        <w:t>tier I monetary penalty - see section 4.2</w:t>
      </w:r>
    </w:p>
    <w:p w14:paraId="6F5526E5" w14:textId="7160E768" w:rsidR="004C73F6" w:rsidRDefault="004C73F6" w:rsidP="00A872A3">
      <w:pPr>
        <w:spacing w:after="0"/>
        <w:rPr>
          <w:bCs/>
          <w:sz w:val="24"/>
          <w:szCs w:val="24"/>
        </w:rPr>
      </w:pPr>
      <w:r>
        <w:rPr>
          <w:bCs/>
          <w:sz w:val="24"/>
          <w:szCs w:val="24"/>
        </w:rPr>
        <w:tab/>
        <w:t>WHS civil penalty provision tier 1 - see section 4.3</w:t>
      </w:r>
    </w:p>
    <w:p w14:paraId="1A86FE67" w14:textId="59CA0353" w:rsidR="004C73F6" w:rsidRDefault="004C73F6" w:rsidP="00A872A3">
      <w:pPr>
        <w:spacing w:after="0"/>
        <w:rPr>
          <w:bCs/>
          <w:sz w:val="24"/>
          <w:szCs w:val="24"/>
        </w:rPr>
      </w:pPr>
      <w:r>
        <w:rPr>
          <w:bCs/>
          <w:sz w:val="24"/>
          <w:szCs w:val="24"/>
        </w:rPr>
        <w:tab/>
        <w:t>WHS civil penalty provision tier 2 - see section 4.3</w:t>
      </w:r>
    </w:p>
    <w:p w14:paraId="1550BED8" w14:textId="32C7A89E" w:rsidR="004C73F6" w:rsidRDefault="004C73F6" w:rsidP="00A872A3">
      <w:pPr>
        <w:spacing w:after="0"/>
        <w:rPr>
          <w:bCs/>
          <w:sz w:val="24"/>
          <w:szCs w:val="24"/>
        </w:rPr>
      </w:pPr>
      <w:r>
        <w:rPr>
          <w:bCs/>
          <w:sz w:val="24"/>
          <w:szCs w:val="24"/>
        </w:rPr>
        <w:tab/>
        <w:t>WHS civil penalty provision tier 3 - see section 4.3</w:t>
      </w:r>
    </w:p>
    <w:p w14:paraId="7FFC6DAB" w14:textId="4F2055FB" w:rsidR="004C73F6" w:rsidRDefault="004C73F6" w:rsidP="00A872A3">
      <w:pPr>
        <w:spacing w:after="0"/>
        <w:rPr>
          <w:bCs/>
          <w:sz w:val="24"/>
          <w:szCs w:val="24"/>
        </w:rPr>
      </w:pPr>
      <w:r>
        <w:rPr>
          <w:bCs/>
          <w:sz w:val="24"/>
          <w:szCs w:val="24"/>
        </w:rPr>
        <w:tab/>
        <w:t>WHS civil penalty provision tier 4 - see section 4.3</w:t>
      </w:r>
    </w:p>
    <w:p w14:paraId="60CC2D71" w14:textId="0561B00B" w:rsidR="00A872A3" w:rsidRPr="00A872A3" w:rsidRDefault="00A872A3" w:rsidP="00A872A3">
      <w:pPr>
        <w:spacing w:after="100" w:afterAutospacing="1"/>
        <w:rPr>
          <w:rFonts w:asciiTheme="minorHAnsi" w:hAnsiTheme="minorHAnsi" w:cstheme="minorHAnsi"/>
          <w:bCs/>
          <w:sz w:val="24"/>
          <w:szCs w:val="24"/>
        </w:rPr>
      </w:pPr>
    </w:p>
    <w:p w14:paraId="5B89E5F8" w14:textId="7B37624E" w:rsidR="009B6262" w:rsidRDefault="00AA43F2" w:rsidP="009B6262">
      <w:pPr>
        <w:pStyle w:val="ListParagraph"/>
        <w:numPr>
          <w:ilvl w:val="0"/>
          <w:numId w:val="1"/>
        </w:numPr>
        <w:spacing w:after="100" w:afterAutospacing="1"/>
        <w:rPr>
          <w:rFonts w:asciiTheme="minorHAnsi" w:hAnsiTheme="minorHAnsi" w:cstheme="minorHAnsi"/>
          <w:b/>
          <w:sz w:val="24"/>
          <w:szCs w:val="24"/>
        </w:rPr>
      </w:pPr>
      <w:r>
        <w:rPr>
          <w:rFonts w:asciiTheme="minorHAnsi" w:hAnsiTheme="minorHAnsi" w:cstheme="minorHAnsi"/>
          <w:b/>
          <w:sz w:val="24"/>
          <w:szCs w:val="24"/>
        </w:rPr>
        <w:t>Further amendments, penalties</w:t>
      </w:r>
    </w:p>
    <w:p w14:paraId="45C46D57" w14:textId="34106042" w:rsidR="00D13601" w:rsidRDefault="00AA43F2" w:rsidP="00601ACD">
      <w:pPr>
        <w:numPr>
          <w:ilvl w:val="0"/>
          <w:numId w:val="1"/>
        </w:numPr>
        <w:spacing w:after="100" w:afterAutospacing="1"/>
        <w:rPr>
          <w:b/>
          <w:sz w:val="24"/>
          <w:szCs w:val="24"/>
        </w:rPr>
      </w:pPr>
      <w:r>
        <w:rPr>
          <w:b/>
          <w:sz w:val="24"/>
          <w:szCs w:val="24"/>
        </w:rPr>
        <w:t>Further amendments, penalties</w:t>
      </w:r>
    </w:p>
    <w:p w14:paraId="67584DB4" w14:textId="52912DF0" w:rsidR="00AA43F2" w:rsidRDefault="00AA43F2" w:rsidP="00601ACD">
      <w:pPr>
        <w:numPr>
          <w:ilvl w:val="0"/>
          <w:numId w:val="1"/>
        </w:numPr>
        <w:spacing w:after="100" w:afterAutospacing="1"/>
        <w:rPr>
          <w:b/>
          <w:sz w:val="24"/>
          <w:szCs w:val="24"/>
        </w:rPr>
      </w:pPr>
      <w:r>
        <w:rPr>
          <w:b/>
          <w:sz w:val="24"/>
          <w:szCs w:val="24"/>
        </w:rPr>
        <w:t>Further amendments, penalties</w:t>
      </w:r>
    </w:p>
    <w:p w14:paraId="32DF5177" w14:textId="4A97ECE6" w:rsidR="00AA43F2" w:rsidRDefault="00AA43F2" w:rsidP="00601ACD">
      <w:pPr>
        <w:numPr>
          <w:ilvl w:val="0"/>
          <w:numId w:val="1"/>
        </w:numPr>
        <w:spacing w:after="100" w:afterAutospacing="1"/>
        <w:rPr>
          <w:b/>
          <w:sz w:val="24"/>
          <w:szCs w:val="24"/>
        </w:rPr>
      </w:pPr>
      <w:r>
        <w:rPr>
          <w:b/>
          <w:sz w:val="24"/>
          <w:szCs w:val="24"/>
        </w:rPr>
        <w:t>Further amendments, penalties</w:t>
      </w:r>
    </w:p>
    <w:p w14:paraId="667207AD" w14:textId="4F5B87D8" w:rsidR="00AA43F2" w:rsidRDefault="00AA43F2" w:rsidP="00601ACD">
      <w:pPr>
        <w:numPr>
          <w:ilvl w:val="0"/>
          <w:numId w:val="1"/>
        </w:numPr>
        <w:spacing w:after="100" w:afterAutospacing="1"/>
        <w:rPr>
          <w:b/>
          <w:sz w:val="24"/>
          <w:szCs w:val="24"/>
        </w:rPr>
      </w:pPr>
      <w:r>
        <w:rPr>
          <w:b/>
          <w:sz w:val="24"/>
          <w:szCs w:val="24"/>
        </w:rPr>
        <w:t>Further amendments, penalties</w:t>
      </w:r>
    </w:p>
    <w:p w14:paraId="4A11FA88" w14:textId="4D3E09C6" w:rsidR="00AA43F2" w:rsidRDefault="00AA43F2" w:rsidP="00601ACD">
      <w:pPr>
        <w:numPr>
          <w:ilvl w:val="0"/>
          <w:numId w:val="1"/>
        </w:numPr>
        <w:spacing w:after="100" w:afterAutospacing="1"/>
        <w:rPr>
          <w:b/>
          <w:sz w:val="24"/>
          <w:szCs w:val="24"/>
        </w:rPr>
      </w:pPr>
      <w:r>
        <w:rPr>
          <w:b/>
          <w:sz w:val="24"/>
          <w:szCs w:val="24"/>
        </w:rPr>
        <w:t>Further amendments, penalties</w:t>
      </w:r>
    </w:p>
    <w:p w14:paraId="6831EBDD" w14:textId="72FC9601" w:rsidR="00AA43F2" w:rsidRDefault="00AA43F2" w:rsidP="00601ACD">
      <w:pPr>
        <w:numPr>
          <w:ilvl w:val="0"/>
          <w:numId w:val="1"/>
        </w:numPr>
        <w:spacing w:after="100" w:afterAutospacing="1"/>
        <w:rPr>
          <w:b/>
          <w:sz w:val="24"/>
          <w:szCs w:val="24"/>
        </w:rPr>
      </w:pPr>
      <w:r>
        <w:rPr>
          <w:b/>
          <w:sz w:val="24"/>
          <w:szCs w:val="24"/>
        </w:rPr>
        <w:t>Further amendments, penalties</w:t>
      </w:r>
    </w:p>
    <w:p w14:paraId="06522FE2" w14:textId="310792CC" w:rsidR="00D13601" w:rsidRDefault="004C73F6" w:rsidP="00601ACD">
      <w:pPr>
        <w:numPr>
          <w:ilvl w:val="0"/>
          <w:numId w:val="1"/>
        </w:numPr>
        <w:spacing w:after="100" w:afterAutospacing="1"/>
        <w:rPr>
          <w:b/>
          <w:sz w:val="24"/>
          <w:szCs w:val="24"/>
        </w:rPr>
      </w:pPr>
      <w:r>
        <w:rPr>
          <w:b/>
          <w:sz w:val="24"/>
          <w:szCs w:val="24"/>
        </w:rPr>
        <w:t>Further amendments, penalties</w:t>
      </w:r>
    </w:p>
    <w:p w14:paraId="1DB7C1AE" w14:textId="77777777" w:rsidR="00AA43F2" w:rsidRDefault="00AA43F2" w:rsidP="005A4508">
      <w:pPr>
        <w:spacing w:after="100" w:afterAutospacing="1"/>
        <w:rPr>
          <w:b/>
          <w:sz w:val="24"/>
          <w:szCs w:val="24"/>
        </w:rPr>
      </w:pPr>
    </w:p>
    <w:p w14:paraId="623009DB" w14:textId="76FFA8B0" w:rsidR="008E4F46" w:rsidRPr="00A5591B" w:rsidRDefault="008E4F46" w:rsidP="008E4F46">
      <w:pPr>
        <w:spacing w:after="100" w:afterAutospacing="1"/>
        <w:rPr>
          <w:b/>
          <w:sz w:val="24"/>
          <w:szCs w:val="24"/>
        </w:rPr>
      </w:pPr>
      <w:r w:rsidRPr="00A5591B">
        <w:rPr>
          <w:b/>
          <w:sz w:val="24"/>
          <w:szCs w:val="24"/>
        </w:rPr>
        <w:t xml:space="preserve">Part </w:t>
      </w:r>
      <w:r w:rsidR="005950FB">
        <w:rPr>
          <w:b/>
          <w:sz w:val="24"/>
          <w:szCs w:val="24"/>
        </w:rPr>
        <w:t>4</w:t>
      </w:r>
      <w:r w:rsidR="00A5591B" w:rsidRPr="00A5591B">
        <w:rPr>
          <w:b/>
          <w:sz w:val="24"/>
          <w:szCs w:val="24"/>
        </w:rPr>
        <w:tab/>
      </w:r>
      <w:r w:rsidRPr="00A5591B">
        <w:rPr>
          <w:b/>
          <w:sz w:val="24"/>
          <w:szCs w:val="24"/>
        </w:rPr>
        <w:t xml:space="preserve"> </w:t>
      </w:r>
      <w:r w:rsidRPr="00A5591B">
        <w:rPr>
          <w:b/>
          <w:sz w:val="24"/>
          <w:szCs w:val="24"/>
        </w:rPr>
        <w:tab/>
        <w:t>Work Health and Safety Regulation 2011</w:t>
      </w:r>
    </w:p>
    <w:p w14:paraId="57A439DE" w14:textId="75B26E95" w:rsidR="008E4F46" w:rsidRDefault="008E4F46" w:rsidP="00601ACD">
      <w:pPr>
        <w:numPr>
          <w:ilvl w:val="0"/>
          <w:numId w:val="1"/>
        </w:numPr>
        <w:spacing w:after="100" w:afterAutospacing="1"/>
        <w:rPr>
          <w:b/>
          <w:sz w:val="24"/>
          <w:szCs w:val="24"/>
        </w:rPr>
      </w:pPr>
      <w:r>
        <w:rPr>
          <w:b/>
          <w:sz w:val="24"/>
          <w:szCs w:val="24"/>
        </w:rPr>
        <w:t>Section 55C</w:t>
      </w:r>
    </w:p>
    <w:p w14:paraId="3922D4C4" w14:textId="77777777" w:rsidR="008E4F46" w:rsidRDefault="008E4F46" w:rsidP="00FE2813">
      <w:pPr>
        <w:spacing w:after="120"/>
        <w:rPr>
          <w:bCs/>
          <w:sz w:val="24"/>
          <w:szCs w:val="24"/>
        </w:rPr>
      </w:pPr>
      <w:r>
        <w:rPr>
          <w:bCs/>
          <w:sz w:val="24"/>
          <w:szCs w:val="24"/>
        </w:rPr>
        <w:t>This clause amends section 55C to clarify that persons conducting a business or undertaking must:</w:t>
      </w:r>
    </w:p>
    <w:p w14:paraId="111771E1" w14:textId="77777777" w:rsidR="008E4F46" w:rsidRDefault="008E4F46" w:rsidP="00FE2813">
      <w:pPr>
        <w:pStyle w:val="ListParagraph"/>
        <w:numPr>
          <w:ilvl w:val="0"/>
          <w:numId w:val="39"/>
        </w:numPr>
        <w:spacing w:after="120"/>
        <w:rPr>
          <w:bCs/>
          <w:sz w:val="24"/>
          <w:szCs w:val="24"/>
        </w:rPr>
      </w:pPr>
      <w:r w:rsidRPr="008E4F46">
        <w:rPr>
          <w:bCs/>
          <w:sz w:val="24"/>
          <w:szCs w:val="24"/>
        </w:rPr>
        <w:t>manage psychosocial risks in accordance with part 3.1 (Managing risks to health and safety) and</w:t>
      </w:r>
    </w:p>
    <w:p w14:paraId="67B33EDE" w14:textId="0665F93E" w:rsidR="008E4F46" w:rsidRPr="008E4F46" w:rsidRDefault="008E4F46" w:rsidP="008E4F46">
      <w:pPr>
        <w:pStyle w:val="ListParagraph"/>
        <w:numPr>
          <w:ilvl w:val="0"/>
          <w:numId w:val="39"/>
        </w:numPr>
        <w:spacing w:after="100" w:afterAutospacing="1"/>
        <w:rPr>
          <w:bCs/>
          <w:sz w:val="24"/>
          <w:szCs w:val="24"/>
        </w:rPr>
      </w:pPr>
      <w:r w:rsidRPr="008E4F46">
        <w:rPr>
          <w:bCs/>
          <w:sz w:val="24"/>
          <w:szCs w:val="24"/>
        </w:rPr>
        <w:t>implement  the control measures required by section 55D.</w:t>
      </w:r>
    </w:p>
    <w:p w14:paraId="14252C3D" w14:textId="6489DA08" w:rsidR="008E4F46" w:rsidRDefault="008E4F46" w:rsidP="00601ACD">
      <w:pPr>
        <w:numPr>
          <w:ilvl w:val="0"/>
          <w:numId w:val="1"/>
        </w:numPr>
        <w:spacing w:after="100" w:afterAutospacing="1"/>
        <w:rPr>
          <w:b/>
          <w:sz w:val="24"/>
          <w:szCs w:val="24"/>
        </w:rPr>
      </w:pPr>
      <w:r>
        <w:rPr>
          <w:b/>
          <w:sz w:val="24"/>
          <w:szCs w:val="24"/>
        </w:rPr>
        <w:lastRenderedPageBreak/>
        <w:t>psychosocial risks - control measures Section 55D(3), note</w:t>
      </w:r>
    </w:p>
    <w:p w14:paraId="62004E22" w14:textId="5C3DED41" w:rsidR="008E4F46" w:rsidRPr="008E4F46" w:rsidRDefault="008E4F46" w:rsidP="008E4F46">
      <w:pPr>
        <w:spacing w:after="100" w:afterAutospacing="1"/>
        <w:rPr>
          <w:bCs/>
          <w:sz w:val="24"/>
          <w:szCs w:val="24"/>
        </w:rPr>
      </w:pPr>
      <w:r>
        <w:rPr>
          <w:bCs/>
          <w:sz w:val="24"/>
          <w:szCs w:val="24"/>
        </w:rPr>
        <w:t xml:space="preserve">This clause omits the note as a typographical error. </w:t>
      </w:r>
    </w:p>
    <w:p w14:paraId="3E650409" w14:textId="2CA9AFCF" w:rsidR="00A5591B" w:rsidRDefault="00A5591B" w:rsidP="00601ACD">
      <w:pPr>
        <w:numPr>
          <w:ilvl w:val="0"/>
          <w:numId w:val="1"/>
        </w:numPr>
        <w:spacing w:after="100" w:afterAutospacing="1"/>
        <w:rPr>
          <w:b/>
          <w:sz w:val="24"/>
          <w:szCs w:val="24"/>
        </w:rPr>
      </w:pPr>
      <w:r>
        <w:rPr>
          <w:b/>
          <w:sz w:val="24"/>
          <w:szCs w:val="24"/>
        </w:rPr>
        <w:t>Section 702, heading</w:t>
      </w:r>
    </w:p>
    <w:p w14:paraId="61C5A67F" w14:textId="326C5E5D" w:rsidR="00A5591B" w:rsidRPr="00A5591B" w:rsidRDefault="00A5591B" w:rsidP="00A5591B">
      <w:pPr>
        <w:spacing w:after="100" w:afterAutospacing="1"/>
        <w:rPr>
          <w:bCs/>
          <w:sz w:val="24"/>
          <w:szCs w:val="24"/>
        </w:rPr>
      </w:pPr>
      <w:r>
        <w:rPr>
          <w:bCs/>
          <w:sz w:val="24"/>
          <w:szCs w:val="24"/>
        </w:rPr>
        <w:t>This clause provides for a technical amendment to the heading of the section.</w:t>
      </w:r>
    </w:p>
    <w:p w14:paraId="680367D5" w14:textId="1276A1FB" w:rsidR="00E4706D" w:rsidRDefault="00E4706D" w:rsidP="00601ACD">
      <w:pPr>
        <w:numPr>
          <w:ilvl w:val="0"/>
          <w:numId w:val="1"/>
        </w:numPr>
        <w:spacing w:after="100" w:afterAutospacing="1"/>
        <w:rPr>
          <w:b/>
          <w:sz w:val="24"/>
          <w:szCs w:val="24"/>
        </w:rPr>
      </w:pPr>
      <w:r>
        <w:rPr>
          <w:b/>
          <w:sz w:val="24"/>
          <w:szCs w:val="24"/>
        </w:rPr>
        <w:t>Section 702</w:t>
      </w:r>
    </w:p>
    <w:p w14:paraId="29E98011" w14:textId="3AB31405" w:rsidR="00E4706D" w:rsidRPr="00E4706D" w:rsidRDefault="00E4706D" w:rsidP="00E4706D">
      <w:pPr>
        <w:spacing w:after="100" w:afterAutospacing="1"/>
        <w:rPr>
          <w:bCs/>
          <w:sz w:val="24"/>
          <w:szCs w:val="24"/>
        </w:rPr>
      </w:pPr>
      <w:r>
        <w:rPr>
          <w:bCs/>
          <w:sz w:val="24"/>
          <w:szCs w:val="24"/>
        </w:rPr>
        <w:t>This clause is a technical correct to references within the provision.</w:t>
      </w:r>
    </w:p>
    <w:p w14:paraId="4F4DDBC3" w14:textId="5BEE8223" w:rsidR="008E4F46" w:rsidRDefault="008E4F46" w:rsidP="00601ACD">
      <w:pPr>
        <w:numPr>
          <w:ilvl w:val="0"/>
          <w:numId w:val="1"/>
        </w:numPr>
        <w:spacing w:after="100" w:afterAutospacing="1"/>
        <w:rPr>
          <w:b/>
          <w:sz w:val="24"/>
          <w:szCs w:val="24"/>
        </w:rPr>
      </w:pPr>
      <w:r>
        <w:rPr>
          <w:b/>
          <w:sz w:val="24"/>
          <w:szCs w:val="24"/>
        </w:rPr>
        <w:t>Further amendments, penalties</w:t>
      </w:r>
    </w:p>
    <w:p w14:paraId="430236EC" w14:textId="0AE15A38" w:rsidR="008E4F46" w:rsidRDefault="008E4F46" w:rsidP="00601ACD">
      <w:pPr>
        <w:numPr>
          <w:ilvl w:val="0"/>
          <w:numId w:val="1"/>
        </w:numPr>
        <w:spacing w:after="100" w:afterAutospacing="1"/>
        <w:rPr>
          <w:b/>
          <w:sz w:val="24"/>
          <w:szCs w:val="24"/>
        </w:rPr>
      </w:pPr>
      <w:r>
        <w:rPr>
          <w:b/>
          <w:sz w:val="24"/>
          <w:szCs w:val="24"/>
        </w:rPr>
        <w:t xml:space="preserve">Further amendments, penalties </w:t>
      </w:r>
    </w:p>
    <w:p w14:paraId="2145AA1F" w14:textId="614CA943" w:rsidR="008E4F46" w:rsidRDefault="008E4F46" w:rsidP="00601ACD">
      <w:pPr>
        <w:numPr>
          <w:ilvl w:val="0"/>
          <w:numId w:val="1"/>
        </w:numPr>
        <w:spacing w:after="100" w:afterAutospacing="1"/>
        <w:rPr>
          <w:b/>
          <w:sz w:val="24"/>
          <w:szCs w:val="24"/>
        </w:rPr>
      </w:pPr>
      <w:r>
        <w:rPr>
          <w:b/>
          <w:sz w:val="24"/>
          <w:szCs w:val="24"/>
        </w:rPr>
        <w:t>Further amendments, penalties</w:t>
      </w:r>
    </w:p>
    <w:p w14:paraId="4F6BB652" w14:textId="0766291D" w:rsidR="008E4F46" w:rsidRPr="008E4F46" w:rsidRDefault="008E4F46" w:rsidP="008E4F46">
      <w:pPr>
        <w:spacing w:after="100" w:afterAutospacing="1"/>
        <w:rPr>
          <w:bCs/>
          <w:sz w:val="24"/>
          <w:szCs w:val="24"/>
        </w:rPr>
      </w:pPr>
      <w:r>
        <w:rPr>
          <w:bCs/>
          <w:sz w:val="24"/>
          <w:szCs w:val="24"/>
        </w:rPr>
        <w:t xml:space="preserve">As provided at clause 8 - amendments have been made to the WHS Regulation to facilitate introduction of the tier penalty framework to allow an indexation mechanism to be implemented. </w:t>
      </w:r>
    </w:p>
    <w:p w14:paraId="6AB2EAC9" w14:textId="77777777" w:rsidR="00D13601" w:rsidRDefault="00D13601" w:rsidP="00D13601">
      <w:pPr>
        <w:spacing w:after="100" w:afterAutospacing="1"/>
        <w:rPr>
          <w:b/>
          <w:sz w:val="24"/>
          <w:szCs w:val="24"/>
        </w:rPr>
      </w:pPr>
    </w:p>
    <w:p w14:paraId="4AD6A1D1" w14:textId="77777777" w:rsidR="007C6A76" w:rsidRPr="00ED443C" w:rsidRDefault="007C6A76" w:rsidP="007C6A76">
      <w:pPr>
        <w:pStyle w:val="ListParagraph"/>
        <w:rPr>
          <w:rFonts w:asciiTheme="minorHAnsi" w:hAnsiTheme="minorHAnsi" w:cstheme="minorHAnsi"/>
          <w:sz w:val="24"/>
          <w:szCs w:val="24"/>
        </w:rPr>
      </w:pPr>
    </w:p>
    <w:p w14:paraId="265E4658" w14:textId="77777777" w:rsidR="009A4731" w:rsidRPr="0022005A" w:rsidRDefault="009A4731" w:rsidP="00C22F1B">
      <w:pPr>
        <w:spacing w:after="100" w:afterAutospacing="1"/>
        <w:rPr>
          <w:rFonts w:asciiTheme="minorHAnsi" w:hAnsiTheme="minorHAnsi" w:cstheme="minorHAnsi"/>
          <w:b/>
          <w:sz w:val="24"/>
          <w:szCs w:val="24"/>
        </w:rPr>
      </w:pPr>
    </w:p>
    <w:sectPr w:rsidR="009A4731" w:rsidRPr="0022005A" w:rsidSect="007F6AF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5E284" w14:textId="77777777" w:rsidR="00F070B8" w:rsidRDefault="00F070B8" w:rsidP="00AF0C6A">
      <w:pPr>
        <w:spacing w:after="0" w:line="240" w:lineRule="auto"/>
      </w:pPr>
      <w:r>
        <w:separator/>
      </w:r>
    </w:p>
  </w:endnote>
  <w:endnote w:type="continuationSeparator" w:id="0">
    <w:p w14:paraId="464F9D3F" w14:textId="77777777" w:rsidR="00F070B8" w:rsidRDefault="00F070B8" w:rsidP="00AF0C6A">
      <w:pPr>
        <w:spacing w:after="0" w:line="240" w:lineRule="auto"/>
      </w:pPr>
      <w:r>
        <w:continuationSeparator/>
      </w:r>
    </w:p>
  </w:endnote>
  <w:endnote w:type="continuationNotice" w:id="1">
    <w:p w14:paraId="6063AFD6" w14:textId="77777777" w:rsidR="00F070B8" w:rsidRDefault="00F07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1B4C" w14:textId="77777777" w:rsidR="00310F54" w:rsidRDefault="00310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CF452F" w:rsidRDefault="00CF452F" w:rsidP="001155F9">
    <w:pPr>
      <w:pStyle w:val="Footer"/>
      <w:spacing w:before="120"/>
      <w:jc w:val="right"/>
    </w:pPr>
    <w:r>
      <w:fldChar w:fldCharType="begin"/>
    </w:r>
    <w:r>
      <w:instrText xml:space="preserve"> PAGE   \* MERGEFORMAT </w:instrText>
    </w:r>
    <w:r>
      <w:fldChar w:fldCharType="separate"/>
    </w:r>
    <w:r>
      <w:rPr>
        <w:noProof/>
      </w:rPr>
      <w:t>2</w:t>
    </w:r>
    <w:r>
      <w:rPr>
        <w:noProof/>
      </w:rPr>
      <w:fldChar w:fldCharType="end"/>
    </w:r>
  </w:p>
  <w:p w14:paraId="7D34F5C7" w14:textId="74B5B698" w:rsidR="00CF452F" w:rsidRPr="00310F54" w:rsidRDefault="00310F54" w:rsidP="00310F54">
    <w:pPr>
      <w:pStyle w:val="Footer"/>
      <w:jc w:val="center"/>
      <w:rPr>
        <w:rFonts w:ascii="Arial" w:hAnsi="Arial" w:cs="Arial"/>
        <w:sz w:val="14"/>
      </w:rPr>
    </w:pPr>
    <w:r w:rsidRPr="00310F5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2A0B" w14:textId="77777777" w:rsidR="00310F54" w:rsidRDefault="00310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0C483" w14:textId="77777777" w:rsidR="00F070B8" w:rsidRDefault="00F070B8" w:rsidP="00AF0C6A">
      <w:pPr>
        <w:spacing w:after="0" w:line="240" w:lineRule="auto"/>
      </w:pPr>
      <w:r>
        <w:separator/>
      </w:r>
    </w:p>
  </w:footnote>
  <w:footnote w:type="continuationSeparator" w:id="0">
    <w:p w14:paraId="779CA14B" w14:textId="77777777" w:rsidR="00F070B8" w:rsidRDefault="00F070B8" w:rsidP="00AF0C6A">
      <w:pPr>
        <w:spacing w:after="0" w:line="240" w:lineRule="auto"/>
      </w:pPr>
      <w:r>
        <w:continuationSeparator/>
      </w:r>
    </w:p>
  </w:footnote>
  <w:footnote w:type="continuationNotice" w:id="1">
    <w:p w14:paraId="3616F371" w14:textId="77777777" w:rsidR="00F070B8" w:rsidRDefault="00F07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22E3" w14:textId="77777777" w:rsidR="00310F54" w:rsidRDefault="00310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20A7" w14:textId="2C460053" w:rsidR="00CF452F" w:rsidRPr="009118D2" w:rsidRDefault="00CF452F" w:rsidP="005C65BB">
    <w:pPr>
      <w:pStyle w:val="Header"/>
      <w:jc w:val="center"/>
      <w:rPr>
        <w:b/>
        <w:bCs/>
        <w:sz w:val="60"/>
        <w:szCs w:val="6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232C" w14:textId="77777777" w:rsidR="00310F54" w:rsidRDefault="00310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F8D"/>
    <w:multiLevelType w:val="hybridMultilevel"/>
    <w:tmpl w:val="CC9061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427D41"/>
    <w:multiLevelType w:val="hybridMultilevel"/>
    <w:tmpl w:val="70ECA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7638B7"/>
    <w:multiLevelType w:val="hybridMultilevel"/>
    <w:tmpl w:val="F7F880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EE05E1"/>
    <w:multiLevelType w:val="hybridMultilevel"/>
    <w:tmpl w:val="7562C3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4EB4AAB"/>
    <w:multiLevelType w:val="hybridMultilevel"/>
    <w:tmpl w:val="A4B2B34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60510EF"/>
    <w:multiLevelType w:val="hybridMultilevel"/>
    <w:tmpl w:val="896A2D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7F40A7"/>
    <w:multiLevelType w:val="hybridMultilevel"/>
    <w:tmpl w:val="270C6F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7000080"/>
    <w:multiLevelType w:val="hybridMultilevel"/>
    <w:tmpl w:val="C4F6B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25579B"/>
    <w:multiLevelType w:val="hybridMultilevel"/>
    <w:tmpl w:val="317E0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A0A96"/>
    <w:multiLevelType w:val="hybridMultilevel"/>
    <w:tmpl w:val="7BF27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FF2D1E"/>
    <w:multiLevelType w:val="hybridMultilevel"/>
    <w:tmpl w:val="11205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655BA9"/>
    <w:multiLevelType w:val="hybridMultilevel"/>
    <w:tmpl w:val="3D6A7D5A"/>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2E75F8"/>
    <w:multiLevelType w:val="hybridMultilevel"/>
    <w:tmpl w:val="D5A25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BD5B6B"/>
    <w:multiLevelType w:val="hybridMultilevel"/>
    <w:tmpl w:val="BD2AA7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6CB652D"/>
    <w:multiLevelType w:val="hybridMultilevel"/>
    <w:tmpl w:val="7DCEDFEA"/>
    <w:lvl w:ilvl="0" w:tplc="FFFFFFFF">
      <w:start w:val="1"/>
      <w:numFmt w:val="decimal"/>
      <w:lvlText w:val="%1."/>
      <w:lvlJc w:val="left"/>
      <w:pPr>
        <w:ind w:left="360" w:hanging="360"/>
      </w:pPr>
      <w:rPr>
        <w:rFonts w:ascii="Arial" w:hAnsi="Arial" w:cs="Arial" w:hint="default"/>
        <w:i w:val="0"/>
        <w:iCs w:val="0"/>
      </w:rPr>
    </w:lvl>
    <w:lvl w:ilvl="1" w:tplc="0C090019">
      <w:start w:val="1"/>
      <w:numFmt w:val="lowerLetter"/>
      <w:lvlText w:val="%2."/>
      <w:lvlJc w:val="left"/>
      <w:pPr>
        <w:ind w:left="1080" w:hanging="360"/>
      </w:pPr>
    </w:lvl>
    <w:lvl w:ilvl="2" w:tplc="FFFFFFFF">
      <w:start w:val="1"/>
      <w:numFmt w:val="bullet"/>
      <w:lvlText w:val="o"/>
      <w:lvlJc w:val="left"/>
      <w:pPr>
        <w:ind w:left="1800" w:hanging="180"/>
      </w:pPr>
      <w:rPr>
        <w:rFonts w:ascii="Courier New" w:hAnsi="Courier New" w:cs="Courier New"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2A3570F2"/>
    <w:multiLevelType w:val="hybridMultilevel"/>
    <w:tmpl w:val="8C620E8C"/>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6" w15:restartNumberingAfterBreak="0">
    <w:nsid w:val="2A605DC8"/>
    <w:multiLevelType w:val="hybridMultilevel"/>
    <w:tmpl w:val="896A2D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B237E"/>
    <w:multiLevelType w:val="hybridMultilevel"/>
    <w:tmpl w:val="B25E4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413853"/>
    <w:multiLevelType w:val="hybridMultilevel"/>
    <w:tmpl w:val="BF887A48"/>
    <w:lvl w:ilvl="0" w:tplc="9182AF08">
      <w:start w:val="1"/>
      <w:numFmt w:val="decimal"/>
      <w:lvlText w:val="Clause %1"/>
      <w:lvlJc w:val="left"/>
      <w:pPr>
        <w:ind w:left="360" w:hanging="360"/>
      </w:pPr>
      <w:rPr>
        <w:rFonts w:hint="default"/>
        <w:b/>
        <w:bCs w:val="0"/>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AF45674"/>
    <w:multiLevelType w:val="hybridMultilevel"/>
    <w:tmpl w:val="B86C8D58"/>
    <w:lvl w:ilvl="0" w:tplc="DCC88DB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876D24"/>
    <w:multiLevelType w:val="hybridMultilevel"/>
    <w:tmpl w:val="992A8A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1AE00D0"/>
    <w:multiLevelType w:val="hybridMultilevel"/>
    <w:tmpl w:val="B86C8D5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8F1542"/>
    <w:multiLevelType w:val="hybridMultilevel"/>
    <w:tmpl w:val="F8AC873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6206D0"/>
    <w:multiLevelType w:val="hybridMultilevel"/>
    <w:tmpl w:val="8C620E8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5FE6635"/>
    <w:multiLevelType w:val="hybridMultilevel"/>
    <w:tmpl w:val="AA2277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A171662"/>
    <w:multiLevelType w:val="hybridMultilevel"/>
    <w:tmpl w:val="B1CC8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B4422D5"/>
    <w:multiLevelType w:val="hybridMultilevel"/>
    <w:tmpl w:val="1FCC1E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DA6B08"/>
    <w:multiLevelType w:val="hybridMultilevel"/>
    <w:tmpl w:val="BCE64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C973B3"/>
    <w:multiLevelType w:val="hybridMultilevel"/>
    <w:tmpl w:val="5C36FAF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8C968E2"/>
    <w:multiLevelType w:val="hybridMultilevel"/>
    <w:tmpl w:val="03AA0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0604BE"/>
    <w:multiLevelType w:val="hybridMultilevel"/>
    <w:tmpl w:val="5C36FA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AC3613"/>
    <w:multiLevelType w:val="hybridMultilevel"/>
    <w:tmpl w:val="6FBE6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45309E"/>
    <w:multiLevelType w:val="hybridMultilevel"/>
    <w:tmpl w:val="A098649A"/>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7A7898"/>
    <w:multiLevelType w:val="hybridMultilevel"/>
    <w:tmpl w:val="7E00559E"/>
    <w:lvl w:ilvl="0" w:tplc="785CE436">
      <w:numFmt w:val="bullet"/>
      <w:lvlText w:val="•"/>
      <w:lvlJc w:val="left"/>
      <w:pPr>
        <w:ind w:left="1080" w:hanging="360"/>
      </w:pPr>
      <w:rPr>
        <w:rFonts w:ascii="Calibri" w:eastAsia="Calibri" w:hAnsi="Calibri" w:cs="Calibri"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F9F6E68"/>
    <w:multiLevelType w:val="hybridMultilevel"/>
    <w:tmpl w:val="B17A3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096023D"/>
    <w:multiLevelType w:val="hybridMultilevel"/>
    <w:tmpl w:val="F580BE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1627B0E"/>
    <w:multiLevelType w:val="hybridMultilevel"/>
    <w:tmpl w:val="2A2419BA"/>
    <w:lvl w:ilvl="0" w:tplc="369C7E78">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46239C"/>
    <w:multiLevelType w:val="hybridMultilevel"/>
    <w:tmpl w:val="8AAA4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230576"/>
    <w:multiLevelType w:val="hybridMultilevel"/>
    <w:tmpl w:val="84A423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C0513C0"/>
    <w:multiLevelType w:val="hybridMultilevel"/>
    <w:tmpl w:val="E36429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183B93"/>
    <w:multiLevelType w:val="hybridMultilevel"/>
    <w:tmpl w:val="8B12DD92"/>
    <w:lvl w:ilvl="0" w:tplc="4606B6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F7156D"/>
    <w:multiLevelType w:val="hybridMultilevel"/>
    <w:tmpl w:val="896A2D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0826197">
    <w:abstractNumId w:val="19"/>
  </w:num>
  <w:num w:numId="2" w16cid:durableId="302972939">
    <w:abstractNumId w:val="28"/>
  </w:num>
  <w:num w:numId="3" w16cid:durableId="787816379">
    <w:abstractNumId w:val="11"/>
  </w:num>
  <w:num w:numId="4" w16cid:durableId="74403589">
    <w:abstractNumId w:val="7"/>
  </w:num>
  <w:num w:numId="5" w16cid:durableId="504444510">
    <w:abstractNumId w:val="20"/>
  </w:num>
  <w:num w:numId="6" w16cid:durableId="868031734">
    <w:abstractNumId w:val="2"/>
  </w:num>
  <w:num w:numId="7" w16cid:durableId="913276366">
    <w:abstractNumId w:val="27"/>
  </w:num>
  <w:num w:numId="8" w16cid:durableId="1777023506">
    <w:abstractNumId w:val="22"/>
  </w:num>
  <w:num w:numId="9" w16cid:durableId="684333032">
    <w:abstractNumId w:val="5"/>
  </w:num>
  <w:num w:numId="10" w16cid:durableId="544635573">
    <w:abstractNumId w:val="40"/>
  </w:num>
  <w:num w:numId="11" w16cid:durableId="488911517">
    <w:abstractNumId w:val="31"/>
  </w:num>
  <w:num w:numId="12" w16cid:durableId="1698577836">
    <w:abstractNumId w:val="29"/>
  </w:num>
  <w:num w:numId="13" w16cid:durableId="2122532942">
    <w:abstractNumId w:val="33"/>
  </w:num>
  <w:num w:numId="14" w16cid:durableId="1249462591">
    <w:abstractNumId w:val="9"/>
  </w:num>
  <w:num w:numId="15" w16cid:durableId="1814134118">
    <w:abstractNumId w:val="4"/>
  </w:num>
  <w:num w:numId="16" w16cid:durableId="1741291889">
    <w:abstractNumId w:val="41"/>
  </w:num>
  <w:num w:numId="17" w16cid:durableId="427388271">
    <w:abstractNumId w:val="8"/>
  </w:num>
  <w:num w:numId="18" w16cid:durableId="1156609569">
    <w:abstractNumId w:val="16"/>
  </w:num>
  <w:num w:numId="19" w16cid:durableId="1151751634">
    <w:abstractNumId w:val="42"/>
  </w:num>
  <w:num w:numId="20" w16cid:durableId="393700114">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6530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46347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9207026">
    <w:abstractNumId w:val="13"/>
  </w:num>
  <w:num w:numId="24" w16cid:durableId="1559776569">
    <w:abstractNumId w:val="3"/>
  </w:num>
  <w:num w:numId="25" w16cid:durableId="974872863">
    <w:abstractNumId w:val="26"/>
  </w:num>
  <w:num w:numId="26" w16cid:durableId="1460100798">
    <w:abstractNumId w:val="17"/>
  </w:num>
  <w:num w:numId="27" w16cid:durableId="328413736">
    <w:abstractNumId w:val="21"/>
  </w:num>
  <w:num w:numId="28" w16cid:durableId="511385124">
    <w:abstractNumId w:val="35"/>
  </w:num>
  <w:num w:numId="29" w16cid:durableId="1802460530">
    <w:abstractNumId w:val="37"/>
  </w:num>
  <w:num w:numId="30" w16cid:durableId="1445727679">
    <w:abstractNumId w:val="0"/>
  </w:num>
  <w:num w:numId="31" w16cid:durableId="411976987">
    <w:abstractNumId w:val="32"/>
  </w:num>
  <w:num w:numId="32" w16cid:durableId="673923643">
    <w:abstractNumId w:val="10"/>
  </w:num>
  <w:num w:numId="33" w16cid:durableId="749930856">
    <w:abstractNumId w:val="1"/>
  </w:num>
  <w:num w:numId="34" w16cid:durableId="1894655168">
    <w:abstractNumId w:val="12"/>
  </w:num>
  <w:num w:numId="35" w16cid:durableId="665589903">
    <w:abstractNumId w:val="30"/>
  </w:num>
  <w:num w:numId="36" w16cid:durableId="1806653301">
    <w:abstractNumId w:val="38"/>
  </w:num>
  <w:num w:numId="37" w16cid:durableId="680858825">
    <w:abstractNumId w:val="6"/>
  </w:num>
  <w:num w:numId="38" w16cid:durableId="1143503541">
    <w:abstractNumId w:val="25"/>
  </w:num>
  <w:num w:numId="39" w16cid:durableId="1465658537">
    <w:abstractNumId w:val="23"/>
  </w:num>
  <w:num w:numId="40" w16cid:durableId="758136370">
    <w:abstractNumId w:val="18"/>
  </w:num>
  <w:num w:numId="41" w16cid:durableId="1861159628">
    <w:abstractNumId w:val="36"/>
  </w:num>
  <w:num w:numId="42" w16cid:durableId="1888030820">
    <w:abstractNumId w:val="39"/>
  </w:num>
  <w:num w:numId="43" w16cid:durableId="695235713">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38"/>
    <w:rsid w:val="00000D53"/>
    <w:rsid w:val="0000110C"/>
    <w:rsid w:val="00001387"/>
    <w:rsid w:val="00001C64"/>
    <w:rsid w:val="00001E72"/>
    <w:rsid w:val="00001F7A"/>
    <w:rsid w:val="00002211"/>
    <w:rsid w:val="0000227D"/>
    <w:rsid w:val="0000285F"/>
    <w:rsid w:val="00002922"/>
    <w:rsid w:val="00002B43"/>
    <w:rsid w:val="00002D42"/>
    <w:rsid w:val="00004150"/>
    <w:rsid w:val="000042A4"/>
    <w:rsid w:val="0000466F"/>
    <w:rsid w:val="00005866"/>
    <w:rsid w:val="00005DB5"/>
    <w:rsid w:val="000061CF"/>
    <w:rsid w:val="00006844"/>
    <w:rsid w:val="000077AB"/>
    <w:rsid w:val="00007FE5"/>
    <w:rsid w:val="00010000"/>
    <w:rsid w:val="000108BE"/>
    <w:rsid w:val="00010900"/>
    <w:rsid w:val="00010A1A"/>
    <w:rsid w:val="00011575"/>
    <w:rsid w:val="00012FA1"/>
    <w:rsid w:val="000134BC"/>
    <w:rsid w:val="00013EFA"/>
    <w:rsid w:val="0001400F"/>
    <w:rsid w:val="00014562"/>
    <w:rsid w:val="00015635"/>
    <w:rsid w:val="000156E7"/>
    <w:rsid w:val="00015D24"/>
    <w:rsid w:val="00015E83"/>
    <w:rsid w:val="00015EB7"/>
    <w:rsid w:val="00016484"/>
    <w:rsid w:val="00016AE3"/>
    <w:rsid w:val="000173BA"/>
    <w:rsid w:val="000173F9"/>
    <w:rsid w:val="0001751B"/>
    <w:rsid w:val="0002187A"/>
    <w:rsid w:val="00021939"/>
    <w:rsid w:val="000224D3"/>
    <w:rsid w:val="0002259E"/>
    <w:rsid w:val="00022E60"/>
    <w:rsid w:val="0002395F"/>
    <w:rsid w:val="00023BEF"/>
    <w:rsid w:val="00023C94"/>
    <w:rsid w:val="0002425D"/>
    <w:rsid w:val="000242A6"/>
    <w:rsid w:val="00024769"/>
    <w:rsid w:val="00024B8B"/>
    <w:rsid w:val="00024D59"/>
    <w:rsid w:val="00024E57"/>
    <w:rsid w:val="0002548B"/>
    <w:rsid w:val="00025B81"/>
    <w:rsid w:val="000263B7"/>
    <w:rsid w:val="0002688B"/>
    <w:rsid w:val="00026939"/>
    <w:rsid w:val="00026A10"/>
    <w:rsid w:val="00026BF0"/>
    <w:rsid w:val="00026C98"/>
    <w:rsid w:val="000271A4"/>
    <w:rsid w:val="000272FB"/>
    <w:rsid w:val="00027BC1"/>
    <w:rsid w:val="00027F1F"/>
    <w:rsid w:val="00030085"/>
    <w:rsid w:val="000305E8"/>
    <w:rsid w:val="00030837"/>
    <w:rsid w:val="00030E0F"/>
    <w:rsid w:val="00030F3B"/>
    <w:rsid w:val="000310A3"/>
    <w:rsid w:val="00031148"/>
    <w:rsid w:val="0003160E"/>
    <w:rsid w:val="00031836"/>
    <w:rsid w:val="00032386"/>
    <w:rsid w:val="000333D9"/>
    <w:rsid w:val="000334FA"/>
    <w:rsid w:val="00033512"/>
    <w:rsid w:val="0003412B"/>
    <w:rsid w:val="00034378"/>
    <w:rsid w:val="000344E9"/>
    <w:rsid w:val="0003454C"/>
    <w:rsid w:val="00034943"/>
    <w:rsid w:val="0003494F"/>
    <w:rsid w:val="00034966"/>
    <w:rsid w:val="00034A93"/>
    <w:rsid w:val="00034BEE"/>
    <w:rsid w:val="00034C65"/>
    <w:rsid w:val="000352CA"/>
    <w:rsid w:val="00036026"/>
    <w:rsid w:val="00036708"/>
    <w:rsid w:val="00036CCE"/>
    <w:rsid w:val="0003790A"/>
    <w:rsid w:val="00040066"/>
    <w:rsid w:val="000413D9"/>
    <w:rsid w:val="000416F7"/>
    <w:rsid w:val="00041A41"/>
    <w:rsid w:val="00041BD9"/>
    <w:rsid w:val="00041EF3"/>
    <w:rsid w:val="00042064"/>
    <w:rsid w:val="000425E1"/>
    <w:rsid w:val="00042936"/>
    <w:rsid w:val="00042AC6"/>
    <w:rsid w:val="00042EFE"/>
    <w:rsid w:val="00044366"/>
    <w:rsid w:val="00044468"/>
    <w:rsid w:val="00044494"/>
    <w:rsid w:val="0004457B"/>
    <w:rsid w:val="000448A8"/>
    <w:rsid w:val="000454AD"/>
    <w:rsid w:val="00045D5B"/>
    <w:rsid w:val="00046518"/>
    <w:rsid w:val="00046718"/>
    <w:rsid w:val="0004696D"/>
    <w:rsid w:val="000474FF"/>
    <w:rsid w:val="00050618"/>
    <w:rsid w:val="0005083D"/>
    <w:rsid w:val="00051541"/>
    <w:rsid w:val="000522F7"/>
    <w:rsid w:val="00052E38"/>
    <w:rsid w:val="0005489F"/>
    <w:rsid w:val="00054F6E"/>
    <w:rsid w:val="00055714"/>
    <w:rsid w:val="00055EEC"/>
    <w:rsid w:val="000574C0"/>
    <w:rsid w:val="0005799F"/>
    <w:rsid w:val="00057A19"/>
    <w:rsid w:val="00057C12"/>
    <w:rsid w:val="00057F40"/>
    <w:rsid w:val="00060250"/>
    <w:rsid w:val="000605C7"/>
    <w:rsid w:val="0006083D"/>
    <w:rsid w:val="0006099B"/>
    <w:rsid w:val="00060B0C"/>
    <w:rsid w:val="000624B5"/>
    <w:rsid w:val="000625EB"/>
    <w:rsid w:val="00062B23"/>
    <w:rsid w:val="000631BA"/>
    <w:rsid w:val="00063FED"/>
    <w:rsid w:val="000642FC"/>
    <w:rsid w:val="00064545"/>
    <w:rsid w:val="00064742"/>
    <w:rsid w:val="00064DF7"/>
    <w:rsid w:val="00065110"/>
    <w:rsid w:val="00065565"/>
    <w:rsid w:val="0006574A"/>
    <w:rsid w:val="00065D38"/>
    <w:rsid w:val="000668D2"/>
    <w:rsid w:val="00066DAF"/>
    <w:rsid w:val="00066F6E"/>
    <w:rsid w:val="000670C6"/>
    <w:rsid w:val="00067FEB"/>
    <w:rsid w:val="00071067"/>
    <w:rsid w:val="00071830"/>
    <w:rsid w:val="000718F3"/>
    <w:rsid w:val="0007278A"/>
    <w:rsid w:val="00073267"/>
    <w:rsid w:val="00073AD0"/>
    <w:rsid w:val="000743D7"/>
    <w:rsid w:val="00074B8E"/>
    <w:rsid w:val="00074F6A"/>
    <w:rsid w:val="000750B4"/>
    <w:rsid w:val="00075376"/>
    <w:rsid w:val="00076BEF"/>
    <w:rsid w:val="0007755E"/>
    <w:rsid w:val="00077EC0"/>
    <w:rsid w:val="00080830"/>
    <w:rsid w:val="00080AB4"/>
    <w:rsid w:val="00080F9E"/>
    <w:rsid w:val="00081220"/>
    <w:rsid w:val="00081F33"/>
    <w:rsid w:val="000825AE"/>
    <w:rsid w:val="000826D8"/>
    <w:rsid w:val="00083963"/>
    <w:rsid w:val="000841A0"/>
    <w:rsid w:val="000841B6"/>
    <w:rsid w:val="000843CF"/>
    <w:rsid w:val="0008481E"/>
    <w:rsid w:val="0008496B"/>
    <w:rsid w:val="00084987"/>
    <w:rsid w:val="00084AD0"/>
    <w:rsid w:val="00085D93"/>
    <w:rsid w:val="00085DB5"/>
    <w:rsid w:val="000867CE"/>
    <w:rsid w:val="00086B37"/>
    <w:rsid w:val="00086B9E"/>
    <w:rsid w:val="00087064"/>
    <w:rsid w:val="0009038C"/>
    <w:rsid w:val="0009068A"/>
    <w:rsid w:val="00090A2A"/>
    <w:rsid w:val="000910A1"/>
    <w:rsid w:val="000912DE"/>
    <w:rsid w:val="00091417"/>
    <w:rsid w:val="00091945"/>
    <w:rsid w:val="00091A19"/>
    <w:rsid w:val="00091CE5"/>
    <w:rsid w:val="00091DEC"/>
    <w:rsid w:val="00092DE2"/>
    <w:rsid w:val="00093508"/>
    <w:rsid w:val="00093977"/>
    <w:rsid w:val="00093E25"/>
    <w:rsid w:val="00094EF6"/>
    <w:rsid w:val="00095B98"/>
    <w:rsid w:val="00096B0F"/>
    <w:rsid w:val="00097396"/>
    <w:rsid w:val="000977E5"/>
    <w:rsid w:val="00097B83"/>
    <w:rsid w:val="00097C47"/>
    <w:rsid w:val="000A062E"/>
    <w:rsid w:val="000A0888"/>
    <w:rsid w:val="000A0DD2"/>
    <w:rsid w:val="000A0E93"/>
    <w:rsid w:val="000A1CFD"/>
    <w:rsid w:val="000A1D1E"/>
    <w:rsid w:val="000A2A33"/>
    <w:rsid w:val="000A303E"/>
    <w:rsid w:val="000A34F2"/>
    <w:rsid w:val="000A356F"/>
    <w:rsid w:val="000A3B30"/>
    <w:rsid w:val="000A4006"/>
    <w:rsid w:val="000A43E6"/>
    <w:rsid w:val="000A4C9E"/>
    <w:rsid w:val="000A4E5C"/>
    <w:rsid w:val="000A4F13"/>
    <w:rsid w:val="000A4F59"/>
    <w:rsid w:val="000A617D"/>
    <w:rsid w:val="000A63C1"/>
    <w:rsid w:val="000A6ED9"/>
    <w:rsid w:val="000A7C26"/>
    <w:rsid w:val="000A7C98"/>
    <w:rsid w:val="000B0662"/>
    <w:rsid w:val="000B1C26"/>
    <w:rsid w:val="000B1D5B"/>
    <w:rsid w:val="000B1EAB"/>
    <w:rsid w:val="000B2689"/>
    <w:rsid w:val="000B2AE1"/>
    <w:rsid w:val="000B3764"/>
    <w:rsid w:val="000B3909"/>
    <w:rsid w:val="000B4808"/>
    <w:rsid w:val="000B4D7A"/>
    <w:rsid w:val="000B5279"/>
    <w:rsid w:val="000B5592"/>
    <w:rsid w:val="000B5924"/>
    <w:rsid w:val="000B5DBB"/>
    <w:rsid w:val="000B5EB7"/>
    <w:rsid w:val="000B6CCA"/>
    <w:rsid w:val="000B7796"/>
    <w:rsid w:val="000B7A35"/>
    <w:rsid w:val="000B7A3F"/>
    <w:rsid w:val="000B7E92"/>
    <w:rsid w:val="000C0246"/>
    <w:rsid w:val="000C04EB"/>
    <w:rsid w:val="000C0907"/>
    <w:rsid w:val="000C0FE3"/>
    <w:rsid w:val="000C100B"/>
    <w:rsid w:val="000C1489"/>
    <w:rsid w:val="000C14A3"/>
    <w:rsid w:val="000C1EA4"/>
    <w:rsid w:val="000C25E2"/>
    <w:rsid w:val="000C2DF7"/>
    <w:rsid w:val="000C3187"/>
    <w:rsid w:val="000C4223"/>
    <w:rsid w:val="000C49C0"/>
    <w:rsid w:val="000C4A56"/>
    <w:rsid w:val="000C4B2B"/>
    <w:rsid w:val="000C548D"/>
    <w:rsid w:val="000C5667"/>
    <w:rsid w:val="000C723A"/>
    <w:rsid w:val="000C77D9"/>
    <w:rsid w:val="000C7ED5"/>
    <w:rsid w:val="000D00AA"/>
    <w:rsid w:val="000D111C"/>
    <w:rsid w:val="000D144F"/>
    <w:rsid w:val="000D153B"/>
    <w:rsid w:val="000D1866"/>
    <w:rsid w:val="000D1D67"/>
    <w:rsid w:val="000D254F"/>
    <w:rsid w:val="000D2AD7"/>
    <w:rsid w:val="000D2BA7"/>
    <w:rsid w:val="000D3223"/>
    <w:rsid w:val="000D3927"/>
    <w:rsid w:val="000D41C4"/>
    <w:rsid w:val="000D43C0"/>
    <w:rsid w:val="000D4441"/>
    <w:rsid w:val="000D493E"/>
    <w:rsid w:val="000D5A39"/>
    <w:rsid w:val="000D600A"/>
    <w:rsid w:val="000D6E23"/>
    <w:rsid w:val="000D7BDE"/>
    <w:rsid w:val="000D7DAA"/>
    <w:rsid w:val="000E0B5F"/>
    <w:rsid w:val="000E1508"/>
    <w:rsid w:val="000E162B"/>
    <w:rsid w:val="000E1C16"/>
    <w:rsid w:val="000E21DA"/>
    <w:rsid w:val="000E2305"/>
    <w:rsid w:val="000E2F55"/>
    <w:rsid w:val="000E4CF7"/>
    <w:rsid w:val="000E4D0C"/>
    <w:rsid w:val="000E4F53"/>
    <w:rsid w:val="000E58A3"/>
    <w:rsid w:val="000E5960"/>
    <w:rsid w:val="000E5C08"/>
    <w:rsid w:val="000E5D12"/>
    <w:rsid w:val="000E69B0"/>
    <w:rsid w:val="000E6EE3"/>
    <w:rsid w:val="000E6F98"/>
    <w:rsid w:val="000E70BE"/>
    <w:rsid w:val="000E72AB"/>
    <w:rsid w:val="000E72BC"/>
    <w:rsid w:val="000E7372"/>
    <w:rsid w:val="000F04CE"/>
    <w:rsid w:val="000F09D6"/>
    <w:rsid w:val="000F0CDC"/>
    <w:rsid w:val="000F170E"/>
    <w:rsid w:val="000F1EC1"/>
    <w:rsid w:val="000F1F43"/>
    <w:rsid w:val="000F1FF9"/>
    <w:rsid w:val="000F2274"/>
    <w:rsid w:val="000F2B7F"/>
    <w:rsid w:val="000F2F31"/>
    <w:rsid w:val="000F45B9"/>
    <w:rsid w:val="000F4727"/>
    <w:rsid w:val="000F552C"/>
    <w:rsid w:val="000F6F7B"/>
    <w:rsid w:val="000F7584"/>
    <w:rsid w:val="0010016F"/>
    <w:rsid w:val="00100606"/>
    <w:rsid w:val="00101054"/>
    <w:rsid w:val="00102120"/>
    <w:rsid w:val="00102FB6"/>
    <w:rsid w:val="0010347C"/>
    <w:rsid w:val="00103732"/>
    <w:rsid w:val="0010435B"/>
    <w:rsid w:val="00104C6B"/>
    <w:rsid w:val="00104DF1"/>
    <w:rsid w:val="0010556A"/>
    <w:rsid w:val="00105F84"/>
    <w:rsid w:val="00106338"/>
    <w:rsid w:val="00107344"/>
    <w:rsid w:val="00107599"/>
    <w:rsid w:val="0011050D"/>
    <w:rsid w:val="00110613"/>
    <w:rsid w:val="00110C4C"/>
    <w:rsid w:val="00110F19"/>
    <w:rsid w:val="00111AE1"/>
    <w:rsid w:val="00111F5C"/>
    <w:rsid w:val="00111FF8"/>
    <w:rsid w:val="0011227D"/>
    <w:rsid w:val="001126DA"/>
    <w:rsid w:val="0011282A"/>
    <w:rsid w:val="00112B09"/>
    <w:rsid w:val="00112B1B"/>
    <w:rsid w:val="00112F79"/>
    <w:rsid w:val="0011321A"/>
    <w:rsid w:val="001144C4"/>
    <w:rsid w:val="00114C50"/>
    <w:rsid w:val="001150A4"/>
    <w:rsid w:val="00115599"/>
    <w:rsid w:val="001155F9"/>
    <w:rsid w:val="00115B56"/>
    <w:rsid w:val="00116492"/>
    <w:rsid w:val="00116A04"/>
    <w:rsid w:val="00116D84"/>
    <w:rsid w:val="0011725A"/>
    <w:rsid w:val="00117668"/>
    <w:rsid w:val="0011783F"/>
    <w:rsid w:val="00117AE0"/>
    <w:rsid w:val="00117E66"/>
    <w:rsid w:val="00117F17"/>
    <w:rsid w:val="00120AE4"/>
    <w:rsid w:val="0012205F"/>
    <w:rsid w:val="0012214E"/>
    <w:rsid w:val="0012225C"/>
    <w:rsid w:val="00122D8F"/>
    <w:rsid w:val="00123177"/>
    <w:rsid w:val="00123716"/>
    <w:rsid w:val="00123FF0"/>
    <w:rsid w:val="001241D5"/>
    <w:rsid w:val="001249D8"/>
    <w:rsid w:val="00124E07"/>
    <w:rsid w:val="0012504C"/>
    <w:rsid w:val="00125344"/>
    <w:rsid w:val="001253E5"/>
    <w:rsid w:val="001272A4"/>
    <w:rsid w:val="00127A69"/>
    <w:rsid w:val="00127ADB"/>
    <w:rsid w:val="001303AB"/>
    <w:rsid w:val="00130C8F"/>
    <w:rsid w:val="00130DA8"/>
    <w:rsid w:val="00131EF1"/>
    <w:rsid w:val="00132632"/>
    <w:rsid w:val="001329F7"/>
    <w:rsid w:val="001334EC"/>
    <w:rsid w:val="0013363B"/>
    <w:rsid w:val="001342C9"/>
    <w:rsid w:val="0013476D"/>
    <w:rsid w:val="0013480A"/>
    <w:rsid w:val="001355F9"/>
    <w:rsid w:val="00135C4E"/>
    <w:rsid w:val="00135CC0"/>
    <w:rsid w:val="00136345"/>
    <w:rsid w:val="00136DAC"/>
    <w:rsid w:val="0013709B"/>
    <w:rsid w:val="001370AE"/>
    <w:rsid w:val="0013718D"/>
    <w:rsid w:val="001371E1"/>
    <w:rsid w:val="001372C4"/>
    <w:rsid w:val="00137351"/>
    <w:rsid w:val="0013739F"/>
    <w:rsid w:val="001378AB"/>
    <w:rsid w:val="00137D7E"/>
    <w:rsid w:val="00140799"/>
    <w:rsid w:val="00141198"/>
    <w:rsid w:val="001412CB"/>
    <w:rsid w:val="00141E55"/>
    <w:rsid w:val="00141F54"/>
    <w:rsid w:val="00142132"/>
    <w:rsid w:val="00143214"/>
    <w:rsid w:val="00143541"/>
    <w:rsid w:val="001440DA"/>
    <w:rsid w:val="00144A1B"/>
    <w:rsid w:val="001450D4"/>
    <w:rsid w:val="00145132"/>
    <w:rsid w:val="00145292"/>
    <w:rsid w:val="00145EE3"/>
    <w:rsid w:val="001461F7"/>
    <w:rsid w:val="00146534"/>
    <w:rsid w:val="001467AF"/>
    <w:rsid w:val="00147120"/>
    <w:rsid w:val="00147182"/>
    <w:rsid w:val="00147F4A"/>
    <w:rsid w:val="00147FB2"/>
    <w:rsid w:val="001506D9"/>
    <w:rsid w:val="00150792"/>
    <w:rsid w:val="001509CC"/>
    <w:rsid w:val="00150A29"/>
    <w:rsid w:val="00150F35"/>
    <w:rsid w:val="00151289"/>
    <w:rsid w:val="00151308"/>
    <w:rsid w:val="00151A99"/>
    <w:rsid w:val="00152DA0"/>
    <w:rsid w:val="00153BCD"/>
    <w:rsid w:val="00154713"/>
    <w:rsid w:val="0015472B"/>
    <w:rsid w:val="0015491F"/>
    <w:rsid w:val="00154D8F"/>
    <w:rsid w:val="00154DFC"/>
    <w:rsid w:val="00155249"/>
    <w:rsid w:val="0015541E"/>
    <w:rsid w:val="001556BC"/>
    <w:rsid w:val="00155792"/>
    <w:rsid w:val="00155BDE"/>
    <w:rsid w:val="00155DE1"/>
    <w:rsid w:val="00157982"/>
    <w:rsid w:val="00160629"/>
    <w:rsid w:val="00161B41"/>
    <w:rsid w:val="00161BE5"/>
    <w:rsid w:val="00162114"/>
    <w:rsid w:val="001623EC"/>
    <w:rsid w:val="00162543"/>
    <w:rsid w:val="00162AD6"/>
    <w:rsid w:val="00162E87"/>
    <w:rsid w:val="001631A2"/>
    <w:rsid w:val="0016334A"/>
    <w:rsid w:val="001636ED"/>
    <w:rsid w:val="00163766"/>
    <w:rsid w:val="001638F7"/>
    <w:rsid w:val="00163FCA"/>
    <w:rsid w:val="0016425C"/>
    <w:rsid w:val="00164E14"/>
    <w:rsid w:val="00164FCB"/>
    <w:rsid w:val="00165128"/>
    <w:rsid w:val="0016520C"/>
    <w:rsid w:val="0016543A"/>
    <w:rsid w:val="00165AAF"/>
    <w:rsid w:val="00165AD1"/>
    <w:rsid w:val="001667F6"/>
    <w:rsid w:val="00167BB4"/>
    <w:rsid w:val="00170944"/>
    <w:rsid w:val="00170F10"/>
    <w:rsid w:val="00171135"/>
    <w:rsid w:val="00171B8E"/>
    <w:rsid w:val="00171BE6"/>
    <w:rsid w:val="00172EE7"/>
    <w:rsid w:val="00172F60"/>
    <w:rsid w:val="00173648"/>
    <w:rsid w:val="001738C9"/>
    <w:rsid w:val="00173A60"/>
    <w:rsid w:val="00174DF3"/>
    <w:rsid w:val="0017534C"/>
    <w:rsid w:val="001760A9"/>
    <w:rsid w:val="0017626C"/>
    <w:rsid w:val="00180533"/>
    <w:rsid w:val="00180641"/>
    <w:rsid w:val="001810CF"/>
    <w:rsid w:val="001812F3"/>
    <w:rsid w:val="0018197B"/>
    <w:rsid w:val="0018208B"/>
    <w:rsid w:val="00182959"/>
    <w:rsid w:val="00183B33"/>
    <w:rsid w:val="00183B94"/>
    <w:rsid w:val="00184242"/>
    <w:rsid w:val="00184489"/>
    <w:rsid w:val="00184E58"/>
    <w:rsid w:val="00185602"/>
    <w:rsid w:val="00185678"/>
    <w:rsid w:val="001859BD"/>
    <w:rsid w:val="00186183"/>
    <w:rsid w:val="00186BBF"/>
    <w:rsid w:val="00186BE2"/>
    <w:rsid w:val="00186CFA"/>
    <w:rsid w:val="00190313"/>
    <w:rsid w:val="00190893"/>
    <w:rsid w:val="00190AEE"/>
    <w:rsid w:val="001914D7"/>
    <w:rsid w:val="00191736"/>
    <w:rsid w:val="00191E62"/>
    <w:rsid w:val="00192844"/>
    <w:rsid w:val="00192E50"/>
    <w:rsid w:val="001930DF"/>
    <w:rsid w:val="001934CB"/>
    <w:rsid w:val="00193813"/>
    <w:rsid w:val="001942A9"/>
    <w:rsid w:val="0019439A"/>
    <w:rsid w:val="00194749"/>
    <w:rsid w:val="001949D5"/>
    <w:rsid w:val="00194AB1"/>
    <w:rsid w:val="00195176"/>
    <w:rsid w:val="00197795"/>
    <w:rsid w:val="001A049B"/>
    <w:rsid w:val="001A05A6"/>
    <w:rsid w:val="001A05FF"/>
    <w:rsid w:val="001A0D60"/>
    <w:rsid w:val="001A10C8"/>
    <w:rsid w:val="001A19BE"/>
    <w:rsid w:val="001A1B2D"/>
    <w:rsid w:val="001A1E66"/>
    <w:rsid w:val="001A3FFC"/>
    <w:rsid w:val="001A48F6"/>
    <w:rsid w:val="001A4B84"/>
    <w:rsid w:val="001A4FA8"/>
    <w:rsid w:val="001A54B7"/>
    <w:rsid w:val="001A5621"/>
    <w:rsid w:val="001A5B12"/>
    <w:rsid w:val="001A626C"/>
    <w:rsid w:val="001A6C96"/>
    <w:rsid w:val="001A7095"/>
    <w:rsid w:val="001A72ED"/>
    <w:rsid w:val="001A7748"/>
    <w:rsid w:val="001A78DB"/>
    <w:rsid w:val="001B156B"/>
    <w:rsid w:val="001B1ACB"/>
    <w:rsid w:val="001B1DC0"/>
    <w:rsid w:val="001B1FBE"/>
    <w:rsid w:val="001B2AF7"/>
    <w:rsid w:val="001B369C"/>
    <w:rsid w:val="001B484A"/>
    <w:rsid w:val="001B4A54"/>
    <w:rsid w:val="001B563C"/>
    <w:rsid w:val="001B5811"/>
    <w:rsid w:val="001B5D0E"/>
    <w:rsid w:val="001B61D0"/>
    <w:rsid w:val="001B6436"/>
    <w:rsid w:val="001B6B01"/>
    <w:rsid w:val="001B74EE"/>
    <w:rsid w:val="001B7541"/>
    <w:rsid w:val="001B7A30"/>
    <w:rsid w:val="001B7B8B"/>
    <w:rsid w:val="001B7FFD"/>
    <w:rsid w:val="001C02C1"/>
    <w:rsid w:val="001C0F1A"/>
    <w:rsid w:val="001C157F"/>
    <w:rsid w:val="001C1621"/>
    <w:rsid w:val="001C1A45"/>
    <w:rsid w:val="001C29B3"/>
    <w:rsid w:val="001C2DEC"/>
    <w:rsid w:val="001C2E8E"/>
    <w:rsid w:val="001C35E4"/>
    <w:rsid w:val="001C36A3"/>
    <w:rsid w:val="001C382B"/>
    <w:rsid w:val="001C3B7D"/>
    <w:rsid w:val="001C3C6E"/>
    <w:rsid w:val="001C40D2"/>
    <w:rsid w:val="001C4C9C"/>
    <w:rsid w:val="001C4FD8"/>
    <w:rsid w:val="001C54AA"/>
    <w:rsid w:val="001C6264"/>
    <w:rsid w:val="001C6C17"/>
    <w:rsid w:val="001C733A"/>
    <w:rsid w:val="001C7CE2"/>
    <w:rsid w:val="001D09A3"/>
    <w:rsid w:val="001D12BC"/>
    <w:rsid w:val="001D133A"/>
    <w:rsid w:val="001D1D80"/>
    <w:rsid w:val="001D2C51"/>
    <w:rsid w:val="001D3765"/>
    <w:rsid w:val="001D3D28"/>
    <w:rsid w:val="001D428E"/>
    <w:rsid w:val="001D42CF"/>
    <w:rsid w:val="001D47A7"/>
    <w:rsid w:val="001D512D"/>
    <w:rsid w:val="001D58B3"/>
    <w:rsid w:val="001D5EAA"/>
    <w:rsid w:val="001D6074"/>
    <w:rsid w:val="001D6ABC"/>
    <w:rsid w:val="001D756F"/>
    <w:rsid w:val="001D7BDA"/>
    <w:rsid w:val="001D7DD2"/>
    <w:rsid w:val="001E085A"/>
    <w:rsid w:val="001E0BA1"/>
    <w:rsid w:val="001E14F9"/>
    <w:rsid w:val="001E2E1F"/>
    <w:rsid w:val="001E2E48"/>
    <w:rsid w:val="001E2FB1"/>
    <w:rsid w:val="001E35CA"/>
    <w:rsid w:val="001E3790"/>
    <w:rsid w:val="001E3AEC"/>
    <w:rsid w:val="001E3C99"/>
    <w:rsid w:val="001E42EE"/>
    <w:rsid w:val="001E4691"/>
    <w:rsid w:val="001E4D79"/>
    <w:rsid w:val="001E5581"/>
    <w:rsid w:val="001E5B06"/>
    <w:rsid w:val="001E6097"/>
    <w:rsid w:val="001E626D"/>
    <w:rsid w:val="001E662B"/>
    <w:rsid w:val="001E6E8C"/>
    <w:rsid w:val="001E6F41"/>
    <w:rsid w:val="001E7072"/>
    <w:rsid w:val="001E79E2"/>
    <w:rsid w:val="001E7A99"/>
    <w:rsid w:val="001E7BB8"/>
    <w:rsid w:val="001E7CAF"/>
    <w:rsid w:val="001E7FCE"/>
    <w:rsid w:val="001F006F"/>
    <w:rsid w:val="001F0431"/>
    <w:rsid w:val="001F0B4C"/>
    <w:rsid w:val="001F1C84"/>
    <w:rsid w:val="001F37D2"/>
    <w:rsid w:val="001F37E2"/>
    <w:rsid w:val="001F3FE1"/>
    <w:rsid w:val="001F42AF"/>
    <w:rsid w:val="001F4346"/>
    <w:rsid w:val="001F464B"/>
    <w:rsid w:val="001F4A5E"/>
    <w:rsid w:val="001F4F28"/>
    <w:rsid w:val="001F5BDB"/>
    <w:rsid w:val="001F6FBF"/>
    <w:rsid w:val="001F7493"/>
    <w:rsid w:val="001F7DC3"/>
    <w:rsid w:val="0020035B"/>
    <w:rsid w:val="002004D6"/>
    <w:rsid w:val="002007FF"/>
    <w:rsid w:val="00200CE7"/>
    <w:rsid w:val="00201275"/>
    <w:rsid w:val="002021F7"/>
    <w:rsid w:val="00202BD5"/>
    <w:rsid w:val="00202FBF"/>
    <w:rsid w:val="00202FE8"/>
    <w:rsid w:val="002032F7"/>
    <w:rsid w:val="002033CA"/>
    <w:rsid w:val="002035E1"/>
    <w:rsid w:val="00203789"/>
    <w:rsid w:val="00203899"/>
    <w:rsid w:val="00203A39"/>
    <w:rsid w:val="0020486E"/>
    <w:rsid w:val="002050E4"/>
    <w:rsid w:val="00205169"/>
    <w:rsid w:val="00205644"/>
    <w:rsid w:val="002058C7"/>
    <w:rsid w:val="002059F1"/>
    <w:rsid w:val="00205A84"/>
    <w:rsid w:val="002060BD"/>
    <w:rsid w:val="0020640F"/>
    <w:rsid w:val="00206455"/>
    <w:rsid w:val="00207112"/>
    <w:rsid w:val="00207D84"/>
    <w:rsid w:val="00207F14"/>
    <w:rsid w:val="00207F6E"/>
    <w:rsid w:val="00210159"/>
    <w:rsid w:val="0021056C"/>
    <w:rsid w:val="00210A63"/>
    <w:rsid w:val="002111F6"/>
    <w:rsid w:val="002116AF"/>
    <w:rsid w:val="00211A7B"/>
    <w:rsid w:val="00211C29"/>
    <w:rsid w:val="002129EE"/>
    <w:rsid w:val="00212F8A"/>
    <w:rsid w:val="0021355B"/>
    <w:rsid w:val="0021359C"/>
    <w:rsid w:val="002137F7"/>
    <w:rsid w:val="00213A9E"/>
    <w:rsid w:val="00214195"/>
    <w:rsid w:val="002147CE"/>
    <w:rsid w:val="00216370"/>
    <w:rsid w:val="002168B7"/>
    <w:rsid w:val="00216B94"/>
    <w:rsid w:val="0021709F"/>
    <w:rsid w:val="0021723E"/>
    <w:rsid w:val="002177C9"/>
    <w:rsid w:val="00217F47"/>
    <w:rsid w:val="0022005A"/>
    <w:rsid w:val="00220703"/>
    <w:rsid w:val="0022088D"/>
    <w:rsid w:val="00220940"/>
    <w:rsid w:val="002210AB"/>
    <w:rsid w:val="0022113F"/>
    <w:rsid w:val="002212B3"/>
    <w:rsid w:val="0022163F"/>
    <w:rsid w:val="002217DC"/>
    <w:rsid w:val="0022180E"/>
    <w:rsid w:val="00221BE4"/>
    <w:rsid w:val="002220EF"/>
    <w:rsid w:val="00223BA4"/>
    <w:rsid w:val="002240A5"/>
    <w:rsid w:val="002245EC"/>
    <w:rsid w:val="00224FC0"/>
    <w:rsid w:val="00225614"/>
    <w:rsid w:val="00226046"/>
    <w:rsid w:val="002278BB"/>
    <w:rsid w:val="00227A31"/>
    <w:rsid w:val="00227C87"/>
    <w:rsid w:val="00230097"/>
    <w:rsid w:val="002300BE"/>
    <w:rsid w:val="00230910"/>
    <w:rsid w:val="0023192E"/>
    <w:rsid w:val="00231A48"/>
    <w:rsid w:val="00232586"/>
    <w:rsid w:val="00232D24"/>
    <w:rsid w:val="0023364A"/>
    <w:rsid w:val="00233B2E"/>
    <w:rsid w:val="00233FA4"/>
    <w:rsid w:val="00233FF6"/>
    <w:rsid w:val="00234650"/>
    <w:rsid w:val="00234B28"/>
    <w:rsid w:val="0023502E"/>
    <w:rsid w:val="00235113"/>
    <w:rsid w:val="00235585"/>
    <w:rsid w:val="002358A4"/>
    <w:rsid w:val="00235EB5"/>
    <w:rsid w:val="00235EEF"/>
    <w:rsid w:val="00235F82"/>
    <w:rsid w:val="00236192"/>
    <w:rsid w:val="0023630A"/>
    <w:rsid w:val="00236FB7"/>
    <w:rsid w:val="002400EE"/>
    <w:rsid w:val="00240328"/>
    <w:rsid w:val="00240696"/>
    <w:rsid w:val="00240A1E"/>
    <w:rsid w:val="00240AC0"/>
    <w:rsid w:val="00240F8B"/>
    <w:rsid w:val="002412A3"/>
    <w:rsid w:val="00241A2E"/>
    <w:rsid w:val="00241B2C"/>
    <w:rsid w:val="002424FA"/>
    <w:rsid w:val="00242C12"/>
    <w:rsid w:val="00242FEC"/>
    <w:rsid w:val="002439C4"/>
    <w:rsid w:val="00243D21"/>
    <w:rsid w:val="00243E82"/>
    <w:rsid w:val="002440E3"/>
    <w:rsid w:val="0024426F"/>
    <w:rsid w:val="002445E2"/>
    <w:rsid w:val="0024460E"/>
    <w:rsid w:val="00244690"/>
    <w:rsid w:val="00244BF3"/>
    <w:rsid w:val="002455E6"/>
    <w:rsid w:val="0024573D"/>
    <w:rsid w:val="00246040"/>
    <w:rsid w:val="002466F7"/>
    <w:rsid w:val="00246B21"/>
    <w:rsid w:val="002474C1"/>
    <w:rsid w:val="0025062A"/>
    <w:rsid w:val="002508A4"/>
    <w:rsid w:val="00250B48"/>
    <w:rsid w:val="00250E29"/>
    <w:rsid w:val="0025134A"/>
    <w:rsid w:val="00251536"/>
    <w:rsid w:val="00251C5F"/>
    <w:rsid w:val="00251FF4"/>
    <w:rsid w:val="0025232B"/>
    <w:rsid w:val="0025262F"/>
    <w:rsid w:val="002532DD"/>
    <w:rsid w:val="002533F5"/>
    <w:rsid w:val="002537A9"/>
    <w:rsid w:val="00253CFA"/>
    <w:rsid w:val="002541C1"/>
    <w:rsid w:val="00254392"/>
    <w:rsid w:val="0025473B"/>
    <w:rsid w:val="002547E7"/>
    <w:rsid w:val="00255A25"/>
    <w:rsid w:val="002561A3"/>
    <w:rsid w:val="00256271"/>
    <w:rsid w:val="0025649D"/>
    <w:rsid w:val="00256D0F"/>
    <w:rsid w:val="002571F0"/>
    <w:rsid w:val="00257414"/>
    <w:rsid w:val="00257473"/>
    <w:rsid w:val="00257A29"/>
    <w:rsid w:val="0026018D"/>
    <w:rsid w:val="00260D08"/>
    <w:rsid w:val="00261A08"/>
    <w:rsid w:val="00261C5E"/>
    <w:rsid w:val="00261DBA"/>
    <w:rsid w:val="00262E3C"/>
    <w:rsid w:val="0026314D"/>
    <w:rsid w:val="00263F18"/>
    <w:rsid w:val="002645B6"/>
    <w:rsid w:val="00264B91"/>
    <w:rsid w:val="002652E0"/>
    <w:rsid w:val="00265635"/>
    <w:rsid w:val="0026577B"/>
    <w:rsid w:val="00265791"/>
    <w:rsid w:val="00265803"/>
    <w:rsid w:val="00265FD9"/>
    <w:rsid w:val="002662C9"/>
    <w:rsid w:val="0026630D"/>
    <w:rsid w:val="00266325"/>
    <w:rsid w:val="00266DB5"/>
    <w:rsid w:val="00267BF5"/>
    <w:rsid w:val="00270733"/>
    <w:rsid w:val="0027115D"/>
    <w:rsid w:val="002711BD"/>
    <w:rsid w:val="00271461"/>
    <w:rsid w:val="00271B98"/>
    <w:rsid w:val="00272CE8"/>
    <w:rsid w:val="00273393"/>
    <w:rsid w:val="00273761"/>
    <w:rsid w:val="0027376D"/>
    <w:rsid w:val="00273A10"/>
    <w:rsid w:val="00273D55"/>
    <w:rsid w:val="00274AB6"/>
    <w:rsid w:val="00274D34"/>
    <w:rsid w:val="002761AE"/>
    <w:rsid w:val="002764F3"/>
    <w:rsid w:val="00277808"/>
    <w:rsid w:val="00277A7B"/>
    <w:rsid w:val="00277D9D"/>
    <w:rsid w:val="00277FE9"/>
    <w:rsid w:val="00280474"/>
    <w:rsid w:val="00280638"/>
    <w:rsid w:val="00280C86"/>
    <w:rsid w:val="00282259"/>
    <w:rsid w:val="00282371"/>
    <w:rsid w:val="00282628"/>
    <w:rsid w:val="0028283F"/>
    <w:rsid w:val="00282C2B"/>
    <w:rsid w:val="00282C6A"/>
    <w:rsid w:val="002832CA"/>
    <w:rsid w:val="002834E1"/>
    <w:rsid w:val="00283814"/>
    <w:rsid w:val="00283D33"/>
    <w:rsid w:val="00283FA3"/>
    <w:rsid w:val="00284249"/>
    <w:rsid w:val="00284D23"/>
    <w:rsid w:val="002851CB"/>
    <w:rsid w:val="002857B5"/>
    <w:rsid w:val="00285A8B"/>
    <w:rsid w:val="00286DDC"/>
    <w:rsid w:val="00290626"/>
    <w:rsid w:val="00290948"/>
    <w:rsid w:val="00290CDC"/>
    <w:rsid w:val="00290F83"/>
    <w:rsid w:val="002911EF"/>
    <w:rsid w:val="00291D32"/>
    <w:rsid w:val="002927D3"/>
    <w:rsid w:val="00292BD2"/>
    <w:rsid w:val="00293AE8"/>
    <w:rsid w:val="00293D7F"/>
    <w:rsid w:val="002956C0"/>
    <w:rsid w:val="00295A27"/>
    <w:rsid w:val="00296556"/>
    <w:rsid w:val="00296C4E"/>
    <w:rsid w:val="00296E03"/>
    <w:rsid w:val="00297BD5"/>
    <w:rsid w:val="00297BD7"/>
    <w:rsid w:val="00297E2F"/>
    <w:rsid w:val="002A024E"/>
    <w:rsid w:val="002A0E9B"/>
    <w:rsid w:val="002A12A4"/>
    <w:rsid w:val="002A1538"/>
    <w:rsid w:val="002A16B8"/>
    <w:rsid w:val="002A293B"/>
    <w:rsid w:val="002A2BA8"/>
    <w:rsid w:val="002A2BEA"/>
    <w:rsid w:val="002A2C57"/>
    <w:rsid w:val="002A2D41"/>
    <w:rsid w:val="002A30B2"/>
    <w:rsid w:val="002A39CA"/>
    <w:rsid w:val="002A3F7D"/>
    <w:rsid w:val="002A4359"/>
    <w:rsid w:val="002A4689"/>
    <w:rsid w:val="002A4949"/>
    <w:rsid w:val="002A537F"/>
    <w:rsid w:val="002A541F"/>
    <w:rsid w:val="002A5B1D"/>
    <w:rsid w:val="002A5F6F"/>
    <w:rsid w:val="002A6064"/>
    <w:rsid w:val="002A6BB3"/>
    <w:rsid w:val="002A6C9E"/>
    <w:rsid w:val="002A6E65"/>
    <w:rsid w:val="002A76D6"/>
    <w:rsid w:val="002A7A69"/>
    <w:rsid w:val="002A7CDC"/>
    <w:rsid w:val="002A7CE5"/>
    <w:rsid w:val="002B0576"/>
    <w:rsid w:val="002B0ACE"/>
    <w:rsid w:val="002B0CB5"/>
    <w:rsid w:val="002B142F"/>
    <w:rsid w:val="002B15F7"/>
    <w:rsid w:val="002B1B54"/>
    <w:rsid w:val="002B2128"/>
    <w:rsid w:val="002B2675"/>
    <w:rsid w:val="002B2C03"/>
    <w:rsid w:val="002B2E94"/>
    <w:rsid w:val="002B31D5"/>
    <w:rsid w:val="002B3279"/>
    <w:rsid w:val="002B36B5"/>
    <w:rsid w:val="002B36F7"/>
    <w:rsid w:val="002B371A"/>
    <w:rsid w:val="002B47E6"/>
    <w:rsid w:val="002B4A73"/>
    <w:rsid w:val="002B5242"/>
    <w:rsid w:val="002B5BA9"/>
    <w:rsid w:val="002B647A"/>
    <w:rsid w:val="002B64BC"/>
    <w:rsid w:val="002B6507"/>
    <w:rsid w:val="002B6757"/>
    <w:rsid w:val="002B682B"/>
    <w:rsid w:val="002B6CE4"/>
    <w:rsid w:val="002B6D1C"/>
    <w:rsid w:val="002B6F79"/>
    <w:rsid w:val="002B7885"/>
    <w:rsid w:val="002C01FE"/>
    <w:rsid w:val="002C0FC6"/>
    <w:rsid w:val="002C18AF"/>
    <w:rsid w:val="002C1B3A"/>
    <w:rsid w:val="002C1E12"/>
    <w:rsid w:val="002C2998"/>
    <w:rsid w:val="002C2DE9"/>
    <w:rsid w:val="002C4467"/>
    <w:rsid w:val="002C53D3"/>
    <w:rsid w:val="002C54BC"/>
    <w:rsid w:val="002C5E3E"/>
    <w:rsid w:val="002C64E7"/>
    <w:rsid w:val="002C72BE"/>
    <w:rsid w:val="002C7CD7"/>
    <w:rsid w:val="002D02BF"/>
    <w:rsid w:val="002D0367"/>
    <w:rsid w:val="002D0B41"/>
    <w:rsid w:val="002D185B"/>
    <w:rsid w:val="002D1AF5"/>
    <w:rsid w:val="002D22FC"/>
    <w:rsid w:val="002D298E"/>
    <w:rsid w:val="002D3C31"/>
    <w:rsid w:val="002D3FB1"/>
    <w:rsid w:val="002D414F"/>
    <w:rsid w:val="002D54B1"/>
    <w:rsid w:val="002D5547"/>
    <w:rsid w:val="002D570B"/>
    <w:rsid w:val="002D62EB"/>
    <w:rsid w:val="002D69F4"/>
    <w:rsid w:val="002D701D"/>
    <w:rsid w:val="002D70FC"/>
    <w:rsid w:val="002D747B"/>
    <w:rsid w:val="002D74C9"/>
    <w:rsid w:val="002D7A26"/>
    <w:rsid w:val="002D7A93"/>
    <w:rsid w:val="002D7B73"/>
    <w:rsid w:val="002D7D00"/>
    <w:rsid w:val="002E0142"/>
    <w:rsid w:val="002E04CB"/>
    <w:rsid w:val="002E06E1"/>
    <w:rsid w:val="002E0A01"/>
    <w:rsid w:val="002E0A50"/>
    <w:rsid w:val="002E15E8"/>
    <w:rsid w:val="002E1A67"/>
    <w:rsid w:val="002E1D97"/>
    <w:rsid w:val="002E251D"/>
    <w:rsid w:val="002E262A"/>
    <w:rsid w:val="002E3029"/>
    <w:rsid w:val="002E3CC4"/>
    <w:rsid w:val="002E401F"/>
    <w:rsid w:val="002E4179"/>
    <w:rsid w:val="002E4E0C"/>
    <w:rsid w:val="002E55FF"/>
    <w:rsid w:val="002E602B"/>
    <w:rsid w:val="002E6340"/>
    <w:rsid w:val="002E67F4"/>
    <w:rsid w:val="002E69D3"/>
    <w:rsid w:val="002E6EC3"/>
    <w:rsid w:val="002E7C7A"/>
    <w:rsid w:val="002F04C6"/>
    <w:rsid w:val="002F09E7"/>
    <w:rsid w:val="002F11F0"/>
    <w:rsid w:val="002F131B"/>
    <w:rsid w:val="002F2620"/>
    <w:rsid w:val="002F2A5F"/>
    <w:rsid w:val="002F2BFD"/>
    <w:rsid w:val="002F2C53"/>
    <w:rsid w:val="002F2F51"/>
    <w:rsid w:val="002F318D"/>
    <w:rsid w:val="002F328C"/>
    <w:rsid w:val="002F42C2"/>
    <w:rsid w:val="002F4B25"/>
    <w:rsid w:val="002F4C4E"/>
    <w:rsid w:val="002F5A99"/>
    <w:rsid w:val="002F5C53"/>
    <w:rsid w:val="002F6378"/>
    <w:rsid w:val="002F6A87"/>
    <w:rsid w:val="002F6BAD"/>
    <w:rsid w:val="002F6C93"/>
    <w:rsid w:val="002F7685"/>
    <w:rsid w:val="002F7E37"/>
    <w:rsid w:val="0030000E"/>
    <w:rsid w:val="003000B8"/>
    <w:rsid w:val="00300DB2"/>
    <w:rsid w:val="00301A91"/>
    <w:rsid w:val="00302027"/>
    <w:rsid w:val="00302368"/>
    <w:rsid w:val="003023C5"/>
    <w:rsid w:val="003029EB"/>
    <w:rsid w:val="00302D23"/>
    <w:rsid w:val="00303863"/>
    <w:rsid w:val="003039B6"/>
    <w:rsid w:val="00303BC6"/>
    <w:rsid w:val="00303CDE"/>
    <w:rsid w:val="003044EC"/>
    <w:rsid w:val="00304D6C"/>
    <w:rsid w:val="0030508F"/>
    <w:rsid w:val="003058EE"/>
    <w:rsid w:val="00306706"/>
    <w:rsid w:val="003072D6"/>
    <w:rsid w:val="00307459"/>
    <w:rsid w:val="00310187"/>
    <w:rsid w:val="0031032C"/>
    <w:rsid w:val="003107E7"/>
    <w:rsid w:val="00310882"/>
    <w:rsid w:val="00310AA7"/>
    <w:rsid w:val="00310BAC"/>
    <w:rsid w:val="00310F54"/>
    <w:rsid w:val="003136DA"/>
    <w:rsid w:val="003138A2"/>
    <w:rsid w:val="00314C18"/>
    <w:rsid w:val="00314E36"/>
    <w:rsid w:val="00316B1B"/>
    <w:rsid w:val="00316F1B"/>
    <w:rsid w:val="003179AA"/>
    <w:rsid w:val="0032012F"/>
    <w:rsid w:val="00320705"/>
    <w:rsid w:val="00320CB9"/>
    <w:rsid w:val="00320DA8"/>
    <w:rsid w:val="00320DC3"/>
    <w:rsid w:val="00321597"/>
    <w:rsid w:val="00322153"/>
    <w:rsid w:val="00322299"/>
    <w:rsid w:val="00322A3A"/>
    <w:rsid w:val="00322B86"/>
    <w:rsid w:val="00322BD0"/>
    <w:rsid w:val="00322DA8"/>
    <w:rsid w:val="00323AFB"/>
    <w:rsid w:val="00323B64"/>
    <w:rsid w:val="003240FE"/>
    <w:rsid w:val="0032440A"/>
    <w:rsid w:val="00325125"/>
    <w:rsid w:val="00325858"/>
    <w:rsid w:val="00325B42"/>
    <w:rsid w:val="00326394"/>
    <w:rsid w:val="00326697"/>
    <w:rsid w:val="00326CAF"/>
    <w:rsid w:val="00326F88"/>
    <w:rsid w:val="00327522"/>
    <w:rsid w:val="003276EA"/>
    <w:rsid w:val="003279A3"/>
    <w:rsid w:val="00327DB0"/>
    <w:rsid w:val="00330215"/>
    <w:rsid w:val="00330F6A"/>
    <w:rsid w:val="00331379"/>
    <w:rsid w:val="003313E3"/>
    <w:rsid w:val="00331816"/>
    <w:rsid w:val="0033198C"/>
    <w:rsid w:val="00331E56"/>
    <w:rsid w:val="00331FC5"/>
    <w:rsid w:val="003324D4"/>
    <w:rsid w:val="00332ACE"/>
    <w:rsid w:val="00333424"/>
    <w:rsid w:val="00333CB7"/>
    <w:rsid w:val="00333CF4"/>
    <w:rsid w:val="00333DE4"/>
    <w:rsid w:val="00334180"/>
    <w:rsid w:val="00334D46"/>
    <w:rsid w:val="00336644"/>
    <w:rsid w:val="00336A1B"/>
    <w:rsid w:val="00336A4F"/>
    <w:rsid w:val="00337245"/>
    <w:rsid w:val="00337875"/>
    <w:rsid w:val="00337BEB"/>
    <w:rsid w:val="0034038E"/>
    <w:rsid w:val="003403D5"/>
    <w:rsid w:val="0034056E"/>
    <w:rsid w:val="00341C5A"/>
    <w:rsid w:val="00341C73"/>
    <w:rsid w:val="00341EED"/>
    <w:rsid w:val="00341FAC"/>
    <w:rsid w:val="0034324A"/>
    <w:rsid w:val="003438EB"/>
    <w:rsid w:val="00343CB7"/>
    <w:rsid w:val="003442CF"/>
    <w:rsid w:val="00344448"/>
    <w:rsid w:val="0034445D"/>
    <w:rsid w:val="00344F29"/>
    <w:rsid w:val="00345015"/>
    <w:rsid w:val="0034541B"/>
    <w:rsid w:val="00345503"/>
    <w:rsid w:val="003457D2"/>
    <w:rsid w:val="00345AB6"/>
    <w:rsid w:val="00345C72"/>
    <w:rsid w:val="00346D9E"/>
    <w:rsid w:val="00347288"/>
    <w:rsid w:val="003473E2"/>
    <w:rsid w:val="00347527"/>
    <w:rsid w:val="0034793E"/>
    <w:rsid w:val="00350309"/>
    <w:rsid w:val="00350BF1"/>
    <w:rsid w:val="00350DFD"/>
    <w:rsid w:val="00350E0B"/>
    <w:rsid w:val="00351953"/>
    <w:rsid w:val="00351D4D"/>
    <w:rsid w:val="00351EAF"/>
    <w:rsid w:val="0035221F"/>
    <w:rsid w:val="003526AB"/>
    <w:rsid w:val="0035294A"/>
    <w:rsid w:val="00352F21"/>
    <w:rsid w:val="00353850"/>
    <w:rsid w:val="00353868"/>
    <w:rsid w:val="00353C44"/>
    <w:rsid w:val="003541E1"/>
    <w:rsid w:val="00354E4E"/>
    <w:rsid w:val="00355844"/>
    <w:rsid w:val="00355AD1"/>
    <w:rsid w:val="00355B3E"/>
    <w:rsid w:val="00355E29"/>
    <w:rsid w:val="00355F40"/>
    <w:rsid w:val="003560B1"/>
    <w:rsid w:val="003562B4"/>
    <w:rsid w:val="0035654C"/>
    <w:rsid w:val="00356B28"/>
    <w:rsid w:val="00356F20"/>
    <w:rsid w:val="00357314"/>
    <w:rsid w:val="00357C13"/>
    <w:rsid w:val="00360211"/>
    <w:rsid w:val="003609D9"/>
    <w:rsid w:val="00360BAB"/>
    <w:rsid w:val="00360F1F"/>
    <w:rsid w:val="00361F93"/>
    <w:rsid w:val="00362279"/>
    <w:rsid w:val="00362503"/>
    <w:rsid w:val="00362720"/>
    <w:rsid w:val="003633C6"/>
    <w:rsid w:val="003635E4"/>
    <w:rsid w:val="0036397F"/>
    <w:rsid w:val="00363F02"/>
    <w:rsid w:val="00364369"/>
    <w:rsid w:val="00364884"/>
    <w:rsid w:val="00364995"/>
    <w:rsid w:val="00364A40"/>
    <w:rsid w:val="0036532D"/>
    <w:rsid w:val="00365381"/>
    <w:rsid w:val="003658CB"/>
    <w:rsid w:val="003659BB"/>
    <w:rsid w:val="00365A9A"/>
    <w:rsid w:val="003660C3"/>
    <w:rsid w:val="003662BE"/>
    <w:rsid w:val="00366A0D"/>
    <w:rsid w:val="00367256"/>
    <w:rsid w:val="0037000E"/>
    <w:rsid w:val="003704B8"/>
    <w:rsid w:val="00370567"/>
    <w:rsid w:val="00370814"/>
    <w:rsid w:val="00371663"/>
    <w:rsid w:val="00371A71"/>
    <w:rsid w:val="00373392"/>
    <w:rsid w:val="00373A84"/>
    <w:rsid w:val="00374600"/>
    <w:rsid w:val="00374EBF"/>
    <w:rsid w:val="003756A6"/>
    <w:rsid w:val="0037654B"/>
    <w:rsid w:val="00377039"/>
    <w:rsid w:val="00377973"/>
    <w:rsid w:val="00377FF8"/>
    <w:rsid w:val="003809C4"/>
    <w:rsid w:val="00381429"/>
    <w:rsid w:val="003826F0"/>
    <w:rsid w:val="00382707"/>
    <w:rsid w:val="0038371E"/>
    <w:rsid w:val="0038396B"/>
    <w:rsid w:val="00383A32"/>
    <w:rsid w:val="00383E9E"/>
    <w:rsid w:val="003841EC"/>
    <w:rsid w:val="0038458E"/>
    <w:rsid w:val="003846F4"/>
    <w:rsid w:val="003854DE"/>
    <w:rsid w:val="003858F3"/>
    <w:rsid w:val="00385E6B"/>
    <w:rsid w:val="00385EFD"/>
    <w:rsid w:val="0038607D"/>
    <w:rsid w:val="00386303"/>
    <w:rsid w:val="00386759"/>
    <w:rsid w:val="00386C39"/>
    <w:rsid w:val="00387157"/>
    <w:rsid w:val="00387411"/>
    <w:rsid w:val="00387D43"/>
    <w:rsid w:val="00390052"/>
    <w:rsid w:val="00390634"/>
    <w:rsid w:val="00390E65"/>
    <w:rsid w:val="003912F1"/>
    <w:rsid w:val="003914F2"/>
    <w:rsid w:val="0039195A"/>
    <w:rsid w:val="00391A53"/>
    <w:rsid w:val="00391D3E"/>
    <w:rsid w:val="00391EAB"/>
    <w:rsid w:val="0039315B"/>
    <w:rsid w:val="0039377F"/>
    <w:rsid w:val="00393C30"/>
    <w:rsid w:val="003945E4"/>
    <w:rsid w:val="00394B10"/>
    <w:rsid w:val="00394E7C"/>
    <w:rsid w:val="00394FD9"/>
    <w:rsid w:val="00395298"/>
    <w:rsid w:val="00395896"/>
    <w:rsid w:val="003958CA"/>
    <w:rsid w:val="00395FE2"/>
    <w:rsid w:val="003960E3"/>
    <w:rsid w:val="0039692B"/>
    <w:rsid w:val="003A0090"/>
    <w:rsid w:val="003A149E"/>
    <w:rsid w:val="003A1BEA"/>
    <w:rsid w:val="003A2462"/>
    <w:rsid w:val="003A2975"/>
    <w:rsid w:val="003A29B6"/>
    <w:rsid w:val="003A3139"/>
    <w:rsid w:val="003A336E"/>
    <w:rsid w:val="003A364F"/>
    <w:rsid w:val="003A411B"/>
    <w:rsid w:val="003A4563"/>
    <w:rsid w:val="003A45C7"/>
    <w:rsid w:val="003A4832"/>
    <w:rsid w:val="003A4C1E"/>
    <w:rsid w:val="003A4F4E"/>
    <w:rsid w:val="003A52B9"/>
    <w:rsid w:val="003A53A7"/>
    <w:rsid w:val="003A561B"/>
    <w:rsid w:val="003A5C67"/>
    <w:rsid w:val="003A6080"/>
    <w:rsid w:val="003A6531"/>
    <w:rsid w:val="003A65EA"/>
    <w:rsid w:val="003A78E9"/>
    <w:rsid w:val="003A7CCD"/>
    <w:rsid w:val="003B0348"/>
    <w:rsid w:val="003B082A"/>
    <w:rsid w:val="003B0D04"/>
    <w:rsid w:val="003B1349"/>
    <w:rsid w:val="003B1C97"/>
    <w:rsid w:val="003B1CEF"/>
    <w:rsid w:val="003B1E24"/>
    <w:rsid w:val="003B2E90"/>
    <w:rsid w:val="003B3587"/>
    <w:rsid w:val="003B3CE2"/>
    <w:rsid w:val="003B3F48"/>
    <w:rsid w:val="003B4E98"/>
    <w:rsid w:val="003B53DA"/>
    <w:rsid w:val="003B567D"/>
    <w:rsid w:val="003B6012"/>
    <w:rsid w:val="003B65D7"/>
    <w:rsid w:val="003B6611"/>
    <w:rsid w:val="003B67CC"/>
    <w:rsid w:val="003B776B"/>
    <w:rsid w:val="003B77D0"/>
    <w:rsid w:val="003B789A"/>
    <w:rsid w:val="003B7D2E"/>
    <w:rsid w:val="003C0C29"/>
    <w:rsid w:val="003C0DE3"/>
    <w:rsid w:val="003C11A8"/>
    <w:rsid w:val="003C1535"/>
    <w:rsid w:val="003C15FB"/>
    <w:rsid w:val="003C1761"/>
    <w:rsid w:val="003C197F"/>
    <w:rsid w:val="003C1A96"/>
    <w:rsid w:val="003C1E14"/>
    <w:rsid w:val="003C20C2"/>
    <w:rsid w:val="003C20D8"/>
    <w:rsid w:val="003C20EA"/>
    <w:rsid w:val="003C2AD0"/>
    <w:rsid w:val="003C2EFE"/>
    <w:rsid w:val="003C3E44"/>
    <w:rsid w:val="003C3F1A"/>
    <w:rsid w:val="003C4286"/>
    <w:rsid w:val="003C4861"/>
    <w:rsid w:val="003C5272"/>
    <w:rsid w:val="003C5DE6"/>
    <w:rsid w:val="003C5DED"/>
    <w:rsid w:val="003C6391"/>
    <w:rsid w:val="003C76D5"/>
    <w:rsid w:val="003C7B0D"/>
    <w:rsid w:val="003C7F69"/>
    <w:rsid w:val="003D0349"/>
    <w:rsid w:val="003D036F"/>
    <w:rsid w:val="003D138D"/>
    <w:rsid w:val="003D2398"/>
    <w:rsid w:val="003D26D3"/>
    <w:rsid w:val="003D2EE8"/>
    <w:rsid w:val="003D3130"/>
    <w:rsid w:val="003D3A4D"/>
    <w:rsid w:val="003D3D6E"/>
    <w:rsid w:val="003D3E51"/>
    <w:rsid w:val="003D43B1"/>
    <w:rsid w:val="003D44BC"/>
    <w:rsid w:val="003D4A48"/>
    <w:rsid w:val="003D4AE2"/>
    <w:rsid w:val="003D4CBD"/>
    <w:rsid w:val="003D515E"/>
    <w:rsid w:val="003D5BE5"/>
    <w:rsid w:val="003D5DE8"/>
    <w:rsid w:val="003D60A9"/>
    <w:rsid w:val="003D6459"/>
    <w:rsid w:val="003D6B8C"/>
    <w:rsid w:val="003D6BC3"/>
    <w:rsid w:val="003D6FEB"/>
    <w:rsid w:val="003D700A"/>
    <w:rsid w:val="003D7172"/>
    <w:rsid w:val="003D743C"/>
    <w:rsid w:val="003D76CA"/>
    <w:rsid w:val="003D7D08"/>
    <w:rsid w:val="003E0A02"/>
    <w:rsid w:val="003E0D74"/>
    <w:rsid w:val="003E1C3D"/>
    <w:rsid w:val="003E21C2"/>
    <w:rsid w:val="003E22B2"/>
    <w:rsid w:val="003E239B"/>
    <w:rsid w:val="003E2528"/>
    <w:rsid w:val="003E253F"/>
    <w:rsid w:val="003E3312"/>
    <w:rsid w:val="003E34C4"/>
    <w:rsid w:val="003E3B06"/>
    <w:rsid w:val="003E4143"/>
    <w:rsid w:val="003E437B"/>
    <w:rsid w:val="003E4531"/>
    <w:rsid w:val="003E465F"/>
    <w:rsid w:val="003E4984"/>
    <w:rsid w:val="003E4E61"/>
    <w:rsid w:val="003E4E8E"/>
    <w:rsid w:val="003E57AA"/>
    <w:rsid w:val="003E5C31"/>
    <w:rsid w:val="003E643D"/>
    <w:rsid w:val="003E7345"/>
    <w:rsid w:val="003E739D"/>
    <w:rsid w:val="003E748F"/>
    <w:rsid w:val="003F02D8"/>
    <w:rsid w:val="003F0B5E"/>
    <w:rsid w:val="003F11F8"/>
    <w:rsid w:val="003F14AC"/>
    <w:rsid w:val="003F1B15"/>
    <w:rsid w:val="003F20FB"/>
    <w:rsid w:val="003F37D1"/>
    <w:rsid w:val="003F3B51"/>
    <w:rsid w:val="003F3C74"/>
    <w:rsid w:val="003F3D6D"/>
    <w:rsid w:val="003F4A50"/>
    <w:rsid w:val="003F618A"/>
    <w:rsid w:val="003F6CF1"/>
    <w:rsid w:val="004003A8"/>
    <w:rsid w:val="00400D58"/>
    <w:rsid w:val="004010E0"/>
    <w:rsid w:val="0040144C"/>
    <w:rsid w:val="00401717"/>
    <w:rsid w:val="00401C0B"/>
    <w:rsid w:val="00402646"/>
    <w:rsid w:val="00403314"/>
    <w:rsid w:val="0040342D"/>
    <w:rsid w:val="00403AE9"/>
    <w:rsid w:val="00403F0A"/>
    <w:rsid w:val="00404BF7"/>
    <w:rsid w:val="004052EE"/>
    <w:rsid w:val="0040603E"/>
    <w:rsid w:val="004065D7"/>
    <w:rsid w:val="00406629"/>
    <w:rsid w:val="004072C1"/>
    <w:rsid w:val="00407339"/>
    <w:rsid w:val="004075C1"/>
    <w:rsid w:val="00410526"/>
    <w:rsid w:val="004111E0"/>
    <w:rsid w:val="00411564"/>
    <w:rsid w:val="00411811"/>
    <w:rsid w:val="00412898"/>
    <w:rsid w:val="00412C72"/>
    <w:rsid w:val="00412D90"/>
    <w:rsid w:val="00413516"/>
    <w:rsid w:val="00413CF0"/>
    <w:rsid w:val="00414155"/>
    <w:rsid w:val="00414763"/>
    <w:rsid w:val="00414839"/>
    <w:rsid w:val="00415073"/>
    <w:rsid w:val="004159B3"/>
    <w:rsid w:val="00415F41"/>
    <w:rsid w:val="00415F48"/>
    <w:rsid w:val="004160CE"/>
    <w:rsid w:val="004164F5"/>
    <w:rsid w:val="00416ABC"/>
    <w:rsid w:val="00416F0B"/>
    <w:rsid w:val="00417118"/>
    <w:rsid w:val="004172F1"/>
    <w:rsid w:val="004178D4"/>
    <w:rsid w:val="00417B9B"/>
    <w:rsid w:val="004203F2"/>
    <w:rsid w:val="004204C4"/>
    <w:rsid w:val="00421AB4"/>
    <w:rsid w:val="00421B57"/>
    <w:rsid w:val="00422507"/>
    <w:rsid w:val="00422D95"/>
    <w:rsid w:val="0042394E"/>
    <w:rsid w:val="00425116"/>
    <w:rsid w:val="00425806"/>
    <w:rsid w:val="004260CA"/>
    <w:rsid w:val="0042612B"/>
    <w:rsid w:val="004264C9"/>
    <w:rsid w:val="00426B04"/>
    <w:rsid w:val="00426BEE"/>
    <w:rsid w:val="0042765F"/>
    <w:rsid w:val="004276EE"/>
    <w:rsid w:val="00427A08"/>
    <w:rsid w:val="00427D4F"/>
    <w:rsid w:val="004301D9"/>
    <w:rsid w:val="004302E1"/>
    <w:rsid w:val="004312B9"/>
    <w:rsid w:val="004312C6"/>
    <w:rsid w:val="00431602"/>
    <w:rsid w:val="00431915"/>
    <w:rsid w:val="00431A43"/>
    <w:rsid w:val="00431D5F"/>
    <w:rsid w:val="00431D7A"/>
    <w:rsid w:val="00432177"/>
    <w:rsid w:val="00432402"/>
    <w:rsid w:val="004332F1"/>
    <w:rsid w:val="00433B43"/>
    <w:rsid w:val="00434292"/>
    <w:rsid w:val="004344A1"/>
    <w:rsid w:val="004349EC"/>
    <w:rsid w:val="004351B6"/>
    <w:rsid w:val="00435511"/>
    <w:rsid w:val="004360F9"/>
    <w:rsid w:val="00436765"/>
    <w:rsid w:val="00436D59"/>
    <w:rsid w:val="004372E7"/>
    <w:rsid w:val="00437447"/>
    <w:rsid w:val="00437BCD"/>
    <w:rsid w:val="00440A2C"/>
    <w:rsid w:val="00441BC7"/>
    <w:rsid w:val="004422C5"/>
    <w:rsid w:val="00442AA8"/>
    <w:rsid w:val="00442AF9"/>
    <w:rsid w:val="00442D79"/>
    <w:rsid w:val="004433B5"/>
    <w:rsid w:val="00443C84"/>
    <w:rsid w:val="00444A52"/>
    <w:rsid w:val="00444C6B"/>
    <w:rsid w:val="004462E1"/>
    <w:rsid w:val="004465A8"/>
    <w:rsid w:val="00447A09"/>
    <w:rsid w:val="00447BF4"/>
    <w:rsid w:val="00450260"/>
    <w:rsid w:val="004515E4"/>
    <w:rsid w:val="00451893"/>
    <w:rsid w:val="00451B1C"/>
    <w:rsid w:val="0045253B"/>
    <w:rsid w:val="00452B6E"/>
    <w:rsid w:val="004531CB"/>
    <w:rsid w:val="00453273"/>
    <w:rsid w:val="004536D0"/>
    <w:rsid w:val="004541F4"/>
    <w:rsid w:val="00454D5A"/>
    <w:rsid w:val="004555BE"/>
    <w:rsid w:val="00455644"/>
    <w:rsid w:val="00456146"/>
    <w:rsid w:val="0045699E"/>
    <w:rsid w:val="00456AAE"/>
    <w:rsid w:val="00456C42"/>
    <w:rsid w:val="0045765D"/>
    <w:rsid w:val="004576CB"/>
    <w:rsid w:val="00457A12"/>
    <w:rsid w:val="00457F71"/>
    <w:rsid w:val="00460D97"/>
    <w:rsid w:val="00460FE1"/>
    <w:rsid w:val="004616B9"/>
    <w:rsid w:val="00461C4E"/>
    <w:rsid w:val="00462295"/>
    <w:rsid w:val="004626C2"/>
    <w:rsid w:val="00462808"/>
    <w:rsid w:val="004633A3"/>
    <w:rsid w:val="0046362C"/>
    <w:rsid w:val="00463BE2"/>
    <w:rsid w:val="00463D28"/>
    <w:rsid w:val="0046450F"/>
    <w:rsid w:val="00464F0E"/>
    <w:rsid w:val="00465509"/>
    <w:rsid w:val="00465A0C"/>
    <w:rsid w:val="00466B27"/>
    <w:rsid w:val="004703CD"/>
    <w:rsid w:val="0047088E"/>
    <w:rsid w:val="0047180A"/>
    <w:rsid w:val="0047290F"/>
    <w:rsid w:val="00472FFD"/>
    <w:rsid w:val="00473102"/>
    <w:rsid w:val="0047358E"/>
    <w:rsid w:val="00473636"/>
    <w:rsid w:val="0047452E"/>
    <w:rsid w:val="00474732"/>
    <w:rsid w:val="00474E13"/>
    <w:rsid w:val="00475285"/>
    <w:rsid w:val="00475843"/>
    <w:rsid w:val="00475904"/>
    <w:rsid w:val="00475A5E"/>
    <w:rsid w:val="0047616A"/>
    <w:rsid w:val="00476199"/>
    <w:rsid w:val="00476354"/>
    <w:rsid w:val="004763A3"/>
    <w:rsid w:val="0047642E"/>
    <w:rsid w:val="00477636"/>
    <w:rsid w:val="004779DF"/>
    <w:rsid w:val="004805B0"/>
    <w:rsid w:val="004809AF"/>
    <w:rsid w:val="00481E97"/>
    <w:rsid w:val="00481FBA"/>
    <w:rsid w:val="0048229E"/>
    <w:rsid w:val="00482479"/>
    <w:rsid w:val="0048282B"/>
    <w:rsid w:val="00482BAD"/>
    <w:rsid w:val="00482DE3"/>
    <w:rsid w:val="0048301D"/>
    <w:rsid w:val="0048394A"/>
    <w:rsid w:val="0048460D"/>
    <w:rsid w:val="004846DF"/>
    <w:rsid w:val="004846EA"/>
    <w:rsid w:val="00484DB4"/>
    <w:rsid w:val="00484EFC"/>
    <w:rsid w:val="00485160"/>
    <w:rsid w:val="00485359"/>
    <w:rsid w:val="0048541C"/>
    <w:rsid w:val="004856C8"/>
    <w:rsid w:val="00485BFC"/>
    <w:rsid w:val="00485C14"/>
    <w:rsid w:val="00485D97"/>
    <w:rsid w:val="0048692A"/>
    <w:rsid w:val="0048719A"/>
    <w:rsid w:val="0049025B"/>
    <w:rsid w:val="004904FD"/>
    <w:rsid w:val="00490D19"/>
    <w:rsid w:val="00490E3C"/>
    <w:rsid w:val="004915B2"/>
    <w:rsid w:val="0049219A"/>
    <w:rsid w:val="0049239C"/>
    <w:rsid w:val="00492660"/>
    <w:rsid w:val="00492818"/>
    <w:rsid w:val="00492897"/>
    <w:rsid w:val="004928BA"/>
    <w:rsid w:val="0049316D"/>
    <w:rsid w:val="00493C08"/>
    <w:rsid w:val="00493D6E"/>
    <w:rsid w:val="004940C2"/>
    <w:rsid w:val="0049410E"/>
    <w:rsid w:val="004945B8"/>
    <w:rsid w:val="004946EC"/>
    <w:rsid w:val="00494A3C"/>
    <w:rsid w:val="00494BB9"/>
    <w:rsid w:val="00495DDA"/>
    <w:rsid w:val="00496755"/>
    <w:rsid w:val="00496D54"/>
    <w:rsid w:val="0049700E"/>
    <w:rsid w:val="004977E9"/>
    <w:rsid w:val="004A05DC"/>
    <w:rsid w:val="004A099C"/>
    <w:rsid w:val="004A11C8"/>
    <w:rsid w:val="004A18D4"/>
    <w:rsid w:val="004A200B"/>
    <w:rsid w:val="004A2F8F"/>
    <w:rsid w:val="004A303A"/>
    <w:rsid w:val="004A335C"/>
    <w:rsid w:val="004A3512"/>
    <w:rsid w:val="004A3B28"/>
    <w:rsid w:val="004A3EF5"/>
    <w:rsid w:val="004A42B9"/>
    <w:rsid w:val="004A4369"/>
    <w:rsid w:val="004A4A30"/>
    <w:rsid w:val="004A5140"/>
    <w:rsid w:val="004A5662"/>
    <w:rsid w:val="004A5B75"/>
    <w:rsid w:val="004A66DD"/>
    <w:rsid w:val="004A6736"/>
    <w:rsid w:val="004A7029"/>
    <w:rsid w:val="004A7B84"/>
    <w:rsid w:val="004B1864"/>
    <w:rsid w:val="004B1E23"/>
    <w:rsid w:val="004B2221"/>
    <w:rsid w:val="004B2A79"/>
    <w:rsid w:val="004B3058"/>
    <w:rsid w:val="004B31AC"/>
    <w:rsid w:val="004B371F"/>
    <w:rsid w:val="004B378B"/>
    <w:rsid w:val="004B3B86"/>
    <w:rsid w:val="004B46F2"/>
    <w:rsid w:val="004B4DDF"/>
    <w:rsid w:val="004B50DB"/>
    <w:rsid w:val="004B50E5"/>
    <w:rsid w:val="004B5275"/>
    <w:rsid w:val="004B5989"/>
    <w:rsid w:val="004B5B7F"/>
    <w:rsid w:val="004B5C87"/>
    <w:rsid w:val="004B5DA6"/>
    <w:rsid w:val="004B66FA"/>
    <w:rsid w:val="004B7048"/>
    <w:rsid w:val="004B7D99"/>
    <w:rsid w:val="004B7FC3"/>
    <w:rsid w:val="004C0C3D"/>
    <w:rsid w:val="004C0CB6"/>
    <w:rsid w:val="004C1752"/>
    <w:rsid w:val="004C1CA8"/>
    <w:rsid w:val="004C203D"/>
    <w:rsid w:val="004C2493"/>
    <w:rsid w:val="004C31A2"/>
    <w:rsid w:val="004C3509"/>
    <w:rsid w:val="004C3EC5"/>
    <w:rsid w:val="004C437B"/>
    <w:rsid w:val="004C5180"/>
    <w:rsid w:val="004C5536"/>
    <w:rsid w:val="004C57DF"/>
    <w:rsid w:val="004C5A91"/>
    <w:rsid w:val="004C5C0B"/>
    <w:rsid w:val="004C5CD2"/>
    <w:rsid w:val="004C60B4"/>
    <w:rsid w:val="004C6256"/>
    <w:rsid w:val="004C73F6"/>
    <w:rsid w:val="004C7D94"/>
    <w:rsid w:val="004C7F69"/>
    <w:rsid w:val="004D0CB8"/>
    <w:rsid w:val="004D0DBB"/>
    <w:rsid w:val="004D1986"/>
    <w:rsid w:val="004D1CF6"/>
    <w:rsid w:val="004D239E"/>
    <w:rsid w:val="004D254A"/>
    <w:rsid w:val="004D273D"/>
    <w:rsid w:val="004D295E"/>
    <w:rsid w:val="004D3BED"/>
    <w:rsid w:val="004D3C07"/>
    <w:rsid w:val="004D3E98"/>
    <w:rsid w:val="004D4005"/>
    <w:rsid w:val="004D4253"/>
    <w:rsid w:val="004D498C"/>
    <w:rsid w:val="004D65F7"/>
    <w:rsid w:val="004E0269"/>
    <w:rsid w:val="004E0352"/>
    <w:rsid w:val="004E1135"/>
    <w:rsid w:val="004E1842"/>
    <w:rsid w:val="004E1881"/>
    <w:rsid w:val="004E270B"/>
    <w:rsid w:val="004E28D9"/>
    <w:rsid w:val="004E29CC"/>
    <w:rsid w:val="004E2B0C"/>
    <w:rsid w:val="004E2C9E"/>
    <w:rsid w:val="004E2F76"/>
    <w:rsid w:val="004E2F87"/>
    <w:rsid w:val="004E3510"/>
    <w:rsid w:val="004E3D30"/>
    <w:rsid w:val="004E4CB5"/>
    <w:rsid w:val="004E51A2"/>
    <w:rsid w:val="004E5AF7"/>
    <w:rsid w:val="004E71E8"/>
    <w:rsid w:val="004E77FC"/>
    <w:rsid w:val="004E7AB5"/>
    <w:rsid w:val="004F050D"/>
    <w:rsid w:val="004F0A56"/>
    <w:rsid w:val="004F1268"/>
    <w:rsid w:val="004F1799"/>
    <w:rsid w:val="004F1D93"/>
    <w:rsid w:val="004F1F68"/>
    <w:rsid w:val="004F274C"/>
    <w:rsid w:val="004F2D94"/>
    <w:rsid w:val="004F364A"/>
    <w:rsid w:val="004F390A"/>
    <w:rsid w:val="004F3E14"/>
    <w:rsid w:val="004F4735"/>
    <w:rsid w:val="004F4B61"/>
    <w:rsid w:val="004F5D75"/>
    <w:rsid w:val="004F601C"/>
    <w:rsid w:val="004F64C6"/>
    <w:rsid w:val="004F734F"/>
    <w:rsid w:val="004F73B6"/>
    <w:rsid w:val="004F7407"/>
    <w:rsid w:val="004F7BA5"/>
    <w:rsid w:val="004F7D66"/>
    <w:rsid w:val="005002F2"/>
    <w:rsid w:val="0050067D"/>
    <w:rsid w:val="005008BE"/>
    <w:rsid w:val="00500E09"/>
    <w:rsid w:val="00501419"/>
    <w:rsid w:val="0050179B"/>
    <w:rsid w:val="00501B19"/>
    <w:rsid w:val="0050247E"/>
    <w:rsid w:val="0050252A"/>
    <w:rsid w:val="00502589"/>
    <w:rsid w:val="00502601"/>
    <w:rsid w:val="00502C05"/>
    <w:rsid w:val="00502EEF"/>
    <w:rsid w:val="00503E1A"/>
    <w:rsid w:val="00504D97"/>
    <w:rsid w:val="00504E22"/>
    <w:rsid w:val="005050C9"/>
    <w:rsid w:val="0050514C"/>
    <w:rsid w:val="00505780"/>
    <w:rsid w:val="005057EF"/>
    <w:rsid w:val="005058EE"/>
    <w:rsid w:val="0050709F"/>
    <w:rsid w:val="00507423"/>
    <w:rsid w:val="00507C15"/>
    <w:rsid w:val="00507E03"/>
    <w:rsid w:val="0051030F"/>
    <w:rsid w:val="00510390"/>
    <w:rsid w:val="00510B38"/>
    <w:rsid w:val="00510BB6"/>
    <w:rsid w:val="00511379"/>
    <w:rsid w:val="0051138A"/>
    <w:rsid w:val="0051181B"/>
    <w:rsid w:val="00512059"/>
    <w:rsid w:val="00512236"/>
    <w:rsid w:val="00512CEC"/>
    <w:rsid w:val="00512F91"/>
    <w:rsid w:val="00512FF8"/>
    <w:rsid w:val="00513E16"/>
    <w:rsid w:val="00513E70"/>
    <w:rsid w:val="00514E17"/>
    <w:rsid w:val="005156F0"/>
    <w:rsid w:val="0051591F"/>
    <w:rsid w:val="00515993"/>
    <w:rsid w:val="00515CDA"/>
    <w:rsid w:val="0051678D"/>
    <w:rsid w:val="00516BBD"/>
    <w:rsid w:val="0051707F"/>
    <w:rsid w:val="005178C5"/>
    <w:rsid w:val="00520104"/>
    <w:rsid w:val="00520C8D"/>
    <w:rsid w:val="00521586"/>
    <w:rsid w:val="00521814"/>
    <w:rsid w:val="00521D52"/>
    <w:rsid w:val="0052277D"/>
    <w:rsid w:val="00522DA3"/>
    <w:rsid w:val="00522EC7"/>
    <w:rsid w:val="00522FF9"/>
    <w:rsid w:val="005232F9"/>
    <w:rsid w:val="005237DF"/>
    <w:rsid w:val="00523872"/>
    <w:rsid w:val="00523C34"/>
    <w:rsid w:val="00523D3C"/>
    <w:rsid w:val="00523D64"/>
    <w:rsid w:val="00524171"/>
    <w:rsid w:val="005243DB"/>
    <w:rsid w:val="005244FD"/>
    <w:rsid w:val="00524818"/>
    <w:rsid w:val="005249D6"/>
    <w:rsid w:val="00524CAF"/>
    <w:rsid w:val="00525085"/>
    <w:rsid w:val="0052563F"/>
    <w:rsid w:val="005264F2"/>
    <w:rsid w:val="0052679D"/>
    <w:rsid w:val="00527201"/>
    <w:rsid w:val="0053013D"/>
    <w:rsid w:val="0053069D"/>
    <w:rsid w:val="00530860"/>
    <w:rsid w:val="00530B66"/>
    <w:rsid w:val="00530D1F"/>
    <w:rsid w:val="005338CF"/>
    <w:rsid w:val="00533B2E"/>
    <w:rsid w:val="00533CC9"/>
    <w:rsid w:val="00534019"/>
    <w:rsid w:val="005343CA"/>
    <w:rsid w:val="005346A8"/>
    <w:rsid w:val="00534782"/>
    <w:rsid w:val="00534FC3"/>
    <w:rsid w:val="005354CF"/>
    <w:rsid w:val="00535850"/>
    <w:rsid w:val="00536D19"/>
    <w:rsid w:val="00536D58"/>
    <w:rsid w:val="00537382"/>
    <w:rsid w:val="005400F6"/>
    <w:rsid w:val="0054023F"/>
    <w:rsid w:val="00541119"/>
    <w:rsid w:val="00541502"/>
    <w:rsid w:val="0054152C"/>
    <w:rsid w:val="0054203F"/>
    <w:rsid w:val="00542383"/>
    <w:rsid w:val="00542A9F"/>
    <w:rsid w:val="00543161"/>
    <w:rsid w:val="0054351B"/>
    <w:rsid w:val="00543BC8"/>
    <w:rsid w:val="0054414E"/>
    <w:rsid w:val="005444EC"/>
    <w:rsid w:val="00544B7F"/>
    <w:rsid w:val="00544BA1"/>
    <w:rsid w:val="005453C6"/>
    <w:rsid w:val="00545B1A"/>
    <w:rsid w:val="00545E36"/>
    <w:rsid w:val="00546169"/>
    <w:rsid w:val="00546ADA"/>
    <w:rsid w:val="00546E52"/>
    <w:rsid w:val="0054741F"/>
    <w:rsid w:val="00547783"/>
    <w:rsid w:val="00547BF2"/>
    <w:rsid w:val="00550263"/>
    <w:rsid w:val="005509F1"/>
    <w:rsid w:val="0055186A"/>
    <w:rsid w:val="005520E0"/>
    <w:rsid w:val="0055220C"/>
    <w:rsid w:val="00552EDC"/>
    <w:rsid w:val="0055330E"/>
    <w:rsid w:val="005544F6"/>
    <w:rsid w:val="00555815"/>
    <w:rsid w:val="005558E1"/>
    <w:rsid w:val="00555F9A"/>
    <w:rsid w:val="00556649"/>
    <w:rsid w:val="005570F3"/>
    <w:rsid w:val="00557673"/>
    <w:rsid w:val="00557F94"/>
    <w:rsid w:val="005609DF"/>
    <w:rsid w:val="005618C6"/>
    <w:rsid w:val="00561F4E"/>
    <w:rsid w:val="00562044"/>
    <w:rsid w:val="005620F3"/>
    <w:rsid w:val="005621FF"/>
    <w:rsid w:val="00562207"/>
    <w:rsid w:val="0056227F"/>
    <w:rsid w:val="005629C8"/>
    <w:rsid w:val="00562F82"/>
    <w:rsid w:val="00563036"/>
    <w:rsid w:val="005634D6"/>
    <w:rsid w:val="0056380D"/>
    <w:rsid w:val="00564059"/>
    <w:rsid w:val="005647BA"/>
    <w:rsid w:val="00565149"/>
    <w:rsid w:val="00565B05"/>
    <w:rsid w:val="00565E17"/>
    <w:rsid w:val="005662C0"/>
    <w:rsid w:val="00566975"/>
    <w:rsid w:val="00566B57"/>
    <w:rsid w:val="00567141"/>
    <w:rsid w:val="00567443"/>
    <w:rsid w:val="00567801"/>
    <w:rsid w:val="00567928"/>
    <w:rsid w:val="005705BA"/>
    <w:rsid w:val="00571103"/>
    <w:rsid w:val="005712A0"/>
    <w:rsid w:val="0057154A"/>
    <w:rsid w:val="0057165A"/>
    <w:rsid w:val="0057195B"/>
    <w:rsid w:val="00573352"/>
    <w:rsid w:val="00573703"/>
    <w:rsid w:val="00573956"/>
    <w:rsid w:val="005742A5"/>
    <w:rsid w:val="00574C0B"/>
    <w:rsid w:val="0057519C"/>
    <w:rsid w:val="00575281"/>
    <w:rsid w:val="005752EA"/>
    <w:rsid w:val="005753D0"/>
    <w:rsid w:val="00575535"/>
    <w:rsid w:val="005756BC"/>
    <w:rsid w:val="00575C6B"/>
    <w:rsid w:val="00575C6F"/>
    <w:rsid w:val="00575E40"/>
    <w:rsid w:val="00576482"/>
    <w:rsid w:val="00576D5F"/>
    <w:rsid w:val="00577139"/>
    <w:rsid w:val="00577391"/>
    <w:rsid w:val="00577580"/>
    <w:rsid w:val="0057779B"/>
    <w:rsid w:val="005778FB"/>
    <w:rsid w:val="00577AAD"/>
    <w:rsid w:val="005800CD"/>
    <w:rsid w:val="0058034D"/>
    <w:rsid w:val="005805C0"/>
    <w:rsid w:val="00580831"/>
    <w:rsid w:val="00580CAC"/>
    <w:rsid w:val="00580CB7"/>
    <w:rsid w:val="00580E07"/>
    <w:rsid w:val="00581569"/>
    <w:rsid w:val="005816F9"/>
    <w:rsid w:val="00581ADA"/>
    <w:rsid w:val="005821DF"/>
    <w:rsid w:val="00582475"/>
    <w:rsid w:val="005828CF"/>
    <w:rsid w:val="00582B52"/>
    <w:rsid w:val="005839D2"/>
    <w:rsid w:val="00584504"/>
    <w:rsid w:val="0058483A"/>
    <w:rsid w:val="00584E2D"/>
    <w:rsid w:val="0058544C"/>
    <w:rsid w:val="0058545D"/>
    <w:rsid w:val="005859B2"/>
    <w:rsid w:val="00586678"/>
    <w:rsid w:val="00586903"/>
    <w:rsid w:val="00586AC0"/>
    <w:rsid w:val="00586BE3"/>
    <w:rsid w:val="00587047"/>
    <w:rsid w:val="0058704A"/>
    <w:rsid w:val="005871DB"/>
    <w:rsid w:val="0058764F"/>
    <w:rsid w:val="0058774B"/>
    <w:rsid w:val="00587872"/>
    <w:rsid w:val="00587B14"/>
    <w:rsid w:val="005901ED"/>
    <w:rsid w:val="005908E1"/>
    <w:rsid w:val="00590B38"/>
    <w:rsid w:val="00590E18"/>
    <w:rsid w:val="00590EF7"/>
    <w:rsid w:val="005911E1"/>
    <w:rsid w:val="00591418"/>
    <w:rsid w:val="00591433"/>
    <w:rsid w:val="00591A4B"/>
    <w:rsid w:val="005924A7"/>
    <w:rsid w:val="0059293A"/>
    <w:rsid w:val="005932D6"/>
    <w:rsid w:val="00593A6D"/>
    <w:rsid w:val="00593D06"/>
    <w:rsid w:val="0059422A"/>
    <w:rsid w:val="00594279"/>
    <w:rsid w:val="0059476F"/>
    <w:rsid w:val="00594C6B"/>
    <w:rsid w:val="00594D5B"/>
    <w:rsid w:val="005950FB"/>
    <w:rsid w:val="00595131"/>
    <w:rsid w:val="00595414"/>
    <w:rsid w:val="0059592E"/>
    <w:rsid w:val="00595D56"/>
    <w:rsid w:val="00595EE3"/>
    <w:rsid w:val="00596A14"/>
    <w:rsid w:val="00596C86"/>
    <w:rsid w:val="00597012"/>
    <w:rsid w:val="0059704D"/>
    <w:rsid w:val="005A040F"/>
    <w:rsid w:val="005A0803"/>
    <w:rsid w:val="005A0E4D"/>
    <w:rsid w:val="005A10BB"/>
    <w:rsid w:val="005A168B"/>
    <w:rsid w:val="005A18CC"/>
    <w:rsid w:val="005A1958"/>
    <w:rsid w:val="005A1AB1"/>
    <w:rsid w:val="005A1DC0"/>
    <w:rsid w:val="005A1FE8"/>
    <w:rsid w:val="005A22FC"/>
    <w:rsid w:val="005A3169"/>
    <w:rsid w:val="005A323A"/>
    <w:rsid w:val="005A33E7"/>
    <w:rsid w:val="005A37F6"/>
    <w:rsid w:val="005A3DAA"/>
    <w:rsid w:val="005A3E26"/>
    <w:rsid w:val="005A42EA"/>
    <w:rsid w:val="005A4508"/>
    <w:rsid w:val="005A46E1"/>
    <w:rsid w:val="005A48CE"/>
    <w:rsid w:val="005A50DB"/>
    <w:rsid w:val="005A5398"/>
    <w:rsid w:val="005A53A1"/>
    <w:rsid w:val="005A56EF"/>
    <w:rsid w:val="005A686B"/>
    <w:rsid w:val="005A69EA"/>
    <w:rsid w:val="005A6A5A"/>
    <w:rsid w:val="005A6EE1"/>
    <w:rsid w:val="005A7325"/>
    <w:rsid w:val="005B0521"/>
    <w:rsid w:val="005B0651"/>
    <w:rsid w:val="005B0687"/>
    <w:rsid w:val="005B0E0F"/>
    <w:rsid w:val="005B158B"/>
    <w:rsid w:val="005B164B"/>
    <w:rsid w:val="005B20A3"/>
    <w:rsid w:val="005B25F6"/>
    <w:rsid w:val="005B2F2E"/>
    <w:rsid w:val="005B3764"/>
    <w:rsid w:val="005B3886"/>
    <w:rsid w:val="005B4090"/>
    <w:rsid w:val="005B410F"/>
    <w:rsid w:val="005B493A"/>
    <w:rsid w:val="005B50BD"/>
    <w:rsid w:val="005B6042"/>
    <w:rsid w:val="005B6BF8"/>
    <w:rsid w:val="005B6CE1"/>
    <w:rsid w:val="005B7353"/>
    <w:rsid w:val="005B759E"/>
    <w:rsid w:val="005B7D2A"/>
    <w:rsid w:val="005B7D5C"/>
    <w:rsid w:val="005C01F2"/>
    <w:rsid w:val="005C0E50"/>
    <w:rsid w:val="005C2033"/>
    <w:rsid w:val="005C261A"/>
    <w:rsid w:val="005C283B"/>
    <w:rsid w:val="005C3068"/>
    <w:rsid w:val="005C44F8"/>
    <w:rsid w:val="005C47FD"/>
    <w:rsid w:val="005C4A49"/>
    <w:rsid w:val="005C4BA9"/>
    <w:rsid w:val="005C4E69"/>
    <w:rsid w:val="005C5341"/>
    <w:rsid w:val="005C5BD2"/>
    <w:rsid w:val="005C602E"/>
    <w:rsid w:val="005C625A"/>
    <w:rsid w:val="005C65BB"/>
    <w:rsid w:val="005C6E65"/>
    <w:rsid w:val="005C6F92"/>
    <w:rsid w:val="005C70D2"/>
    <w:rsid w:val="005C7B49"/>
    <w:rsid w:val="005C7DB0"/>
    <w:rsid w:val="005D1125"/>
    <w:rsid w:val="005D17C9"/>
    <w:rsid w:val="005D194D"/>
    <w:rsid w:val="005D199C"/>
    <w:rsid w:val="005D1A4A"/>
    <w:rsid w:val="005D28D4"/>
    <w:rsid w:val="005D2A7B"/>
    <w:rsid w:val="005D2D8C"/>
    <w:rsid w:val="005D3806"/>
    <w:rsid w:val="005D3D59"/>
    <w:rsid w:val="005D3FB5"/>
    <w:rsid w:val="005D4580"/>
    <w:rsid w:val="005D4FC6"/>
    <w:rsid w:val="005D5203"/>
    <w:rsid w:val="005D538B"/>
    <w:rsid w:val="005D55FB"/>
    <w:rsid w:val="005D643D"/>
    <w:rsid w:val="005D6D29"/>
    <w:rsid w:val="005D7430"/>
    <w:rsid w:val="005D7611"/>
    <w:rsid w:val="005D7998"/>
    <w:rsid w:val="005E1595"/>
    <w:rsid w:val="005E1735"/>
    <w:rsid w:val="005E202D"/>
    <w:rsid w:val="005E2316"/>
    <w:rsid w:val="005E2431"/>
    <w:rsid w:val="005E243E"/>
    <w:rsid w:val="005E2536"/>
    <w:rsid w:val="005E2D1A"/>
    <w:rsid w:val="005E3BD2"/>
    <w:rsid w:val="005E3ECF"/>
    <w:rsid w:val="005E5C25"/>
    <w:rsid w:val="005E5EBA"/>
    <w:rsid w:val="005E5F9F"/>
    <w:rsid w:val="005E6C69"/>
    <w:rsid w:val="005E72F3"/>
    <w:rsid w:val="005E7385"/>
    <w:rsid w:val="005F0EC8"/>
    <w:rsid w:val="005F0F2E"/>
    <w:rsid w:val="005F1271"/>
    <w:rsid w:val="005F19E0"/>
    <w:rsid w:val="005F1F3B"/>
    <w:rsid w:val="005F2422"/>
    <w:rsid w:val="005F308E"/>
    <w:rsid w:val="005F36EF"/>
    <w:rsid w:val="005F3FB5"/>
    <w:rsid w:val="005F4A1A"/>
    <w:rsid w:val="005F4EDD"/>
    <w:rsid w:val="005F536A"/>
    <w:rsid w:val="005F55BA"/>
    <w:rsid w:val="005F583C"/>
    <w:rsid w:val="005F598B"/>
    <w:rsid w:val="005F5E9B"/>
    <w:rsid w:val="005F62AA"/>
    <w:rsid w:val="005F6E64"/>
    <w:rsid w:val="005F72B0"/>
    <w:rsid w:val="005F733D"/>
    <w:rsid w:val="00600D5E"/>
    <w:rsid w:val="00601ACD"/>
    <w:rsid w:val="0060224C"/>
    <w:rsid w:val="00602368"/>
    <w:rsid w:val="006027D0"/>
    <w:rsid w:val="00602A66"/>
    <w:rsid w:val="00602A74"/>
    <w:rsid w:val="00602C52"/>
    <w:rsid w:val="00602EBD"/>
    <w:rsid w:val="0060320D"/>
    <w:rsid w:val="00603CB7"/>
    <w:rsid w:val="006049EB"/>
    <w:rsid w:val="00604AD6"/>
    <w:rsid w:val="00604C36"/>
    <w:rsid w:val="00605375"/>
    <w:rsid w:val="006053CA"/>
    <w:rsid w:val="00605991"/>
    <w:rsid w:val="00605B1F"/>
    <w:rsid w:val="00605F58"/>
    <w:rsid w:val="00606253"/>
    <w:rsid w:val="006062F2"/>
    <w:rsid w:val="006065F8"/>
    <w:rsid w:val="00606902"/>
    <w:rsid w:val="00606C02"/>
    <w:rsid w:val="00606EBF"/>
    <w:rsid w:val="00607029"/>
    <w:rsid w:val="006071A3"/>
    <w:rsid w:val="0060760B"/>
    <w:rsid w:val="00607913"/>
    <w:rsid w:val="00610053"/>
    <w:rsid w:val="00610151"/>
    <w:rsid w:val="00610332"/>
    <w:rsid w:val="00610380"/>
    <w:rsid w:val="00611193"/>
    <w:rsid w:val="00611572"/>
    <w:rsid w:val="00612AF1"/>
    <w:rsid w:val="00612D95"/>
    <w:rsid w:val="0061300E"/>
    <w:rsid w:val="006142D5"/>
    <w:rsid w:val="00616126"/>
    <w:rsid w:val="006164CD"/>
    <w:rsid w:val="00616518"/>
    <w:rsid w:val="0061652E"/>
    <w:rsid w:val="00616A01"/>
    <w:rsid w:val="00616FCC"/>
    <w:rsid w:val="00617B38"/>
    <w:rsid w:val="006205A7"/>
    <w:rsid w:val="0062074E"/>
    <w:rsid w:val="00620A31"/>
    <w:rsid w:val="00620C14"/>
    <w:rsid w:val="00620E4F"/>
    <w:rsid w:val="006213C7"/>
    <w:rsid w:val="00621670"/>
    <w:rsid w:val="006216D8"/>
    <w:rsid w:val="0062192B"/>
    <w:rsid w:val="00623163"/>
    <w:rsid w:val="00623E53"/>
    <w:rsid w:val="00623FC9"/>
    <w:rsid w:val="00624176"/>
    <w:rsid w:val="00624459"/>
    <w:rsid w:val="006247A9"/>
    <w:rsid w:val="00624CDA"/>
    <w:rsid w:val="00625340"/>
    <w:rsid w:val="006254D6"/>
    <w:rsid w:val="00625E0F"/>
    <w:rsid w:val="006262A2"/>
    <w:rsid w:val="00626384"/>
    <w:rsid w:val="0062696B"/>
    <w:rsid w:val="006269FA"/>
    <w:rsid w:val="00627372"/>
    <w:rsid w:val="0062796D"/>
    <w:rsid w:val="0062799A"/>
    <w:rsid w:val="006307B5"/>
    <w:rsid w:val="006314E5"/>
    <w:rsid w:val="006324DD"/>
    <w:rsid w:val="00632BFC"/>
    <w:rsid w:val="00632FF1"/>
    <w:rsid w:val="0063376E"/>
    <w:rsid w:val="00633846"/>
    <w:rsid w:val="00634112"/>
    <w:rsid w:val="00635B24"/>
    <w:rsid w:val="00635BED"/>
    <w:rsid w:val="006360A9"/>
    <w:rsid w:val="006368EC"/>
    <w:rsid w:val="00636C3D"/>
    <w:rsid w:val="00637162"/>
    <w:rsid w:val="0063737A"/>
    <w:rsid w:val="00637837"/>
    <w:rsid w:val="00637D48"/>
    <w:rsid w:val="00640B75"/>
    <w:rsid w:val="00641094"/>
    <w:rsid w:val="00641426"/>
    <w:rsid w:val="0064145E"/>
    <w:rsid w:val="0064200B"/>
    <w:rsid w:val="0064200F"/>
    <w:rsid w:val="006427B9"/>
    <w:rsid w:val="00642CBC"/>
    <w:rsid w:val="00642F9A"/>
    <w:rsid w:val="006431F3"/>
    <w:rsid w:val="00643655"/>
    <w:rsid w:val="00643F2A"/>
    <w:rsid w:val="00644754"/>
    <w:rsid w:val="0064493C"/>
    <w:rsid w:val="00644E8A"/>
    <w:rsid w:val="00645113"/>
    <w:rsid w:val="006453FA"/>
    <w:rsid w:val="006457AC"/>
    <w:rsid w:val="006469AB"/>
    <w:rsid w:val="00646AB5"/>
    <w:rsid w:val="0064781C"/>
    <w:rsid w:val="00647CBF"/>
    <w:rsid w:val="006500EA"/>
    <w:rsid w:val="006502F4"/>
    <w:rsid w:val="0065031C"/>
    <w:rsid w:val="006512B3"/>
    <w:rsid w:val="00651302"/>
    <w:rsid w:val="006513AB"/>
    <w:rsid w:val="00651ED8"/>
    <w:rsid w:val="006524C7"/>
    <w:rsid w:val="00652EDB"/>
    <w:rsid w:val="00652F6D"/>
    <w:rsid w:val="00653619"/>
    <w:rsid w:val="00653C4C"/>
    <w:rsid w:val="00653E69"/>
    <w:rsid w:val="00654F32"/>
    <w:rsid w:val="00655C8A"/>
    <w:rsid w:val="0065614B"/>
    <w:rsid w:val="006562EC"/>
    <w:rsid w:val="0065640F"/>
    <w:rsid w:val="00656E25"/>
    <w:rsid w:val="006570D8"/>
    <w:rsid w:val="006577B4"/>
    <w:rsid w:val="006577C7"/>
    <w:rsid w:val="00657AE7"/>
    <w:rsid w:val="00657C1C"/>
    <w:rsid w:val="00657F55"/>
    <w:rsid w:val="006604AB"/>
    <w:rsid w:val="0066068C"/>
    <w:rsid w:val="00660CAD"/>
    <w:rsid w:val="0066127A"/>
    <w:rsid w:val="00661658"/>
    <w:rsid w:val="00661E10"/>
    <w:rsid w:val="00661ED6"/>
    <w:rsid w:val="00662C2E"/>
    <w:rsid w:val="0066347D"/>
    <w:rsid w:val="006638FF"/>
    <w:rsid w:val="00663D16"/>
    <w:rsid w:val="00663DE9"/>
    <w:rsid w:val="00664544"/>
    <w:rsid w:val="00664724"/>
    <w:rsid w:val="00664B76"/>
    <w:rsid w:val="006652CF"/>
    <w:rsid w:val="00665648"/>
    <w:rsid w:val="00665CF5"/>
    <w:rsid w:val="00665DA3"/>
    <w:rsid w:val="00666113"/>
    <w:rsid w:val="00666C54"/>
    <w:rsid w:val="00667501"/>
    <w:rsid w:val="00667709"/>
    <w:rsid w:val="00667A44"/>
    <w:rsid w:val="00670AF4"/>
    <w:rsid w:val="006710FF"/>
    <w:rsid w:val="00671A9F"/>
    <w:rsid w:val="00671D99"/>
    <w:rsid w:val="006720AD"/>
    <w:rsid w:val="0067220D"/>
    <w:rsid w:val="00672B20"/>
    <w:rsid w:val="00672D73"/>
    <w:rsid w:val="006731E7"/>
    <w:rsid w:val="006735DC"/>
    <w:rsid w:val="006737F0"/>
    <w:rsid w:val="00673C13"/>
    <w:rsid w:val="00673C1E"/>
    <w:rsid w:val="00673CF7"/>
    <w:rsid w:val="006740A3"/>
    <w:rsid w:val="00674AEA"/>
    <w:rsid w:val="006752DF"/>
    <w:rsid w:val="00675B9B"/>
    <w:rsid w:val="006763FC"/>
    <w:rsid w:val="006767D1"/>
    <w:rsid w:val="006772BD"/>
    <w:rsid w:val="006773D0"/>
    <w:rsid w:val="00677D93"/>
    <w:rsid w:val="00680790"/>
    <w:rsid w:val="0068096A"/>
    <w:rsid w:val="006809AE"/>
    <w:rsid w:val="006812F9"/>
    <w:rsid w:val="00681C3B"/>
    <w:rsid w:val="0068347D"/>
    <w:rsid w:val="0068375F"/>
    <w:rsid w:val="00683C2B"/>
    <w:rsid w:val="0068420F"/>
    <w:rsid w:val="0068560E"/>
    <w:rsid w:val="00685DE6"/>
    <w:rsid w:val="006860BC"/>
    <w:rsid w:val="0068651A"/>
    <w:rsid w:val="00687491"/>
    <w:rsid w:val="006877A1"/>
    <w:rsid w:val="00687B92"/>
    <w:rsid w:val="00690380"/>
    <w:rsid w:val="006911F5"/>
    <w:rsid w:val="006918AD"/>
    <w:rsid w:val="00691E64"/>
    <w:rsid w:val="00692077"/>
    <w:rsid w:val="006920F8"/>
    <w:rsid w:val="00692992"/>
    <w:rsid w:val="00693689"/>
    <w:rsid w:val="00693BD5"/>
    <w:rsid w:val="00693E42"/>
    <w:rsid w:val="006944F2"/>
    <w:rsid w:val="006948C6"/>
    <w:rsid w:val="00694CA0"/>
    <w:rsid w:val="006950D9"/>
    <w:rsid w:val="00695FA1"/>
    <w:rsid w:val="0069601C"/>
    <w:rsid w:val="00696255"/>
    <w:rsid w:val="00696BDE"/>
    <w:rsid w:val="006978EC"/>
    <w:rsid w:val="00697FDC"/>
    <w:rsid w:val="006A037B"/>
    <w:rsid w:val="006A06D4"/>
    <w:rsid w:val="006A06FA"/>
    <w:rsid w:val="006A0C26"/>
    <w:rsid w:val="006A0EFE"/>
    <w:rsid w:val="006A0FA5"/>
    <w:rsid w:val="006A140B"/>
    <w:rsid w:val="006A145F"/>
    <w:rsid w:val="006A1557"/>
    <w:rsid w:val="006A1801"/>
    <w:rsid w:val="006A1F04"/>
    <w:rsid w:val="006A2405"/>
    <w:rsid w:val="006A28F0"/>
    <w:rsid w:val="006A2E90"/>
    <w:rsid w:val="006A3802"/>
    <w:rsid w:val="006A3D9F"/>
    <w:rsid w:val="006A432E"/>
    <w:rsid w:val="006A48B8"/>
    <w:rsid w:val="006A4A88"/>
    <w:rsid w:val="006A4F29"/>
    <w:rsid w:val="006A4FC4"/>
    <w:rsid w:val="006A50D5"/>
    <w:rsid w:val="006A56C0"/>
    <w:rsid w:val="006A5DD9"/>
    <w:rsid w:val="006A6D76"/>
    <w:rsid w:val="006A6EBA"/>
    <w:rsid w:val="006A70D1"/>
    <w:rsid w:val="006A73CB"/>
    <w:rsid w:val="006B0A24"/>
    <w:rsid w:val="006B1449"/>
    <w:rsid w:val="006B3802"/>
    <w:rsid w:val="006B38A2"/>
    <w:rsid w:val="006B4235"/>
    <w:rsid w:val="006B5101"/>
    <w:rsid w:val="006B533A"/>
    <w:rsid w:val="006B549C"/>
    <w:rsid w:val="006B618F"/>
    <w:rsid w:val="006B62EE"/>
    <w:rsid w:val="006B70F0"/>
    <w:rsid w:val="006C0299"/>
    <w:rsid w:val="006C02A5"/>
    <w:rsid w:val="006C0421"/>
    <w:rsid w:val="006C1275"/>
    <w:rsid w:val="006C1471"/>
    <w:rsid w:val="006C2B41"/>
    <w:rsid w:val="006C2D05"/>
    <w:rsid w:val="006C3921"/>
    <w:rsid w:val="006C3A54"/>
    <w:rsid w:val="006C3B5A"/>
    <w:rsid w:val="006C3CB0"/>
    <w:rsid w:val="006C42B6"/>
    <w:rsid w:val="006C47EB"/>
    <w:rsid w:val="006C4A5D"/>
    <w:rsid w:val="006C4EE2"/>
    <w:rsid w:val="006C5477"/>
    <w:rsid w:val="006C5D04"/>
    <w:rsid w:val="006C6745"/>
    <w:rsid w:val="006C6DF6"/>
    <w:rsid w:val="006C73CD"/>
    <w:rsid w:val="006D00B2"/>
    <w:rsid w:val="006D0A32"/>
    <w:rsid w:val="006D0B58"/>
    <w:rsid w:val="006D0CBE"/>
    <w:rsid w:val="006D0D28"/>
    <w:rsid w:val="006D0FD0"/>
    <w:rsid w:val="006D156C"/>
    <w:rsid w:val="006D1641"/>
    <w:rsid w:val="006D164C"/>
    <w:rsid w:val="006D1703"/>
    <w:rsid w:val="006D1FA0"/>
    <w:rsid w:val="006D239F"/>
    <w:rsid w:val="006D27A7"/>
    <w:rsid w:val="006D2ABE"/>
    <w:rsid w:val="006D30E1"/>
    <w:rsid w:val="006D336C"/>
    <w:rsid w:val="006D4289"/>
    <w:rsid w:val="006D49D5"/>
    <w:rsid w:val="006D4BDC"/>
    <w:rsid w:val="006D4DB0"/>
    <w:rsid w:val="006D56DD"/>
    <w:rsid w:val="006D5B60"/>
    <w:rsid w:val="006D632D"/>
    <w:rsid w:val="006D6536"/>
    <w:rsid w:val="006D6ACB"/>
    <w:rsid w:val="006D6E6B"/>
    <w:rsid w:val="006D7859"/>
    <w:rsid w:val="006D7A02"/>
    <w:rsid w:val="006D7B72"/>
    <w:rsid w:val="006E0368"/>
    <w:rsid w:val="006E0D8C"/>
    <w:rsid w:val="006E1DF8"/>
    <w:rsid w:val="006E1E9F"/>
    <w:rsid w:val="006E21A1"/>
    <w:rsid w:val="006E2210"/>
    <w:rsid w:val="006E2669"/>
    <w:rsid w:val="006E3E14"/>
    <w:rsid w:val="006E416E"/>
    <w:rsid w:val="006E4378"/>
    <w:rsid w:val="006E44D3"/>
    <w:rsid w:val="006E4552"/>
    <w:rsid w:val="006E466C"/>
    <w:rsid w:val="006E4C40"/>
    <w:rsid w:val="006E53E4"/>
    <w:rsid w:val="006E5688"/>
    <w:rsid w:val="006E5C4D"/>
    <w:rsid w:val="006E5FBF"/>
    <w:rsid w:val="006E6208"/>
    <w:rsid w:val="006E7382"/>
    <w:rsid w:val="006E7651"/>
    <w:rsid w:val="006F0078"/>
    <w:rsid w:val="006F057A"/>
    <w:rsid w:val="006F09B5"/>
    <w:rsid w:val="006F0D0E"/>
    <w:rsid w:val="006F0D12"/>
    <w:rsid w:val="006F0E34"/>
    <w:rsid w:val="006F0E9F"/>
    <w:rsid w:val="006F1078"/>
    <w:rsid w:val="006F1D32"/>
    <w:rsid w:val="006F1F96"/>
    <w:rsid w:val="006F2B00"/>
    <w:rsid w:val="006F2E75"/>
    <w:rsid w:val="006F3062"/>
    <w:rsid w:val="006F3318"/>
    <w:rsid w:val="006F4305"/>
    <w:rsid w:val="006F43A8"/>
    <w:rsid w:val="006F45CE"/>
    <w:rsid w:val="006F4F43"/>
    <w:rsid w:val="006F554D"/>
    <w:rsid w:val="006F56F0"/>
    <w:rsid w:val="006F5834"/>
    <w:rsid w:val="006F5890"/>
    <w:rsid w:val="006F6E11"/>
    <w:rsid w:val="006F7AC3"/>
    <w:rsid w:val="006F7B8B"/>
    <w:rsid w:val="00700666"/>
    <w:rsid w:val="00700939"/>
    <w:rsid w:val="00701210"/>
    <w:rsid w:val="007012BE"/>
    <w:rsid w:val="007012E8"/>
    <w:rsid w:val="007014EC"/>
    <w:rsid w:val="0070165E"/>
    <w:rsid w:val="007016C7"/>
    <w:rsid w:val="00701A5D"/>
    <w:rsid w:val="00701A96"/>
    <w:rsid w:val="00701B4A"/>
    <w:rsid w:val="00701BE2"/>
    <w:rsid w:val="00702149"/>
    <w:rsid w:val="00702520"/>
    <w:rsid w:val="00702785"/>
    <w:rsid w:val="007037D3"/>
    <w:rsid w:val="00704173"/>
    <w:rsid w:val="007044FB"/>
    <w:rsid w:val="00704976"/>
    <w:rsid w:val="007051A6"/>
    <w:rsid w:val="00705238"/>
    <w:rsid w:val="00705F98"/>
    <w:rsid w:val="00706CD8"/>
    <w:rsid w:val="00707045"/>
    <w:rsid w:val="007070E3"/>
    <w:rsid w:val="0070721F"/>
    <w:rsid w:val="0070780A"/>
    <w:rsid w:val="00710C1E"/>
    <w:rsid w:val="007112F8"/>
    <w:rsid w:val="00711C45"/>
    <w:rsid w:val="00711F74"/>
    <w:rsid w:val="0071278A"/>
    <w:rsid w:val="00712B12"/>
    <w:rsid w:val="00712E57"/>
    <w:rsid w:val="00712FA9"/>
    <w:rsid w:val="007136E5"/>
    <w:rsid w:val="00713D73"/>
    <w:rsid w:val="007142D8"/>
    <w:rsid w:val="00714DFF"/>
    <w:rsid w:val="007150D9"/>
    <w:rsid w:val="00715B8A"/>
    <w:rsid w:val="00715D6D"/>
    <w:rsid w:val="00716213"/>
    <w:rsid w:val="0071696E"/>
    <w:rsid w:val="00716B3E"/>
    <w:rsid w:val="00716F74"/>
    <w:rsid w:val="00717D16"/>
    <w:rsid w:val="00717D8F"/>
    <w:rsid w:val="007201C3"/>
    <w:rsid w:val="0072059F"/>
    <w:rsid w:val="00720D78"/>
    <w:rsid w:val="00720E39"/>
    <w:rsid w:val="007216EE"/>
    <w:rsid w:val="00721766"/>
    <w:rsid w:val="00721B37"/>
    <w:rsid w:val="007222C1"/>
    <w:rsid w:val="00722309"/>
    <w:rsid w:val="007223F3"/>
    <w:rsid w:val="00722787"/>
    <w:rsid w:val="00722E18"/>
    <w:rsid w:val="00723063"/>
    <w:rsid w:val="00723998"/>
    <w:rsid w:val="00724261"/>
    <w:rsid w:val="007247C7"/>
    <w:rsid w:val="00724DEF"/>
    <w:rsid w:val="00725A2B"/>
    <w:rsid w:val="0072797C"/>
    <w:rsid w:val="00731454"/>
    <w:rsid w:val="007314A9"/>
    <w:rsid w:val="00731E70"/>
    <w:rsid w:val="00732193"/>
    <w:rsid w:val="007325A6"/>
    <w:rsid w:val="00733788"/>
    <w:rsid w:val="00733DCF"/>
    <w:rsid w:val="00735332"/>
    <w:rsid w:val="007355F3"/>
    <w:rsid w:val="00735642"/>
    <w:rsid w:val="00735C33"/>
    <w:rsid w:val="00735DD3"/>
    <w:rsid w:val="0073681D"/>
    <w:rsid w:val="00736CD2"/>
    <w:rsid w:val="00736EE9"/>
    <w:rsid w:val="00737C48"/>
    <w:rsid w:val="007402B3"/>
    <w:rsid w:val="00740467"/>
    <w:rsid w:val="00740687"/>
    <w:rsid w:val="00740872"/>
    <w:rsid w:val="0074171D"/>
    <w:rsid w:val="00741B96"/>
    <w:rsid w:val="00741C2D"/>
    <w:rsid w:val="00741F51"/>
    <w:rsid w:val="0074210F"/>
    <w:rsid w:val="00742371"/>
    <w:rsid w:val="00742BC2"/>
    <w:rsid w:val="007435E9"/>
    <w:rsid w:val="007441A6"/>
    <w:rsid w:val="00744D75"/>
    <w:rsid w:val="00744F32"/>
    <w:rsid w:val="00744FA4"/>
    <w:rsid w:val="007452F6"/>
    <w:rsid w:val="00745A09"/>
    <w:rsid w:val="00745C5B"/>
    <w:rsid w:val="00745E94"/>
    <w:rsid w:val="00745F69"/>
    <w:rsid w:val="00746201"/>
    <w:rsid w:val="00746483"/>
    <w:rsid w:val="007468EB"/>
    <w:rsid w:val="00746958"/>
    <w:rsid w:val="00746F22"/>
    <w:rsid w:val="00747034"/>
    <w:rsid w:val="0074735A"/>
    <w:rsid w:val="00750229"/>
    <w:rsid w:val="0075055B"/>
    <w:rsid w:val="00750788"/>
    <w:rsid w:val="0075176B"/>
    <w:rsid w:val="00751B83"/>
    <w:rsid w:val="00751B91"/>
    <w:rsid w:val="00752084"/>
    <w:rsid w:val="007527E5"/>
    <w:rsid w:val="00752B06"/>
    <w:rsid w:val="007530AE"/>
    <w:rsid w:val="007550F0"/>
    <w:rsid w:val="00756158"/>
    <w:rsid w:val="0075664E"/>
    <w:rsid w:val="00757090"/>
    <w:rsid w:val="00757563"/>
    <w:rsid w:val="00757902"/>
    <w:rsid w:val="00757A79"/>
    <w:rsid w:val="00757C31"/>
    <w:rsid w:val="00757DFB"/>
    <w:rsid w:val="007608D3"/>
    <w:rsid w:val="00760906"/>
    <w:rsid w:val="00760D08"/>
    <w:rsid w:val="0076148D"/>
    <w:rsid w:val="00761A8F"/>
    <w:rsid w:val="00761C6F"/>
    <w:rsid w:val="00761D75"/>
    <w:rsid w:val="00761E21"/>
    <w:rsid w:val="00761FA2"/>
    <w:rsid w:val="00762248"/>
    <w:rsid w:val="00762453"/>
    <w:rsid w:val="0076273A"/>
    <w:rsid w:val="00762D1D"/>
    <w:rsid w:val="00763692"/>
    <w:rsid w:val="007637AB"/>
    <w:rsid w:val="00763B45"/>
    <w:rsid w:val="00764AE6"/>
    <w:rsid w:val="00765879"/>
    <w:rsid w:val="00765CCA"/>
    <w:rsid w:val="00765E7D"/>
    <w:rsid w:val="00766453"/>
    <w:rsid w:val="007665F4"/>
    <w:rsid w:val="00767111"/>
    <w:rsid w:val="0077074A"/>
    <w:rsid w:val="0077078B"/>
    <w:rsid w:val="00770793"/>
    <w:rsid w:val="00770858"/>
    <w:rsid w:val="00771439"/>
    <w:rsid w:val="007716C9"/>
    <w:rsid w:val="007718A8"/>
    <w:rsid w:val="00771DD4"/>
    <w:rsid w:val="00772044"/>
    <w:rsid w:val="00772364"/>
    <w:rsid w:val="00772EC5"/>
    <w:rsid w:val="00773420"/>
    <w:rsid w:val="00773823"/>
    <w:rsid w:val="007742C6"/>
    <w:rsid w:val="00774467"/>
    <w:rsid w:val="00774946"/>
    <w:rsid w:val="007751AE"/>
    <w:rsid w:val="00775519"/>
    <w:rsid w:val="007759B8"/>
    <w:rsid w:val="00775A2F"/>
    <w:rsid w:val="00775FFD"/>
    <w:rsid w:val="00776B23"/>
    <w:rsid w:val="00776DC6"/>
    <w:rsid w:val="00776E90"/>
    <w:rsid w:val="007771A9"/>
    <w:rsid w:val="007773D0"/>
    <w:rsid w:val="00777A52"/>
    <w:rsid w:val="007803D4"/>
    <w:rsid w:val="0078056E"/>
    <w:rsid w:val="00780833"/>
    <w:rsid w:val="00780F3D"/>
    <w:rsid w:val="0078112F"/>
    <w:rsid w:val="0078153E"/>
    <w:rsid w:val="00783560"/>
    <w:rsid w:val="007836C8"/>
    <w:rsid w:val="00783801"/>
    <w:rsid w:val="007841B8"/>
    <w:rsid w:val="0078478F"/>
    <w:rsid w:val="00784F3F"/>
    <w:rsid w:val="00785A0F"/>
    <w:rsid w:val="0078651F"/>
    <w:rsid w:val="00786BA7"/>
    <w:rsid w:val="00786C8F"/>
    <w:rsid w:val="007872A3"/>
    <w:rsid w:val="007877A8"/>
    <w:rsid w:val="0079020C"/>
    <w:rsid w:val="00790410"/>
    <w:rsid w:val="00790DD2"/>
    <w:rsid w:val="00790F06"/>
    <w:rsid w:val="007912D8"/>
    <w:rsid w:val="007913E6"/>
    <w:rsid w:val="00791514"/>
    <w:rsid w:val="00791FFC"/>
    <w:rsid w:val="00792152"/>
    <w:rsid w:val="007923B7"/>
    <w:rsid w:val="00792B26"/>
    <w:rsid w:val="007934FB"/>
    <w:rsid w:val="00793576"/>
    <w:rsid w:val="00793ADF"/>
    <w:rsid w:val="00794789"/>
    <w:rsid w:val="00794ABF"/>
    <w:rsid w:val="007951E9"/>
    <w:rsid w:val="00795322"/>
    <w:rsid w:val="00795B32"/>
    <w:rsid w:val="00795E7F"/>
    <w:rsid w:val="00796A2B"/>
    <w:rsid w:val="007970B7"/>
    <w:rsid w:val="007A0613"/>
    <w:rsid w:val="007A0641"/>
    <w:rsid w:val="007A1F39"/>
    <w:rsid w:val="007A2E65"/>
    <w:rsid w:val="007A311B"/>
    <w:rsid w:val="007A3464"/>
    <w:rsid w:val="007A364C"/>
    <w:rsid w:val="007A37E2"/>
    <w:rsid w:val="007A3954"/>
    <w:rsid w:val="007A436E"/>
    <w:rsid w:val="007A4FEB"/>
    <w:rsid w:val="007A529C"/>
    <w:rsid w:val="007A613E"/>
    <w:rsid w:val="007A64C9"/>
    <w:rsid w:val="007A777C"/>
    <w:rsid w:val="007A7899"/>
    <w:rsid w:val="007A7F4F"/>
    <w:rsid w:val="007B0B34"/>
    <w:rsid w:val="007B17B8"/>
    <w:rsid w:val="007B1882"/>
    <w:rsid w:val="007B232E"/>
    <w:rsid w:val="007B2A01"/>
    <w:rsid w:val="007B2F9A"/>
    <w:rsid w:val="007B3264"/>
    <w:rsid w:val="007B3A60"/>
    <w:rsid w:val="007B4636"/>
    <w:rsid w:val="007B4C81"/>
    <w:rsid w:val="007B517B"/>
    <w:rsid w:val="007B5607"/>
    <w:rsid w:val="007B57F1"/>
    <w:rsid w:val="007B6334"/>
    <w:rsid w:val="007B6464"/>
    <w:rsid w:val="007B6831"/>
    <w:rsid w:val="007B691E"/>
    <w:rsid w:val="007B70B5"/>
    <w:rsid w:val="007B7182"/>
    <w:rsid w:val="007B7860"/>
    <w:rsid w:val="007B7A39"/>
    <w:rsid w:val="007C0121"/>
    <w:rsid w:val="007C035C"/>
    <w:rsid w:val="007C05F5"/>
    <w:rsid w:val="007C0D22"/>
    <w:rsid w:val="007C1579"/>
    <w:rsid w:val="007C1A2B"/>
    <w:rsid w:val="007C1B31"/>
    <w:rsid w:val="007C2B57"/>
    <w:rsid w:val="007C30FA"/>
    <w:rsid w:val="007C353C"/>
    <w:rsid w:val="007C4441"/>
    <w:rsid w:val="007C47A5"/>
    <w:rsid w:val="007C4A1B"/>
    <w:rsid w:val="007C5077"/>
    <w:rsid w:val="007C597D"/>
    <w:rsid w:val="007C5A9A"/>
    <w:rsid w:val="007C5E0C"/>
    <w:rsid w:val="007C6A76"/>
    <w:rsid w:val="007C6B96"/>
    <w:rsid w:val="007C6D24"/>
    <w:rsid w:val="007C6F09"/>
    <w:rsid w:val="007C73F3"/>
    <w:rsid w:val="007C7B8A"/>
    <w:rsid w:val="007C7F32"/>
    <w:rsid w:val="007D1867"/>
    <w:rsid w:val="007D1BDA"/>
    <w:rsid w:val="007D1C2C"/>
    <w:rsid w:val="007D2766"/>
    <w:rsid w:val="007D31BD"/>
    <w:rsid w:val="007D35BE"/>
    <w:rsid w:val="007D3AAB"/>
    <w:rsid w:val="007D4B29"/>
    <w:rsid w:val="007D6347"/>
    <w:rsid w:val="007D651A"/>
    <w:rsid w:val="007E15D0"/>
    <w:rsid w:val="007E19A8"/>
    <w:rsid w:val="007E19E1"/>
    <w:rsid w:val="007E1E36"/>
    <w:rsid w:val="007E1FF9"/>
    <w:rsid w:val="007E218C"/>
    <w:rsid w:val="007E274E"/>
    <w:rsid w:val="007E2B7A"/>
    <w:rsid w:val="007E3C10"/>
    <w:rsid w:val="007E50C2"/>
    <w:rsid w:val="007E57A9"/>
    <w:rsid w:val="007E668F"/>
    <w:rsid w:val="007E7E1E"/>
    <w:rsid w:val="007F0446"/>
    <w:rsid w:val="007F08A7"/>
    <w:rsid w:val="007F09C7"/>
    <w:rsid w:val="007F0AA2"/>
    <w:rsid w:val="007F0CE0"/>
    <w:rsid w:val="007F103D"/>
    <w:rsid w:val="007F10A5"/>
    <w:rsid w:val="007F136B"/>
    <w:rsid w:val="007F1599"/>
    <w:rsid w:val="007F2AD9"/>
    <w:rsid w:val="007F3058"/>
    <w:rsid w:val="007F367C"/>
    <w:rsid w:val="007F3915"/>
    <w:rsid w:val="007F394C"/>
    <w:rsid w:val="007F3B05"/>
    <w:rsid w:val="007F3BFA"/>
    <w:rsid w:val="007F528B"/>
    <w:rsid w:val="007F547F"/>
    <w:rsid w:val="007F65F7"/>
    <w:rsid w:val="007F6AF1"/>
    <w:rsid w:val="007F6B91"/>
    <w:rsid w:val="007F6BEC"/>
    <w:rsid w:val="007F7053"/>
    <w:rsid w:val="007F7467"/>
    <w:rsid w:val="007F76A5"/>
    <w:rsid w:val="00800D06"/>
    <w:rsid w:val="00801482"/>
    <w:rsid w:val="008016A9"/>
    <w:rsid w:val="00801AAB"/>
    <w:rsid w:val="00802371"/>
    <w:rsid w:val="008024D6"/>
    <w:rsid w:val="0080252A"/>
    <w:rsid w:val="0080345A"/>
    <w:rsid w:val="00803557"/>
    <w:rsid w:val="00803750"/>
    <w:rsid w:val="008041C2"/>
    <w:rsid w:val="008059EC"/>
    <w:rsid w:val="00805B36"/>
    <w:rsid w:val="008065BD"/>
    <w:rsid w:val="008102CB"/>
    <w:rsid w:val="0081075E"/>
    <w:rsid w:val="008108B3"/>
    <w:rsid w:val="00810CDF"/>
    <w:rsid w:val="00812AB7"/>
    <w:rsid w:val="008135E7"/>
    <w:rsid w:val="00813E03"/>
    <w:rsid w:val="00813ED6"/>
    <w:rsid w:val="00813EFF"/>
    <w:rsid w:val="008140FD"/>
    <w:rsid w:val="0081462A"/>
    <w:rsid w:val="00814D85"/>
    <w:rsid w:val="00814ECD"/>
    <w:rsid w:val="00815270"/>
    <w:rsid w:val="00815A33"/>
    <w:rsid w:val="00815EFB"/>
    <w:rsid w:val="0081607C"/>
    <w:rsid w:val="00816CB5"/>
    <w:rsid w:val="00816E0D"/>
    <w:rsid w:val="008200EB"/>
    <w:rsid w:val="008206EA"/>
    <w:rsid w:val="00820B7A"/>
    <w:rsid w:val="00820DFD"/>
    <w:rsid w:val="00821084"/>
    <w:rsid w:val="0082159B"/>
    <w:rsid w:val="00821F8D"/>
    <w:rsid w:val="00822A84"/>
    <w:rsid w:val="00822CE5"/>
    <w:rsid w:val="0082372F"/>
    <w:rsid w:val="00824472"/>
    <w:rsid w:val="0082482D"/>
    <w:rsid w:val="00824ED5"/>
    <w:rsid w:val="0082500C"/>
    <w:rsid w:val="008251DB"/>
    <w:rsid w:val="008256BB"/>
    <w:rsid w:val="0082584B"/>
    <w:rsid w:val="00825B7C"/>
    <w:rsid w:val="00825B9A"/>
    <w:rsid w:val="00825DFD"/>
    <w:rsid w:val="00826056"/>
    <w:rsid w:val="008266B3"/>
    <w:rsid w:val="008268B2"/>
    <w:rsid w:val="00826C5B"/>
    <w:rsid w:val="00826CDB"/>
    <w:rsid w:val="0082709E"/>
    <w:rsid w:val="008270DB"/>
    <w:rsid w:val="00827D89"/>
    <w:rsid w:val="00830005"/>
    <w:rsid w:val="00830576"/>
    <w:rsid w:val="008309E9"/>
    <w:rsid w:val="00830D40"/>
    <w:rsid w:val="00831B70"/>
    <w:rsid w:val="00831D73"/>
    <w:rsid w:val="0083275B"/>
    <w:rsid w:val="008334F8"/>
    <w:rsid w:val="00834151"/>
    <w:rsid w:val="0083499C"/>
    <w:rsid w:val="0083591A"/>
    <w:rsid w:val="008359D9"/>
    <w:rsid w:val="00836065"/>
    <w:rsid w:val="00836814"/>
    <w:rsid w:val="008376C8"/>
    <w:rsid w:val="00837E18"/>
    <w:rsid w:val="0084024D"/>
    <w:rsid w:val="00840261"/>
    <w:rsid w:val="008403AA"/>
    <w:rsid w:val="0084134E"/>
    <w:rsid w:val="00841C5A"/>
    <w:rsid w:val="00841C89"/>
    <w:rsid w:val="00842000"/>
    <w:rsid w:val="00842187"/>
    <w:rsid w:val="00842200"/>
    <w:rsid w:val="00842343"/>
    <w:rsid w:val="008428E9"/>
    <w:rsid w:val="0084290E"/>
    <w:rsid w:val="00844E6F"/>
    <w:rsid w:val="00844F9D"/>
    <w:rsid w:val="00845012"/>
    <w:rsid w:val="00845177"/>
    <w:rsid w:val="0084557B"/>
    <w:rsid w:val="00846751"/>
    <w:rsid w:val="008473D6"/>
    <w:rsid w:val="008476C6"/>
    <w:rsid w:val="00847AC6"/>
    <w:rsid w:val="00847DA7"/>
    <w:rsid w:val="00847E5B"/>
    <w:rsid w:val="00847ED2"/>
    <w:rsid w:val="00847F97"/>
    <w:rsid w:val="00850449"/>
    <w:rsid w:val="00850ABC"/>
    <w:rsid w:val="0085191D"/>
    <w:rsid w:val="00851949"/>
    <w:rsid w:val="00851CE7"/>
    <w:rsid w:val="00851E23"/>
    <w:rsid w:val="00852231"/>
    <w:rsid w:val="0085237F"/>
    <w:rsid w:val="0085290A"/>
    <w:rsid w:val="00852FC3"/>
    <w:rsid w:val="00853906"/>
    <w:rsid w:val="0085393F"/>
    <w:rsid w:val="00853DB0"/>
    <w:rsid w:val="008541A5"/>
    <w:rsid w:val="00854D84"/>
    <w:rsid w:val="008557F7"/>
    <w:rsid w:val="00855B5F"/>
    <w:rsid w:val="00855F41"/>
    <w:rsid w:val="00856222"/>
    <w:rsid w:val="008562E1"/>
    <w:rsid w:val="0085665B"/>
    <w:rsid w:val="00856725"/>
    <w:rsid w:val="00856795"/>
    <w:rsid w:val="00856943"/>
    <w:rsid w:val="00856B45"/>
    <w:rsid w:val="0085766A"/>
    <w:rsid w:val="008578A1"/>
    <w:rsid w:val="00860152"/>
    <w:rsid w:val="00860B17"/>
    <w:rsid w:val="00860BA4"/>
    <w:rsid w:val="00860F3E"/>
    <w:rsid w:val="0086111C"/>
    <w:rsid w:val="008614A4"/>
    <w:rsid w:val="00861CD6"/>
    <w:rsid w:val="00862578"/>
    <w:rsid w:val="00862ABD"/>
    <w:rsid w:val="008632B2"/>
    <w:rsid w:val="008654DF"/>
    <w:rsid w:val="00865840"/>
    <w:rsid w:val="008662CE"/>
    <w:rsid w:val="0086662C"/>
    <w:rsid w:val="00871565"/>
    <w:rsid w:val="00871BBD"/>
    <w:rsid w:val="00871C1A"/>
    <w:rsid w:val="00871F21"/>
    <w:rsid w:val="0087261F"/>
    <w:rsid w:val="00872A35"/>
    <w:rsid w:val="008731B1"/>
    <w:rsid w:val="0087460A"/>
    <w:rsid w:val="008746E7"/>
    <w:rsid w:val="00875AB4"/>
    <w:rsid w:val="00875D06"/>
    <w:rsid w:val="008769F3"/>
    <w:rsid w:val="00877A6E"/>
    <w:rsid w:val="0088044F"/>
    <w:rsid w:val="00880AB4"/>
    <w:rsid w:val="00880C9F"/>
    <w:rsid w:val="00881392"/>
    <w:rsid w:val="0088163C"/>
    <w:rsid w:val="00882008"/>
    <w:rsid w:val="00882602"/>
    <w:rsid w:val="00882C88"/>
    <w:rsid w:val="00883396"/>
    <w:rsid w:val="00883533"/>
    <w:rsid w:val="00883B71"/>
    <w:rsid w:val="00883BB3"/>
    <w:rsid w:val="00883BF3"/>
    <w:rsid w:val="00884E57"/>
    <w:rsid w:val="00885257"/>
    <w:rsid w:val="00885BA6"/>
    <w:rsid w:val="00885E12"/>
    <w:rsid w:val="00886332"/>
    <w:rsid w:val="00886420"/>
    <w:rsid w:val="00886448"/>
    <w:rsid w:val="008865BC"/>
    <w:rsid w:val="00886932"/>
    <w:rsid w:val="00886DB4"/>
    <w:rsid w:val="0088739F"/>
    <w:rsid w:val="008876EA"/>
    <w:rsid w:val="0088771B"/>
    <w:rsid w:val="008877A5"/>
    <w:rsid w:val="00887DD5"/>
    <w:rsid w:val="00887FEF"/>
    <w:rsid w:val="008904C9"/>
    <w:rsid w:val="00890A70"/>
    <w:rsid w:val="00890B74"/>
    <w:rsid w:val="008911D2"/>
    <w:rsid w:val="00891785"/>
    <w:rsid w:val="00891A07"/>
    <w:rsid w:val="008924D1"/>
    <w:rsid w:val="008927FD"/>
    <w:rsid w:val="00892AE5"/>
    <w:rsid w:val="00892EAF"/>
    <w:rsid w:val="008932B9"/>
    <w:rsid w:val="008934A8"/>
    <w:rsid w:val="00893630"/>
    <w:rsid w:val="0089370C"/>
    <w:rsid w:val="00893A20"/>
    <w:rsid w:val="00893A22"/>
    <w:rsid w:val="00893F97"/>
    <w:rsid w:val="00894059"/>
    <w:rsid w:val="00894548"/>
    <w:rsid w:val="008949C1"/>
    <w:rsid w:val="00894F82"/>
    <w:rsid w:val="008950A1"/>
    <w:rsid w:val="008954BB"/>
    <w:rsid w:val="008956B1"/>
    <w:rsid w:val="00895C6D"/>
    <w:rsid w:val="008961A8"/>
    <w:rsid w:val="008961EA"/>
    <w:rsid w:val="00897473"/>
    <w:rsid w:val="00897E86"/>
    <w:rsid w:val="008A08C0"/>
    <w:rsid w:val="008A0DE7"/>
    <w:rsid w:val="008A0EE4"/>
    <w:rsid w:val="008A1251"/>
    <w:rsid w:val="008A210D"/>
    <w:rsid w:val="008A2D43"/>
    <w:rsid w:val="008A3448"/>
    <w:rsid w:val="008A3D0A"/>
    <w:rsid w:val="008A431D"/>
    <w:rsid w:val="008A4D62"/>
    <w:rsid w:val="008A4F46"/>
    <w:rsid w:val="008A55C1"/>
    <w:rsid w:val="008A5F91"/>
    <w:rsid w:val="008A65F0"/>
    <w:rsid w:val="008A667C"/>
    <w:rsid w:val="008A6B46"/>
    <w:rsid w:val="008A709B"/>
    <w:rsid w:val="008A744B"/>
    <w:rsid w:val="008B0171"/>
    <w:rsid w:val="008B10EA"/>
    <w:rsid w:val="008B12A4"/>
    <w:rsid w:val="008B1455"/>
    <w:rsid w:val="008B15D6"/>
    <w:rsid w:val="008B1D40"/>
    <w:rsid w:val="008B281A"/>
    <w:rsid w:val="008B2D05"/>
    <w:rsid w:val="008B3029"/>
    <w:rsid w:val="008B31AE"/>
    <w:rsid w:val="008B3304"/>
    <w:rsid w:val="008B3A50"/>
    <w:rsid w:val="008B46D4"/>
    <w:rsid w:val="008B510B"/>
    <w:rsid w:val="008B518B"/>
    <w:rsid w:val="008B534B"/>
    <w:rsid w:val="008B5419"/>
    <w:rsid w:val="008B555A"/>
    <w:rsid w:val="008B5C5D"/>
    <w:rsid w:val="008B5E28"/>
    <w:rsid w:val="008B5F1A"/>
    <w:rsid w:val="008B64EE"/>
    <w:rsid w:val="008B67BA"/>
    <w:rsid w:val="008B69FE"/>
    <w:rsid w:val="008B70EC"/>
    <w:rsid w:val="008C0425"/>
    <w:rsid w:val="008C0C42"/>
    <w:rsid w:val="008C10E8"/>
    <w:rsid w:val="008C1100"/>
    <w:rsid w:val="008C20E9"/>
    <w:rsid w:val="008C2704"/>
    <w:rsid w:val="008C31AA"/>
    <w:rsid w:val="008C3401"/>
    <w:rsid w:val="008C349F"/>
    <w:rsid w:val="008C34C5"/>
    <w:rsid w:val="008C3625"/>
    <w:rsid w:val="008C424C"/>
    <w:rsid w:val="008C470F"/>
    <w:rsid w:val="008C5097"/>
    <w:rsid w:val="008C5CA5"/>
    <w:rsid w:val="008C60F8"/>
    <w:rsid w:val="008C6FF7"/>
    <w:rsid w:val="008C7024"/>
    <w:rsid w:val="008C711F"/>
    <w:rsid w:val="008C72E6"/>
    <w:rsid w:val="008C774F"/>
    <w:rsid w:val="008C79C4"/>
    <w:rsid w:val="008D0ABF"/>
    <w:rsid w:val="008D1EBD"/>
    <w:rsid w:val="008D331E"/>
    <w:rsid w:val="008D3581"/>
    <w:rsid w:val="008D3D06"/>
    <w:rsid w:val="008D4786"/>
    <w:rsid w:val="008D5214"/>
    <w:rsid w:val="008D52D3"/>
    <w:rsid w:val="008D5872"/>
    <w:rsid w:val="008D5BFE"/>
    <w:rsid w:val="008D605D"/>
    <w:rsid w:val="008D64AA"/>
    <w:rsid w:val="008D65E5"/>
    <w:rsid w:val="008D6B2E"/>
    <w:rsid w:val="008D6C17"/>
    <w:rsid w:val="008D74A8"/>
    <w:rsid w:val="008D75F4"/>
    <w:rsid w:val="008D7A67"/>
    <w:rsid w:val="008D7C8A"/>
    <w:rsid w:val="008E0EC7"/>
    <w:rsid w:val="008E1C6F"/>
    <w:rsid w:val="008E20C1"/>
    <w:rsid w:val="008E268C"/>
    <w:rsid w:val="008E2968"/>
    <w:rsid w:val="008E29BD"/>
    <w:rsid w:val="008E2D0E"/>
    <w:rsid w:val="008E370E"/>
    <w:rsid w:val="008E4F46"/>
    <w:rsid w:val="008E518E"/>
    <w:rsid w:val="008E55DA"/>
    <w:rsid w:val="008E561D"/>
    <w:rsid w:val="008E5733"/>
    <w:rsid w:val="008E5A2D"/>
    <w:rsid w:val="008E5AEE"/>
    <w:rsid w:val="008E69A2"/>
    <w:rsid w:val="008E6B04"/>
    <w:rsid w:val="008E6D14"/>
    <w:rsid w:val="008E7555"/>
    <w:rsid w:val="008E7790"/>
    <w:rsid w:val="008E7E68"/>
    <w:rsid w:val="008F0B1A"/>
    <w:rsid w:val="008F140C"/>
    <w:rsid w:val="008F167F"/>
    <w:rsid w:val="008F16FE"/>
    <w:rsid w:val="008F17BA"/>
    <w:rsid w:val="008F1B0E"/>
    <w:rsid w:val="008F2015"/>
    <w:rsid w:val="008F2580"/>
    <w:rsid w:val="008F2B6E"/>
    <w:rsid w:val="008F333A"/>
    <w:rsid w:val="008F3BAF"/>
    <w:rsid w:val="008F3C35"/>
    <w:rsid w:val="008F3E66"/>
    <w:rsid w:val="008F44BA"/>
    <w:rsid w:val="008F4BBD"/>
    <w:rsid w:val="008F4BED"/>
    <w:rsid w:val="008F56D3"/>
    <w:rsid w:val="008F577C"/>
    <w:rsid w:val="008F5886"/>
    <w:rsid w:val="008F5A1B"/>
    <w:rsid w:val="008F642E"/>
    <w:rsid w:val="008F7658"/>
    <w:rsid w:val="0090036D"/>
    <w:rsid w:val="00900DFF"/>
    <w:rsid w:val="00900F7E"/>
    <w:rsid w:val="009015E0"/>
    <w:rsid w:val="009015ED"/>
    <w:rsid w:val="00901FE4"/>
    <w:rsid w:val="0090254C"/>
    <w:rsid w:val="0090268A"/>
    <w:rsid w:val="00902E9B"/>
    <w:rsid w:val="0090343E"/>
    <w:rsid w:val="00903528"/>
    <w:rsid w:val="00903844"/>
    <w:rsid w:val="009039CB"/>
    <w:rsid w:val="00903C27"/>
    <w:rsid w:val="00903E80"/>
    <w:rsid w:val="009041B4"/>
    <w:rsid w:val="009041E5"/>
    <w:rsid w:val="0090497D"/>
    <w:rsid w:val="00904BEE"/>
    <w:rsid w:val="00904FE2"/>
    <w:rsid w:val="0090537A"/>
    <w:rsid w:val="00905AD3"/>
    <w:rsid w:val="00905B84"/>
    <w:rsid w:val="00906625"/>
    <w:rsid w:val="00906986"/>
    <w:rsid w:val="009074AE"/>
    <w:rsid w:val="009074D9"/>
    <w:rsid w:val="00907D08"/>
    <w:rsid w:val="009105FD"/>
    <w:rsid w:val="00910DD3"/>
    <w:rsid w:val="009110CB"/>
    <w:rsid w:val="009115B0"/>
    <w:rsid w:val="00911718"/>
    <w:rsid w:val="009118D2"/>
    <w:rsid w:val="00911A97"/>
    <w:rsid w:val="00911BA6"/>
    <w:rsid w:val="00911CED"/>
    <w:rsid w:val="00912BF8"/>
    <w:rsid w:val="009130B1"/>
    <w:rsid w:val="0091316E"/>
    <w:rsid w:val="00913DE5"/>
    <w:rsid w:val="00914446"/>
    <w:rsid w:val="0091497D"/>
    <w:rsid w:val="009155C1"/>
    <w:rsid w:val="009157AA"/>
    <w:rsid w:val="00915BBC"/>
    <w:rsid w:val="00915CFA"/>
    <w:rsid w:val="0091603A"/>
    <w:rsid w:val="009162D9"/>
    <w:rsid w:val="00916A0C"/>
    <w:rsid w:val="00916C56"/>
    <w:rsid w:val="00917A80"/>
    <w:rsid w:val="00920263"/>
    <w:rsid w:val="00920E56"/>
    <w:rsid w:val="00922F55"/>
    <w:rsid w:val="00922F61"/>
    <w:rsid w:val="00923029"/>
    <w:rsid w:val="00923B23"/>
    <w:rsid w:val="00923EAE"/>
    <w:rsid w:val="0092407E"/>
    <w:rsid w:val="00925068"/>
    <w:rsid w:val="0092528E"/>
    <w:rsid w:val="009256C8"/>
    <w:rsid w:val="009264B4"/>
    <w:rsid w:val="00926623"/>
    <w:rsid w:val="009266DA"/>
    <w:rsid w:val="009267E2"/>
    <w:rsid w:val="00926CBA"/>
    <w:rsid w:val="00927456"/>
    <w:rsid w:val="00927BFE"/>
    <w:rsid w:val="00930A3D"/>
    <w:rsid w:val="00931B28"/>
    <w:rsid w:val="00931C62"/>
    <w:rsid w:val="009324D1"/>
    <w:rsid w:val="00932AEA"/>
    <w:rsid w:val="00932F61"/>
    <w:rsid w:val="009331F4"/>
    <w:rsid w:val="00933771"/>
    <w:rsid w:val="00933DFC"/>
    <w:rsid w:val="00933F3A"/>
    <w:rsid w:val="0093462E"/>
    <w:rsid w:val="00935A11"/>
    <w:rsid w:val="00935A88"/>
    <w:rsid w:val="00935B59"/>
    <w:rsid w:val="00935BC8"/>
    <w:rsid w:val="00936554"/>
    <w:rsid w:val="00936EAF"/>
    <w:rsid w:val="00937036"/>
    <w:rsid w:val="00937230"/>
    <w:rsid w:val="00937425"/>
    <w:rsid w:val="00937A42"/>
    <w:rsid w:val="0094010C"/>
    <w:rsid w:val="0094025C"/>
    <w:rsid w:val="00940EF4"/>
    <w:rsid w:val="00941409"/>
    <w:rsid w:val="009415BC"/>
    <w:rsid w:val="0094180A"/>
    <w:rsid w:val="0094184F"/>
    <w:rsid w:val="00941FF2"/>
    <w:rsid w:val="009422F0"/>
    <w:rsid w:val="009428BB"/>
    <w:rsid w:val="009428DC"/>
    <w:rsid w:val="00942D79"/>
    <w:rsid w:val="0094362E"/>
    <w:rsid w:val="00943DE0"/>
    <w:rsid w:val="009448AB"/>
    <w:rsid w:val="00944BF6"/>
    <w:rsid w:val="00944D8F"/>
    <w:rsid w:val="009450A5"/>
    <w:rsid w:val="00945289"/>
    <w:rsid w:val="009455BB"/>
    <w:rsid w:val="00945676"/>
    <w:rsid w:val="00945B1E"/>
    <w:rsid w:val="00945C85"/>
    <w:rsid w:val="00945C90"/>
    <w:rsid w:val="00945F24"/>
    <w:rsid w:val="009467B3"/>
    <w:rsid w:val="009468C5"/>
    <w:rsid w:val="009503B1"/>
    <w:rsid w:val="0095095D"/>
    <w:rsid w:val="00950F77"/>
    <w:rsid w:val="009511D1"/>
    <w:rsid w:val="00951B03"/>
    <w:rsid w:val="0095264D"/>
    <w:rsid w:val="00952C86"/>
    <w:rsid w:val="0095303A"/>
    <w:rsid w:val="0095308A"/>
    <w:rsid w:val="009531F1"/>
    <w:rsid w:val="00953243"/>
    <w:rsid w:val="00953404"/>
    <w:rsid w:val="00953BA6"/>
    <w:rsid w:val="0095466C"/>
    <w:rsid w:val="00954C2C"/>
    <w:rsid w:val="009553FE"/>
    <w:rsid w:val="00955594"/>
    <w:rsid w:val="0095560F"/>
    <w:rsid w:val="009558F5"/>
    <w:rsid w:val="00956552"/>
    <w:rsid w:val="00956C6B"/>
    <w:rsid w:val="00956E17"/>
    <w:rsid w:val="009579DC"/>
    <w:rsid w:val="00957BBD"/>
    <w:rsid w:val="00960619"/>
    <w:rsid w:val="00960D3C"/>
    <w:rsid w:val="00960E89"/>
    <w:rsid w:val="009613B4"/>
    <w:rsid w:val="00961F69"/>
    <w:rsid w:val="009632C2"/>
    <w:rsid w:val="0096399B"/>
    <w:rsid w:val="00963AAF"/>
    <w:rsid w:val="009641E3"/>
    <w:rsid w:val="00964698"/>
    <w:rsid w:val="00964AD3"/>
    <w:rsid w:val="009650AF"/>
    <w:rsid w:val="00965EA2"/>
    <w:rsid w:val="00965FB2"/>
    <w:rsid w:val="0096649E"/>
    <w:rsid w:val="00966553"/>
    <w:rsid w:val="00966B1F"/>
    <w:rsid w:val="00967308"/>
    <w:rsid w:val="009674B1"/>
    <w:rsid w:val="009702A8"/>
    <w:rsid w:val="00970329"/>
    <w:rsid w:val="0097051E"/>
    <w:rsid w:val="00970628"/>
    <w:rsid w:val="00970994"/>
    <w:rsid w:val="00970D20"/>
    <w:rsid w:val="0097179B"/>
    <w:rsid w:val="009721EF"/>
    <w:rsid w:val="009724AF"/>
    <w:rsid w:val="0097281C"/>
    <w:rsid w:val="00972828"/>
    <w:rsid w:val="00972CEB"/>
    <w:rsid w:val="00972E7E"/>
    <w:rsid w:val="0097344D"/>
    <w:rsid w:val="009736D7"/>
    <w:rsid w:val="009739CD"/>
    <w:rsid w:val="00973A65"/>
    <w:rsid w:val="00973B23"/>
    <w:rsid w:val="00973FCD"/>
    <w:rsid w:val="009743CA"/>
    <w:rsid w:val="009743EF"/>
    <w:rsid w:val="00974456"/>
    <w:rsid w:val="00974F57"/>
    <w:rsid w:val="009754E8"/>
    <w:rsid w:val="009757B3"/>
    <w:rsid w:val="00975DA9"/>
    <w:rsid w:val="009763F2"/>
    <w:rsid w:val="009775C1"/>
    <w:rsid w:val="00977B7E"/>
    <w:rsid w:val="00980424"/>
    <w:rsid w:val="009807FB"/>
    <w:rsid w:val="009809ED"/>
    <w:rsid w:val="00980EE1"/>
    <w:rsid w:val="00981112"/>
    <w:rsid w:val="00981BDF"/>
    <w:rsid w:val="00982636"/>
    <w:rsid w:val="0098289E"/>
    <w:rsid w:val="00982D26"/>
    <w:rsid w:val="00982EE3"/>
    <w:rsid w:val="00983089"/>
    <w:rsid w:val="009838F6"/>
    <w:rsid w:val="00983B59"/>
    <w:rsid w:val="00983E92"/>
    <w:rsid w:val="0098450D"/>
    <w:rsid w:val="0098463B"/>
    <w:rsid w:val="00984BC4"/>
    <w:rsid w:val="0098533D"/>
    <w:rsid w:val="0098627E"/>
    <w:rsid w:val="009862F7"/>
    <w:rsid w:val="00986507"/>
    <w:rsid w:val="0098672B"/>
    <w:rsid w:val="0098754C"/>
    <w:rsid w:val="00987595"/>
    <w:rsid w:val="00987978"/>
    <w:rsid w:val="00987A04"/>
    <w:rsid w:val="00987D01"/>
    <w:rsid w:val="00990685"/>
    <w:rsid w:val="00990EE0"/>
    <w:rsid w:val="00991378"/>
    <w:rsid w:val="009916D3"/>
    <w:rsid w:val="009919AB"/>
    <w:rsid w:val="009923C4"/>
    <w:rsid w:val="00992A34"/>
    <w:rsid w:val="00992AE2"/>
    <w:rsid w:val="00992BE1"/>
    <w:rsid w:val="009932E8"/>
    <w:rsid w:val="00994062"/>
    <w:rsid w:val="00994086"/>
    <w:rsid w:val="009940FB"/>
    <w:rsid w:val="00994574"/>
    <w:rsid w:val="00994816"/>
    <w:rsid w:val="00994829"/>
    <w:rsid w:val="00994BB1"/>
    <w:rsid w:val="00995080"/>
    <w:rsid w:val="009950C9"/>
    <w:rsid w:val="00995656"/>
    <w:rsid w:val="00995C57"/>
    <w:rsid w:val="00995CE6"/>
    <w:rsid w:val="00995F38"/>
    <w:rsid w:val="00996718"/>
    <w:rsid w:val="00996AE2"/>
    <w:rsid w:val="00996EB2"/>
    <w:rsid w:val="00996F54"/>
    <w:rsid w:val="009970C5"/>
    <w:rsid w:val="0099724B"/>
    <w:rsid w:val="009975BA"/>
    <w:rsid w:val="00997AB9"/>
    <w:rsid w:val="00997CDE"/>
    <w:rsid w:val="00997D81"/>
    <w:rsid w:val="009A1D53"/>
    <w:rsid w:val="009A1F3C"/>
    <w:rsid w:val="009A20C6"/>
    <w:rsid w:val="009A241E"/>
    <w:rsid w:val="009A26C5"/>
    <w:rsid w:val="009A285B"/>
    <w:rsid w:val="009A3541"/>
    <w:rsid w:val="009A3EA3"/>
    <w:rsid w:val="009A40DC"/>
    <w:rsid w:val="009A425C"/>
    <w:rsid w:val="009A430C"/>
    <w:rsid w:val="009A44B6"/>
    <w:rsid w:val="009A4731"/>
    <w:rsid w:val="009A4857"/>
    <w:rsid w:val="009A5346"/>
    <w:rsid w:val="009A58DB"/>
    <w:rsid w:val="009A5B81"/>
    <w:rsid w:val="009A5C46"/>
    <w:rsid w:val="009A5E81"/>
    <w:rsid w:val="009A6C26"/>
    <w:rsid w:val="009A6FFA"/>
    <w:rsid w:val="009A7170"/>
    <w:rsid w:val="009A750D"/>
    <w:rsid w:val="009A7D6C"/>
    <w:rsid w:val="009B05F8"/>
    <w:rsid w:val="009B0A07"/>
    <w:rsid w:val="009B0A90"/>
    <w:rsid w:val="009B0F37"/>
    <w:rsid w:val="009B2572"/>
    <w:rsid w:val="009B257E"/>
    <w:rsid w:val="009B272B"/>
    <w:rsid w:val="009B2D51"/>
    <w:rsid w:val="009B30BC"/>
    <w:rsid w:val="009B382F"/>
    <w:rsid w:val="009B3C2A"/>
    <w:rsid w:val="009B44D5"/>
    <w:rsid w:val="009B5615"/>
    <w:rsid w:val="009B5897"/>
    <w:rsid w:val="009B6262"/>
    <w:rsid w:val="009B78FA"/>
    <w:rsid w:val="009B7DC9"/>
    <w:rsid w:val="009B7E88"/>
    <w:rsid w:val="009C01AA"/>
    <w:rsid w:val="009C04C7"/>
    <w:rsid w:val="009C0646"/>
    <w:rsid w:val="009C1337"/>
    <w:rsid w:val="009C1C6F"/>
    <w:rsid w:val="009C1F2B"/>
    <w:rsid w:val="009C20FA"/>
    <w:rsid w:val="009C28A3"/>
    <w:rsid w:val="009C33E2"/>
    <w:rsid w:val="009C3B4F"/>
    <w:rsid w:val="009C3C07"/>
    <w:rsid w:val="009C4860"/>
    <w:rsid w:val="009C4865"/>
    <w:rsid w:val="009C4866"/>
    <w:rsid w:val="009C4E28"/>
    <w:rsid w:val="009C5739"/>
    <w:rsid w:val="009C5D0F"/>
    <w:rsid w:val="009C623E"/>
    <w:rsid w:val="009C64B7"/>
    <w:rsid w:val="009C65A1"/>
    <w:rsid w:val="009C6602"/>
    <w:rsid w:val="009C6941"/>
    <w:rsid w:val="009C6BC2"/>
    <w:rsid w:val="009C6F5B"/>
    <w:rsid w:val="009C71DB"/>
    <w:rsid w:val="009C7D87"/>
    <w:rsid w:val="009C7DBC"/>
    <w:rsid w:val="009C7E62"/>
    <w:rsid w:val="009D040F"/>
    <w:rsid w:val="009D0DC6"/>
    <w:rsid w:val="009D1A2D"/>
    <w:rsid w:val="009D21B5"/>
    <w:rsid w:val="009D25F2"/>
    <w:rsid w:val="009D282F"/>
    <w:rsid w:val="009D2E0F"/>
    <w:rsid w:val="009D2ECA"/>
    <w:rsid w:val="009D4619"/>
    <w:rsid w:val="009D4643"/>
    <w:rsid w:val="009D4B68"/>
    <w:rsid w:val="009D51B5"/>
    <w:rsid w:val="009D5DE6"/>
    <w:rsid w:val="009D645E"/>
    <w:rsid w:val="009D6480"/>
    <w:rsid w:val="009D6CC3"/>
    <w:rsid w:val="009D6FB8"/>
    <w:rsid w:val="009D7018"/>
    <w:rsid w:val="009D71EC"/>
    <w:rsid w:val="009D75F8"/>
    <w:rsid w:val="009D7A78"/>
    <w:rsid w:val="009E011B"/>
    <w:rsid w:val="009E2A11"/>
    <w:rsid w:val="009E2CD1"/>
    <w:rsid w:val="009E30FC"/>
    <w:rsid w:val="009E4611"/>
    <w:rsid w:val="009E4869"/>
    <w:rsid w:val="009E49E1"/>
    <w:rsid w:val="009E50F3"/>
    <w:rsid w:val="009E5938"/>
    <w:rsid w:val="009E66E4"/>
    <w:rsid w:val="009E688D"/>
    <w:rsid w:val="009E6958"/>
    <w:rsid w:val="009E6A14"/>
    <w:rsid w:val="009E70C7"/>
    <w:rsid w:val="009E72A0"/>
    <w:rsid w:val="009E7C37"/>
    <w:rsid w:val="009E7CDA"/>
    <w:rsid w:val="009E7D35"/>
    <w:rsid w:val="009F0125"/>
    <w:rsid w:val="009F09FF"/>
    <w:rsid w:val="009F0AEF"/>
    <w:rsid w:val="009F1104"/>
    <w:rsid w:val="009F14A1"/>
    <w:rsid w:val="009F15D3"/>
    <w:rsid w:val="009F22E6"/>
    <w:rsid w:val="009F24BB"/>
    <w:rsid w:val="009F2764"/>
    <w:rsid w:val="009F2901"/>
    <w:rsid w:val="009F2C78"/>
    <w:rsid w:val="009F2C86"/>
    <w:rsid w:val="009F31E9"/>
    <w:rsid w:val="009F3D91"/>
    <w:rsid w:val="009F4205"/>
    <w:rsid w:val="009F457F"/>
    <w:rsid w:val="009F4668"/>
    <w:rsid w:val="009F477E"/>
    <w:rsid w:val="009F4AFD"/>
    <w:rsid w:val="009F5639"/>
    <w:rsid w:val="009F56E1"/>
    <w:rsid w:val="009F6178"/>
    <w:rsid w:val="009F6A29"/>
    <w:rsid w:val="009F6B40"/>
    <w:rsid w:val="009F7437"/>
    <w:rsid w:val="009F7783"/>
    <w:rsid w:val="009F7C00"/>
    <w:rsid w:val="00A0022B"/>
    <w:rsid w:val="00A00658"/>
    <w:rsid w:val="00A01891"/>
    <w:rsid w:val="00A01AB3"/>
    <w:rsid w:val="00A01C1D"/>
    <w:rsid w:val="00A024A9"/>
    <w:rsid w:val="00A02577"/>
    <w:rsid w:val="00A03854"/>
    <w:rsid w:val="00A04319"/>
    <w:rsid w:val="00A04359"/>
    <w:rsid w:val="00A05116"/>
    <w:rsid w:val="00A05438"/>
    <w:rsid w:val="00A060F9"/>
    <w:rsid w:val="00A0627B"/>
    <w:rsid w:val="00A06605"/>
    <w:rsid w:val="00A0694C"/>
    <w:rsid w:val="00A06A90"/>
    <w:rsid w:val="00A06F71"/>
    <w:rsid w:val="00A0742B"/>
    <w:rsid w:val="00A1081A"/>
    <w:rsid w:val="00A108FB"/>
    <w:rsid w:val="00A10983"/>
    <w:rsid w:val="00A10B0D"/>
    <w:rsid w:val="00A10C9A"/>
    <w:rsid w:val="00A10DEC"/>
    <w:rsid w:val="00A1146B"/>
    <w:rsid w:val="00A11516"/>
    <w:rsid w:val="00A11586"/>
    <w:rsid w:val="00A115C3"/>
    <w:rsid w:val="00A11D23"/>
    <w:rsid w:val="00A11EEF"/>
    <w:rsid w:val="00A124DB"/>
    <w:rsid w:val="00A1293D"/>
    <w:rsid w:val="00A12BC9"/>
    <w:rsid w:val="00A13233"/>
    <w:rsid w:val="00A135F4"/>
    <w:rsid w:val="00A14456"/>
    <w:rsid w:val="00A144C6"/>
    <w:rsid w:val="00A15364"/>
    <w:rsid w:val="00A160E3"/>
    <w:rsid w:val="00A16DBC"/>
    <w:rsid w:val="00A170A1"/>
    <w:rsid w:val="00A17240"/>
    <w:rsid w:val="00A174B6"/>
    <w:rsid w:val="00A205BF"/>
    <w:rsid w:val="00A21932"/>
    <w:rsid w:val="00A21EFF"/>
    <w:rsid w:val="00A220CF"/>
    <w:rsid w:val="00A2255B"/>
    <w:rsid w:val="00A22B04"/>
    <w:rsid w:val="00A22ECB"/>
    <w:rsid w:val="00A2316E"/>
    <w:rsid w:val="00A24137"/>
    <w:rsid w:val="00A244C2"/>
    <w:rsid w:val="00A24CAC"/>
    <w:rsid w:val="00A24E0F"/>
    <w:rsid w:val="00A2542A"/>
    <w:rsid w:val="00A257E2"/>
    <w:rsid w:val="00A2584E"/>
    <w:rsid w:val="00A25CFE"/>
    <w:rsid w:val="00A25F7B"/>
    <w:rsid w:val="00A25FBB"/>
    <w:rsid w:val="00A26654"/>
    <w:rsid w:val="00A266D8"/>
    <w:rsid w:val="00A2670E"/>
    <w:rsid w:val="00A26DF1"/>
    <w:rsid w:val="00A26F23"/>
    <w:rsid w:val="00A27BF5"/>
    <w:rsid w:val="00A30042"/>
    <w:rsid w:val="00A30696"/>
    <w:rsid w:val="00A30AC5"/>
    <w:rsid w:val="00A30EFF"/>
    <w:rsid w:val="00A30FB4"/>
    <w:rsid w:val="00A31534"/>
    <w:rsid w:val="00A31AB2"/>
    <w:rsid w:val="00A31F32"/>
    <w:rsid w:val="00A32020"/>
    <w:rsid w:val="00A32908"/>
    <w:rsid w:val="00A32FED"/>
    <w:rsid w:val="00A3337B"/>
    <w:rsid w:val="00A33418"/>
    <w:rsid w:val="00A3366D"/>
    <w:rsid w:val="00A33A54"/>
    <w:rsid w:val="00A34066"/>
    <w:rsid w:val="00A34EB7"/>
    <w:rsid w:val="00A3585B"/>
    <w:rsid w:val="00A35C13"/>
    <w:rsid w:val="00A35C9F"/>
    <w:rsid w:val="00A3611F"/>
    <w:rsid w:val="00A3739E"/>
    <w:rsid w:val="00A37F97"/>
    <w:rsid w:val="00A40145"/>
    <w:rsid w:val="00A4019E"/>
    <w:rsid w:val="00A40918"/>
    <w:rsid w:val="00A40D98"/>
    <w:rsid w:val="00A40FC3"/>
    <w:rsid w:val="00A40FC8"/>
    <w:rsid w:val="00A41102"/>
    <w:rsid w:val="00A413B1"/>
    <w:rsid w:val="00A424F4"/>
    <w:rsid w:val="00A4277D"/>
    <w:rsid w:val="00A427BF"/>
    <w:rsid w:val="00A4296B"/>
    <w:rsid w:val="00A429B8"/>
    <w:rsid w:val="00A42BDC"/>
    <w:rsid w:val="00A4406F"/>
    <w:rsid w:val="00A44901"/>
    <w:rsid w:val="00A449CB"/>
    <w:rsid w:val="00A45066"/>
    <w:rsid w:val="00A45629"/>
    <w:rsid w:val="00A45B79"/>
    <w:rsid w:val="00A460B6"/>
    <w:rsid w:val="00A47345"/>
    <w:rsid w:val="00A47CE8"/>
    <w:rsid w:val="00A47DB5"/>
    <w:rsid w:val="00A50831"/>
    <w:rsid w:val="00A50A48"/>
    <w:rsid w:val="00A51447"/>
    <w:rsid w:val="00A516DC"/>
    <w:rsid w:val="00A51A7F"/>
    <w:rsid w:val="00A5278F"/>
    <w:rsid w:val="00A52D0F"/>
    <w:rsid w:val="00A52FD9"/>
    <w:rsid w:val="00A533AC"/>
    <w:rsid w:val="00A54A49"/>
    <w:rsid w:val="00A54DDE"/>
    <w:rsid w:val="00A54E42"/>
    <w:rsid w:val="00A550D8"/>
    <w:rsid w:val="00A55307"/>
    <w:rsid w:val="00A5591B"/>
    <w:rsid w:val="00A56005"/>
    <w:rsid w:val="00A563B8"/>
    <w:rsid w:val="00A57515"/>
    <w:rsid w:val="00A5792E"/>
    <w:rsid w:val="00A60441"/>
    <w:rsid w:val="00A607DE"/>
    <w:rsid w:val="00A609B5"/>
    <w:rsid w:val="00A61062"/>
    <w:rsid w:val="00A6141C"/>
    <w:rsid w:val="00A61AA3"/>
    <w:rsid w:val="00A61CFA"/>
    <w:rsid w:val="00A621C2"/>
    <w:rsid w:val="00A62862"/>
    <w:rsid w:val="00A62BA3"/>
    <w:rsid w:val="00A63CDD"/>
    <w:rsid w:val="00A641D7"/>
    <w:rsid w:val="00A647C9"/>
    <w:rsid w:val="00A64E74"/>
    <w:rsid w:val="00A650D5"/>
    <w:rsid w:val="00A6513A"/>
    <w:rsid w:val="00A6598C"/>
    <w:rsid w:val="00A6599C"/>
    <w:rsid w:val="00A6619F"/>
    <w:rsid w:val="00A661DF"/>
    <w:rsid w:val="00A661E6"/>
    <w:rsid w:val="00A6693E"/>
    <w:rsid w:val="00A66AAC"/>
    <w:rsid w:val="00A66F3E"/>
    <w:rsid w:val="00A67D5E"/>
    <w:rsid w:val="00A70680"/>
    <w:rsid w:val="00A706ED"/>
    <w:rsid w:val="00A7095A"/>
    <w:rsid w:val="00A709D8"/>
    <w:rsid w:val="00A70B6D"/>
    <w:rsid w:val="00A70E5A"/>
    <w:rsid w:val="00A71152"/>
    <w:rsid w:val="00A71E3A"/>
    <w:rsid w:val="00A72601"/>
    <w:rsid w:val="00A7306B"/>
    <w:rsid w:val="00A733B8"/>
    <w:rsid w:val="00A73B02"/>
    <w:rsid w:val="00A746F9"/>
    <w:rsid w:val="00A74F80"/>
    <w:rsid w:val="00A75429"/>
    <w:rsid w:val="00A7556E"/>
    <w:rsid w:val="00A75891"/>
    <w:rsid w:val="00A75C4B"/>
    <w:rsid w:val="00A765F6"/>
    <w:rsid w:val="00A76BD6"/>
    <w:rsid w:val="00A77BB9"/>
    <w:rsid w:val="00A80689"/>
    <w:rsid w:val="00A80EC3"/>
    <w:rsid w:val="00A81733"/>
    <w:rsid w:val="00A82081"/>
    <w:rsid w:val="00A822BF"/>
    <w:rsid w:val="00A82449"/>
    <w:rsid w:val="00A8269C"/>
    <w:rsid w:val="00A83310"/>
    <w:rsid w:val="00A83CE6"/>
    <w:rsid w:val="00A83CE7"/>
    <w:rsid w:val="00A84061"/>
    <w:rsid w:val="00A84558"/>
    <w:rsid w:val="00A84770"/>
    <w:rsid w:val="00A84ACE"/>
    <w:rsid w:val="00A855DD"/>
    <w:rsid w:val="00A85D67"/>
    <w:rsid w:val="00A8627E"/>
    <w:rsid w:val="00A866FF"/>
    <w:rsid w:val="00A867EF"/>
    <w:rsid w:val="00A86C17"/>
    <w:rsid w:val="00A86E6E"/>
    <w:rsid w:val="00A872A3"/>
    <w:rsid w:val="00A87685"/>
    <w:rsid w:val="00A87F9F"/>
    <w:rsid w:val="00A9002B"/>
    <w:rsid w:val="00A91077"/>
    <w:rsid w:val="00A912C7"/>
    <w:rsid w:val="00A91404"/>
    <w:rsid w:val="00A91808"/>
    <w:rsid w:val="00A92A2E"/>
    <w:rsid w:val="00A94B55"/>
    <w:rsid w:val="00A94C74"/>
    <w:rsid w:val="00A94D3A"/>
    <w:rsid w:val="00A953A7"/>
    <w:rsid w:val="00A95592"/>
    <w:rsid w:val="00A95680"/>
    <w:rsid w:val="00A95BAD"/>
    <w:rsid w:val="00A95D7C"/>
    <w:rsid w:val="00A95D8B"/>
    <w:rsid w:val="00A9630C"/>
    <w:rsid w:val="00A97289"/>
    <w:rsid w:val="00A972B7"/>
    <w:rsid w:val="00A97651"/>
    <w:rsid w:val="00A97E35"/>
    <w:rsid w:val="00A97F2E"/>
    <w:rsid w:val="00AA011C"/>
    <w:rsid w:val="00AA07E2"/>
    <w:rsid w:val="00AA10F7"/>
    <w:rsid w:val="00AA16C1"/>
    <w:rsid w:val="00AA16FE"/>
    <w:rsid w:val="00AA278F"/>
    <w:rsid w:val="00AA3763"/>
    <w:rsid w:val="00AA4106"/>
    <w:rsid w:val="00AA43F2"/>
    <w:rsid w:val="00AA57E2"/>
    <w:rsid w:val="00AA7A5B"/>
    <w:rsid w:val="00AB0162"/>
    <w:rsid w:val="00AB021A"/>
    <w:rsid w:val="00AB02D5"/>
    <w:rsid w:val="00AB0B07"/>
    <w:rsid w:val="00AB0F6F"/>
    <w:rsid w:val="00AB13BD"/>
    <w:rsid w:val="00AB1544"/>
    <w:rsid w:val="00AB18E3"/>
    <w:rsid w:val="00AB2769"/>
    <w:rsid w:val="00AB2B00"/>
    <w:rsid w:val="00AB2B1E"/>
    <w:rsid w:val="00AB2F2C"/>
    <w:rsid w:val="00AB3976"/>
    <w:rsid w:val="00AB3BE2"/>
    <w:rsid w:val="00AB3D11"/>
    <w:rsid w:val="00AB4695"/>
    <w:rsid w:val="00AB46E4"/>
    <w:rsid w:val="00AB4A30"/>
    <w:rsid w:val="00AB4A36"/>
    <w:rsid w:val="00AB538A"/>
    <w:rsid w:val="00AB5543"/>
    <w:rsid w:val="00AB5782"/>
    <w:rsid w:val="00AB5786"/>
    <w:rsid w:val="00AB5C04"/>
    <w:rsid w:val="00AB6425"/>
    <w:rsid w:val="00AB69EF"/>
    <w:rsid w:val="00AB6ACA"/>
    <w:rsid w:val="00AB6D03"/>
    <w:rsid w:val="00AB6D9B"/>
    <w:rsid w:val="00AB7305"/>
    <w:rsid w:val="00AB7797"/>
    <w:rsid w:val="00AB7BC6"/>
    <w:rsid w:val="00AB7C0C"/>
    <w:rsid w:val="00AC001C"/>
    <w:rsid w:val="00AC04E6"/>
    <w:rsid w:val="00AC07D3"/>
    <w:rsid w:val="00AC0AF8"/>
    <w:rsid w:val="00AC0C49"/>
    <w:rsid w:val="00AC0F0D"/>
    <w:rsid w:val="00AC300B"/>
    <w:rsid w:val="00AC3B1A"/>
    <w:rsid w:val="00AC3DBB"/>
    <w:rsid w:val="00AC3FFA"/>
    <w:rsid w:val="00AC420B"/>
    <w:rsid w:val="00AC4227"/>
    <w:rsid w:val="00AC4A51"/>
    <w:rsid w:val="00AC4F4C"/>
    <w:rsid w:val="00AC4F6B"/>
    <w:rsid w:val="00AC5679"/>
    <w:rsid w:val="00AC56CC"/>
    <w:rsid w:val="00AC61DD"/>
    <w:rsid w:val="00AC68BF"/>
    <w:rsid w:val="00AC6B1B"/>
    <w:rsid w:val="00AC780A"/>
    <w:rsid w:val="00AC784C"/>
    <w:rsid w:val="00AC79A5"/>
    <w:rsid w:val="00AC7DFE"/>
    <w:rsid w:val="00AC7F1E"/>
    <w:rsid w:val="00AD068D"/>
    <w:rsid w:val="00AD075A"/>
    <w:rsid w:val="00AD0784"/>
    <w:rsid w:val="00AD0874"/>
    <w:rsid w:val="00AD140F"/>
    <w:rsid w:val="00AD19C7"/>
    <w:rsid w:val="00AD2488"/>
    <w:rsid w:val="00AD28CE"/>
    <w:rsid w:val="00AD2A51"/>
    <w:rsid w:val="00AD2FAE"/>
    <w:rsid w:val="00AD3B4E"/>
    <w:rsid w:val="00AD3D52"/>
    <w:rsid w:val="00AD42F5"/>
    <w:rsid w:val="00AD4512"/>
    <w:rsid w:val="00AD48E3"/>
    <w:rsid w:val="00AD4FA5"/>
    <w:rsid w:val="00AD53A7"/>
    <w:rsid w:val="00AD55D4"/>
    <w:rsid w:val="00AD5AA1"/>
    <w:rsid w:val="00AD6492"/>
    <w:rsid w:val="00AD6DDA"/>
    <w:rsid w:val="00AD6FA2"/>
    <w:rsid w:val="00AD76D7"/>
    <w:rsid w:val="00AD7957"/>
    <w:rsid w:val="00AE032C"/>
    <w:rsid w:val="00AE0975"/>
    <w:rsid w:val="00AE14CE"/>
    <w:rsid w:val="00AE2575"/>
    <w:rsid w:val="00AE29F1"/>
    <w:rsid w:val="00AE2E3A"/>
    <w:rsid w:val="00AE46E8"/>
    <w:rsid w:val="00AE4872"/>
    <w:rsid w:val="00AE5106"/>
    <w:rsid w:val="00AE56CB"/>
    <w:rsid w:val="00AE5B77"/>
    <w:rsid w:val="00AE5C23"/>
    <w:rsid w:val="00AE62D4"/>
    <w:rsid w:val="00AE6969"/>
    <w:rsid w:val="00AE6E68"/>
    <w:rsid w:val="00AE6E78"/>
    <w:rsid w:val="00AE6E89"/>
    <w:rsid w:val="00AE7134"/>
    <w:rsid w:val="00AE76A7"/>
    <w:rsid w:val="00AE7EF3"/>
    <w:rsid w:val="00AF00EE"/>
    <w:rsid w:val="00AF0C6A"/>
    <w:rsid w:val="00AF0E89"/>
    <w:rsid w:val="00AF16B6"/>
    <w:rsid w:val="00AF18A4"/>
    <w:rsid w:val="00AF1BD9"/>
    <w:rsid w:val="00AF1D4D"/>
    <w:rsid w:val="00AF3FDA"/>
    <w:rsid w:val="00AF416A"/>
    <w:rsid w:val="00AF432B"/>
    <w:rsid w:val="00AF482E"/>
    <w:rsid w:val="00AF5713"/>
    <w:rsid w:val="00AF5A9D"/>
    <w:rsid w:val="00AF5E87"/>
    <w:rsid w:val="00AF6427"/>
    <w:rsid w:val="00AF67B0"/>
    <w:rsid w:val="00AF6CFC"/>
    <w:rsid w:val="00AF7345"/>
    <w:rsid w:val="00AF7583"/>
    <w:rsid w:val="00AF7EDB"/>
    <w:rsid w:val="00B0084A"/>
    <w:rsid w:val="00B00990"/>
    <w:rsid w:val="00B0174D"/>
    <w:rsid w:val="00B01C23"/>
    <w:rsid w:val="00B020F7"/>
    <w:rsid w:val="00B02281"/>
    <w:rsid w:val="00B023A3"/>
    <w:rsid w:val="00B02804"/>
    <w:rsid w:val="00B02BB7"/>
    <w:rsid w:val="00B0417A"/>
    <w:rsid w:val="00B05285"/>
    <w:rsid w:val="00B054EF"/>
    <w:rsid w:val="00B071FE"/>
    <w:rsid w:val="00B077D9"/>
    <w:rsid w:val="00B079B4"/>
    <w:rsid w:val="00B102F1"/>
    <w:rsid w:val="00B10338"/>
    <w:rsid w:val="00B10697"/>
    <w:rsid w:val="00B1096A"/>
    <w:rsid w:val="00B10A1E"/>
    <w:rsid w:val="00B11C55"/>
    <w:rsid w:val="00B12617"/>
    <w:rsid w:val="00B127E7"/>
    <w:rsid w:val="00B1284F"/>
    <w:rsid w:val="00B12AD8"/>
    <w:rsid w:val="00B13C9F"/>
    <w:rsid w:val="00B13D35"/>
    <w:rsid w:val="00B1528E"/>
    <w:rsid w:val="00B159E5"/>
    <w:rsid w:val="00B15CD9"/>
    <w:rsid w:val="00B1630C"/>
    <w:rsid w:val="00B16542"/>
    <w:rsid w:val="00B165CD"/>
    <w:rsid w:val="00B172CA"/>
    <w:rsid w:val="00B17CA2"/>
    <w:rsid w:val="00B17FF4"/>
    <w:rsid w:val="00B202D3"/>
    <w:rsid w:val="00B20351"/>
    <w:rsid w:val="00B2067D"/>
    <w:rsid w:val="00B20A0E"/>
    <w:rsid w:val="00B20BBD"/>
    <w:rsid w:val="00B21BD5"/>
    <w:rsid w:val="00B21F08"/>
    <w:rsid w:val="00B22194"/>
    <w:rsid w:val="00B22951"/>
    <w:rsid w:val="00B2304B"/>
    <w:rsid w:val="00B24066"/>
    <w:rsid w:val="00B2433B"/>
    <w:rsid w:val="00B24354"/>
    <w:rsid w:val="00B24A78"/>
    <w:rsid w:val="00B24A9C"/>
    <w:rsid w:val="00B25AE5"/>
    <w:rsid w:val="00B26A3C"/>
    <w:rsid w:val="00B26AD2"/>
    <w:rsid w:val="00B27052"/>
    <w:rsid w:val="00B2749F"/>
    <w:rsid w:val="00B27890"/>
    <w:rsid w:val="00B303D9"/>
    <w:rsid w:val="00B30622"/>
    <w:rsid w:val="00B307AE"/>
    <w:rsid w:val="00B307CD"/>
    <w:rsid w:val="00B30B50"/>
    <w:rsid w:val="00B30EE1"/>
    <w:rsid w:val="00B317CB"/>
    <w:rsid w:val="00B31FDA"/>
    <w:rsid w:val="00B32334"/>
    <w:rsid w:val="00B32613"/>
    <w:rsid w:val="00B33124"/>
    <w:rsid w:val="00B33129"/>
    <w:rsid w:val="00B338E1"/>
    <w:rsid w:val="00B343D7"/>
    <w:rsid w:val="00B3445B"/>
    <w:rsid w:val="00B34B3D"/>
    <w:rsid w:val="00B34CBF"/>
    <w:rsid w:val="00B35004"/>
    <w:rsid w:val="00B35D94"/>
    <w:rsid w:val="00B35EA3"/>
    <w:rsid w:val="00B3616C"/>
    <w:rsid w:val="00B361CB"/>
    <w:rsid w:val="00B367ED"/>
    <w:rsid w:val="00B3701F"/>
    <w:rsid w:val="00B370AE"/>
    <w:rsid w:val="00B37643"/>
    <w:rsid w:val="00B37EE3"/>
    <w:rsid w:val="00B41952"/>
    <w:rsid w:val="00B42344"/>
    <w:rsid w:val="00B425D2"/>
    <w:rsid w:val="00B426F3"/>
    <w:rsid w:val="00B42D70"/>
    <w:rsid w:val="00B42F25"/>
    <w:rsid w:val="00B443B1"/>
    <w:rsid w:val="00B44891"/>
    <w:rsid w:val="00B44D01"/>
    <w:rsid w:val="00B44D05"/>
    <w:rsid w:val="00B44D82"/>
    <w:rsid w:val="00B44E0F"/>
    <w:rsid w:val="00B44ED0"/>
    <w:rsid w:val="00B4512E"/>
    <w:rsid w:val="00B45D05"/>
    <w:rsid w:val="00B45F3E"/>
    <w:rsid w:val="00B46A75"/>
    <w:rsid w:val="00B47821"/>
    <w:rsid w:val="00B47B61"/>
    <w:rsid w:val="00B47BBC"/>
    <w:rsid w:val="00B501F5"/>
    <w:rsid w:val="00B501FD"/>
    <w:rsid w:val="00B50437"/>
    <w:rsid w:val="00B50B1A"/>
    <w:rsid w:val="00B50E8A"/>
    <w:rsid w:val="00B512F5"/>
    <w:rsid w:val="00B519CC"/>
    <w:rsid w:val="00B51BB2"/>
    <w:rsid w:val="00B51CD1"/>
    <w:rsid w:val="00B52A67"/>
    <w:rsid w:val="00B52B51"/>
    <w:rsid w:val="00B52B59"/>
    <w:rsid w:val="00B53E59"/>
    <w:rsid w:val="00B54481"/>
    <w:rsid w:val="00B553DC"/>
    <w:rsid w:val="00B55693"/>
    <w:rsid w:val="00B55E2E"/>
    <w:rsid w:val="00B57829"/>
    <w:rsid w:val="00B57FFE"/>
    <w:rsid w:val="00B6032C"/>
    <w:rsid w:val="00B604FB"/>
    <w:rsid w:val="00B606C4"/>
    <w:rsid w:val="00B610B5"/>
    <w:rsid w:val="00B61BE1"/>
    <w:rsid w:val="00B61CAC"/>
    <w:rsid w:val="00B62C65"/>
    <w:rsid w:val="00B638C3"/>
    <w:rsid w:val="00B6469E"/>
    <w:rsid w:val="00B64AC3"/>
    <w:rsid w:val="00B64B01"/>
    <w:rsid w:val="00B64B02"/>
    <w:rsid w:val="00B6507F"/>
    <w:rsid w:val="00B651E9"/>
    <w:rsid w:val="00B6678D"/>
    <w:rsid w:val="00B66840"/>
    <w:rsid w:val="00B668D9"/>
    <w:rsid w:val="00B66944"/>
    <w:rsid w:val="00B66CC2"/>
    <w:rsid w:val="00B66D7A"/>
    <w:rsid w:val="00B67AAD"/>
    <w:rsid w:val="00B67F2F"/>
    <w:rsid w:val="00B70910"/>
    <w:rsid w:val="00B709DB"/>
    <w:rsid w:val="00B70D5A"/>
    <w:rsid w:val="00B70F44"/>
    <w:rsid w:val="00B72663"/>
    <w:rsid w:val="00B727C1"/>
    <w:rsid w:val="00B72848"/>
    <w:rsid w:val="00B73273"/>
    <w:rsid w:val="00B7352C"/>
    <w:rsid w:val="00B7360C"/>
    <w:rsid w:val="00B73636"/>
    <w:rsid w:val="00B73AAB"/>
    <w:rsid w:val="00B73BE6"/>
    <w:rsid w:val="00B73D11"/>
    <w:rsid w:val="00B73DA8"/>
    <w:rsid w:val="00B73E69"/>
    <w:rsid w:val="00B73FDF"/>
    <w:rsid w:val="00B742C8"/>
    <w:rsid w:val="00B74508"/>
    <w:rsid w:val="00B745CE"/>
    <w:rsid w:val="00B74773"/>
    <w:rsid w:val="00B74CA6"/>
    <w:rsid w:val="00B75791"/>
    <w:rsid w:val="00B75A4E"/>
    <w:rsid w:val="00B75CCA"/>
    <w:rsid w:val="00B75FFD"/>
    <w:rsid w:val="00B766DD"/>
    <w:rsid w:val="00B76D15"/>
    <w:rsid w:val="00B77152"/>
    <w:rsid w:val="00B77587"/>
    <w:rsid w:val="00B77675"/>
    <w:rsid w:val="00B77846"/>
    <w:rsid w:val="00B77D3A"/>
    <w:rsid w:val="00B77F76"/>
    <w:rsid w:val="00B800BA"/>
    <w:rsid w:val="00B801BD"/>
    <w:rsid w:val="00B801C5"/>
    <w:rsid w:val="00B8034C"/>
    <w:rsid w:val="00B80534"/>
    <w:rsid w:val="00B80B0C"/>
    <w:rsid w:val="00B817E6"/>
    <w:rsid w:val="00B81A56"/>
    <w:rsid w:val="00B8268F"/>
    <w:rsid w:val="00B828D6"/>
    <w:rsid w:val="00B82E36"/>
    <w:rsid w:val="00B8335C"/>
    <w:rsid w:val="00B835F7"/>
    <w:rsid w:val="00B8400D"/>
    <w:rsid w:val="00B84715"/>
    <w:rsid w:val="00B84789"/>
    <w:rsid w:val="00B84A89"/>
    <w:rsid w:val="00B84BDF"/>
    <w:rsid w:val="00B84E44"/>
    <w:rsid w:val="00B84F17"/>
    <w:rsid w:val="00B84F18"/>
    <w:rsid w:val="00B856DC"/>
    <w:rsid w:val="00B85E55"/>
    <w:rsid w:val="00B86349"/>
    <w:rsid w:val="00B863F7"/>
    <w:rsid w:val="00B86811"/>
    <w:rsid w:val="00B86911"/>
    <w:rsid w:val="00B86D9D"/>
    <w:rsid w:val="00B87A53"/>
    <w:rsid w:val="00B87C3B"/>
    <w:rsid w:val="00B87EF5"/>
    <w:rsid w:val="00B87F0A"/>
    <w:rsid w:val="00B87F98"/>
    <w:rsid w:val="00B901F3"/>
    <w:rsid w:val="00B909D5"/>
    <w:rsid w:val="00B90C5C"/>
    <w:rsid w:val="00B90EEF"/>
    <w:rsid w:val="00B911C3"/>
    <w:rsid w:val="00B92CAA"/>
    <w:rsid w:val="00B92F56"/>
    <w:rsid w:val="00B9358B"/>
    <w:rsid w:val="00B9372C"/>
    <w:rsid w:val="00B93BE2"/>
    <w:rsid w:val="00B9448A"/>
    <w:rsid w:val="00B947E9"/>
    <w:rsid w:val="00B94F50"/>
    <w:rsid w:val="00B95B33"/>
    <w:rsid w:val="00B96351"/>
    <w:rsid w:val="00B96AE8"/>
    <w:rsid w:val="00BA05A4"/>
    <w:rsid w:val="00BA0BD7"/>
    <w:rsid w:val="00BA12A2"/>
    <w:rsid w:val="00BA1396"/>
    <w:rsid w:val="00BA14AA"/>
    <w:rsid w:val="00BA1B4F"/>
    <w:rsid w:val="00BA1D3A"/>
    <w:rsid w:val="00BA2015"/>
    <w:rsid w:val="00BA303B"/>
    <w:rsid w:val="00BA4981"/>
    <w:rsid w:val="00BA4E31"/>
    <w:rsid w:val="00BA4F31"/>
    <w:rsid w:val="00BA4FCC"/>
    <w:rsid w:val="00BA56A6"/>
    <w:rsid w:val="00BA585C"/>
    <w:rsid w:val="00BA7B28"/>
    <w:rsid w:val="00BB02C1"/>
    <w:rsid w:val="00BB03F9"/>
    <w:rsid w:val="00BB068D"/>
    <w:rsid w:val="00BB143A"/>
    <w:rsid w:val="00BB1497"/>
    <w:rsid w:val="00BB20D9"/>
    <w:rsid w:val="00BB2469"/>
    <w:rsid w:val="00BB27BE"/>
    <w:rsid w:val="00BB2C8D"/>
    <w:rsid w:val="00BB3D2E"/>
    <w:rsid w:val="00BB3EDF"/>
    <w:rsid w:val="00BB4835"/>
    <w:rsid w:val="00BB4BD6"/>
    <w:rsid w:val="00BB4C5C"/>
    <w:rsid w:val="00BB4E18"/>
    <w:rsid w:val="00BB4F74"/>
    <w:rsid w:val="00BB50BA"/>
    <w:rsid w:val="00BB5CEE"/>
    <w:rsid w:val="00BB698F"/>
    <w:rsid w:val="00BB69DA"/>
    <w:rsid w:val="00BB71E9"/>
    <w:rsid w:val="00BB7AAA"/>
    <w:rsid w:val="00BC038F"/>
    <w:rsid w:val="00BC0A72"/>
    <w:rsid w:val="00BC1697"/>
    <w:rsid w:val="00BC171F"/>
    <w:rsid w:val="00BC18B5"/>
    <w:rsid w:val="00BC1EF7"/>
    <w:rsid w:val="00BC363E"/>
    <w:rsid w:val="00BC3780"/>
    <w:rsid w:val="00BC3A26"/>
    <w:rsid w:val="00BC3BE9"/>
    <w:rsid w:val="00BC443B"/>
    <w:rsid w:val="00BC47DC"/>
    <w:rsid w:val="00BC4C8E"/>
    <w:rsid w:val="00BC5124"/>
    <w:rsid w:val="00BC5BC2"/>
    <w:rsid w:val="00BC6128"/>
    <w:rsid w:val="00BC6151"/>
    <w:rsid w:val="00BC6380"/>
    <w:rsid w:val="00BC63F7"/>
    <w:rsid w:val="00BC6D8C"/>
    <w:rsid w:val="00BC75A3"/>
    <w:rsid w:val="00BC7B34"/>
    <w:rsid w:val="00BC7DEF"/>
    <w:rsid w:val="00BD0093"/>
    <w:rsid w:val="00BD0FD6"/>
    <w:rsid w:val="00BD1EB9"/>
    <w:rsid w:val="00BD3277"/>
    <w:rsid w:val="00BD3E16"/>
    <w:rsid w:val="00BD466B"/>
    <w:rsid w:val="00BD4A2D"/>
    <w:rsid w:val="00BD4EBA"/>
    <w:rsid w:val="00BD57EB"/>
    <w:rsid w:val="00BD5EF6"/>
    <w:rsid w:val="00BD61FC"/>
    <w:rsid w:val="00BD668D"/>
    <w:rsid w:val="00BD6B48"/>
    <w:rsid w:val="00BD6E4D"/>
    <w:rsid w:val="00BD6F2D"/>
    <w:rsid w:val="00BD7195"/>
    <w:rsid w:val="00BD7518"/>
    <w:rsid w:val="00BE020D"/>
    <w:rsid w:val="00BE08C4"/>
    <w:rsid w:val="00BE0BB8"/>
    <w:rsid w:val="00BE1181"/>
    <w:rsid w:val="00BE12E4"/>
    <w:rsid w:val="00BE1389"/>
    <w:rsid w:val="00BE14A7"/>
    <w:rsid w:val="00BE1542"/>
    <w:rsid w:val="00BE1BA4"/>
    <w:rsid w:val="00BE1F6A"/>
    <w:rsid w:val="00BE2281"/>
    <w:rsid w:val="00BE22DF"/>
    <w:rsid w:val="00BE2B91"/>
    <w:rsid w:val="00BE3366"/>
    <w:rsid w:val="00BE4364"/>
    <w:rsid w:val="00BE465F"/>
    <w:rsid w:val="00BE56D7"/>
    <w:rsid w:val="00BE5F9A"/>
    <w:rsid w:val="00BE61AA"/>
    <w:rsid w:val="00BE7781"/>
    <w:rsid w:val="00BF0301"/>
    <w:rsid w:val="00BF1265"/>
    <w:rsid w:val="00BF15F4"/>
    <w:rsid w:val="00BF1718"/>
    <w:rsid w:val="00BF18DA"/>
    <w:rsid w:val="00BF1BC1"/>
    <w:rsid w:val="00BF1E2C"/>
    <w:rsid w:val="00BF25FB"/>
    <w:rsid w:val="00BF2607"/>
    <w:rsid w:val="00BF2742"/>
    <w:rsid w:val="00BF2C86"/>
    <w:rsid w:val="00BF2DAD"/>
    <w:rsid w:val="00BF2E20"/>
    <w:rsid w:val="00BF3037"/>
    <w:rsid w:val="00BF3D2B"/>
    <w:rsid w:val="00BF3F7B"/>
    <w:rsid w:val="00BF3FFF"/>
    <w:rsid w:val="00BF4247"/>
    <w:rsid w:val="00BF52A9"/>
    <w:rsid w:val="00BF5311"/>
    <w:rsid w:val="00BF5F3D"/>
    <w:rsid w:val="00BF61DD"/>
    <w:rsid w:val="00BF6321"/>
    <w:rsid w:val="00C004D4"/>
    <w:rsid w:val="00C0060D"/>
    <w:rsid w:val="00C006CB"/>
    <w:rsid w:val="00C00A50"/>
    <w:rsid w:val="00C018A8"/>
    <w:rsid w:val="00C01CF7"/>
    <w:rsid w:val="00C029D4"/>
    <w:rsid w:val="00C029EE"/>
    <w:rsid w:val="00C03071"/>
    <w:rsid w:val="00C03D1E"/>
    <w:rsid w:val="00C03F5D"/>
    <w:rsid w:val="00C03FAF"/>
    <w:rsid w:val="00C04402"/>
    <w:rsid w:val="00C04D45"/>
    <w:rsid w:val="00C05630"/>
    <w:rsid w:val="00C05664"/>
    <w:rsid w:val="00C05C14"/>
    <w:rsid w:val="00C05F8A"/>
    <w:rsid w:val="00C06660"/>
    <w:rsid w:val="00C069A1"/>
    <w:rsid w:val="00C06DC1"/>
    <w:rsid w:val="00C06DEB"/>
    <w:rsid w:val="00C0767A"/>
    <w:rsid w:val="00C11390"/>
    <w:rsid w:val="00C1146E"/>
    <w:rsid w:val="00C11A4E"/>
    <w:rsid w:val="00C12EF0"/>
    <w:rsid w:val="00C14180"/>
    <w:rsid w:val="00C14936"/>
    <w:rsid w:val="00C14DC3"/>
    <w:rsid w:val="00C154E4"/>
    <w:rsid w:val="00C1559C"/>
    <w:rsid w:val="00C155A3"/>
    <w:rsid w:val="00C15B84"/>
    <w:rsid w:val="00C15BFC"/>
    <w:rsid w:val="00C16270"/>
    <w:rsid w:val="00C164A0"/>
    <w:rsid w:val="00C1686F"/>
    <w:rsid w:val="00C16A4A"/>
    <w:rsid w:val="00C16A5C"/>
    <w:rsid w:val="00C16C03"/>
    <w:rsid w:val="00C16CB2"/>
    <w:rsid w:val="00C17A55"/>
    <w:rsid w:val="00C17C51"/>
    <w:rsid w:val="00C20317"/>
    <w:rsid w:val="00C209E1"/>
    <w:rsid w:val="00C2122B"/>
    <w:rsid w:val="00C2180C"/>
    <w:rsid w:val="00C21D7A"/>
    <w:rsid w:val="00C22276"/>
    <w:rsid w:val="00C22B46"/>
    <w:rsid w:val="00C22F1B"/>
    <w:rsid w:val="00C22F22"/>
    <w:rsid w:val="00C2303D"/>
    <w:rsid w:val="00C23B0E"/>
    <w:rsid w:val="00C23CA3"/>
    <w:rsid w:val="00C24B41"/>
    <w:rsid w:val="00C24C19"/>
    <w:rsid w:val="00C24CCC"/>
    <w:rsid w:val="00C24D52"/>
    <w:rsid w:val="00C25B08"/>
    <w:rsid w:val="00C26A97"/>
    <w:rsid w:val="00C26F20"/>
    <w:rsid w:val="00C27DA0"/>
    <w:rsid w:val="00C27E03"/>
    <w:rsid w:val="00C308F4"/>
    <w:rsid w:val="00C30A46"/>
    <w:rsid w:val="00C30BF1"/>
    <w:rsid w:val="00C30EA3"/>
    <w:rsid w:val="00C316F6"/>
    <w:rsid w:val="00C31B3F"/>
    <w:rsid w:val="00C31FE7"/>
    <w:rsid w:val="00C323FD"/>
    <w:rsid w:val="00C3287D"/>
    <w:rsid w:val="00C33B4A"/>
    <w:rsid w:val="00C33C45"/>
    <w:rsid w:val="00C3435C"/>
    <w:rsid w:val="00C344C0"/>
    <w:rsid w:val="00C34D50"/>
    <w:rsid w:val="00C35D17"/>
    <w:rsid w:val="00C35DBE"/>
    <w:rsid w:val="00C361C7"/>
    <w:rsid w:val="00C36457"/>
    <w:rsid w:val="00C36792"/>
    <w:rsid w:val="00C36CF2"/>
    <w:rsid w:val="00C3734B"/>
    <w:rsid w:val="00C37537"/>
    <w:rsid w:val="00C37867"/>
    <w:rsid w:val="00C37890"/>
    <w:rsid w:val="00C40ACC"/>
    <w:rsid w:val="00C40BE1"/>
    <w:rsid w:val="00C41136"/>
    <w:rsid w:val="00C41165"/>
    <w:rsid w:val="00C41C5E"/>
    <w:rsid w:val="00C41E5C"/>
    <w:rsid w:val="00C423FF"/>
    <w:rsid w:val="00C425AA"/>
    <w:rsid w:val="00C42812"/>
    <w:rsid w:val="00C42EF7"/>
    <w:rsid w:val="00C438F4"/>
    <w:rsid w:val="00C43956"/>
    <w:rsid w:val="00C4463A"/>
    <w:rsid w:val="00C44727"/>
    <w:rsid w:val="00C44C99"/>
    <w:rsid w:val="00C4554B"/>
    <w:rsid w:val="00C465D8"/>
    <w:rsid w:val="00C467C9"/>
    <w:rsid w:val="00C47AE9"/>
    <w:rsid w:val="00C47B8E"/>
    <w:rsid w:val="00C47D07"/>
    <w:rsid w:val="00C47D62"/>
    <w:rsid w:val="00C50450"/>
    <w:rsid w:val="00C50BC5"/>
    <w:rsid w:val="00C50E7D"/>
    <w:rsid w:val="00C51634"/>
    <w:rsid w:val="00C51A73"/>
    <w:rsid w:val="00C520B7"/>
    <w:rsid w:val="00C53650"/>
    <w:rsid w:val="00C53A1A"/>
    <w:rsid w:val="00C53B71"/>
    <w:rsid w:val="00C543B1"/>
    <w:rsid w:val="00C545C7"/>
    <w:rsid w:val="00C54E32"/>
    <w:rsid w:val="00C55234"/>
    <w:rsid w:val="00C55367"/>
    <w:rsid w:val="00C55ABA"/>
    <w:rsid w:val="00C55EE1"/>
    <w:rsid w:val="00C56EA8"/>
    <w:rsid w:val="00C5759E"/>
    <w:rsid w:val="00C57D7A"/>
    <w:rsid w:val="00C57D7F"/>
    <w:rsid w:val="00C608CF"/>
    <w:rsid w:val="00C60E8D"/>
    <w:rsid w:val="00C61016"/>
    <w:rsid w:val="00C61255"/>
    <w:rsid w:val="00C61765"/>
    <w:rsid w:val="00C61A17"/>
    <w:rsid w:val="00C61C89"/>
    <w:rsid w:val="00C61D37"/>
    <w:rsid w:val="00C62B18"/>
    <w:rsid w:val="00C632C1"/>
    <w:rsid w:val="00C63382"/>
    <w:rsid w:val="00C636F6"/>
    <w:rsid w:val="00C63DF5"/>
    <w:rsid w:val="00C63F94"/>
    <w:rsid w:val="00C64D71"/>
    <w:rsid w:val="00C64E62"/>
    <w:rsid w:val="00C65DBA"/>
    <w:rsid w:val="00C66B2E"/>
    <w:rsid w:val="00C67448"/>
    <w:rsid w:val="00C70281"/>
    <w:rsid w:val="00C705BC"/>
    <w:rsid w:val="00C70CDF"/>
    <w:rsid w:val="00C71609"/>
    <w:rsid w:val="00C718BF"/>
    <w:rsid w:val="00C71F97"/>
    <w:rsid w:val="00C7248D"/>
    <w:rsid w:val="00C746B6"/>
    <w:rsid w:val="00C74771"/>
    <w:rsid w:val="00C750F2"/>
    <w:rsid w:val="00C75121"/>
    <w:rsid w:val="00C7517F"/>
    <w:rsid w:val="00C75324"/>
    <w:rsid w:val="00C756CE"/>
    <w:rsid w:val="00C7599A"/>
    <w:rsid w:val="00C75F7D"/>
    <w:rsid w:val="00C75F82"/>
    <w:rsid w:val="00C7649B"/>
    <w:rsid w:val="00C76741"/>
    <w:rsid w:val="00C767EA"/>
    <w:rsid w:val="00C76F66"/>
    <w:rsid w:val="00C77A19"/>
    <w:rsid w:val="00C77B3E"/>
    <w:rsid w:val="00C77FAC"/>
    <w:rsid w:val="00C804A6"/>
    <w:rsid w:val="00C80B56"/>
    <w:rsid w:val="00C81952"/>
    <w:rsid w:val="00C81A42"/>
    <w:rsid w:val="00C8229A"/>
    <w:rsid w:val="00C82567"/>
    <w:rsid w:val="00C832EA"/>
    <w:rsid w:val="00C83D0B"/>
    <w:rsid w:val="00C8476F"/>
    <w:rsid w:val="00C84A9B"/>
    <w:rsid w:val="00C84C48"/>
    <w:rsid w:val="00C85266"/>
    <w:rsid w:val="00C857CD"/>
    <w:rsid w:val="00C85ABD"/>
    <w:rsid w:val="00C863AB"/>
    <w:rsid w:val="00C86999"/>
    <w:rsid w:val="00C86F97"/>
    <w:rsid w:val="00C874E1"/>
    <w:rsid w:val="00C8786E"/>
    <w:rsid w:val="00C87E5C"/>
    <w:rsid w:val="00C90093"/>
    <w:rsid w:val="00C9046B"/>
    <w:rsid w:val="00C90F73"/>
    <w:rsid w:val="00C91517"/>
    <w:rsid w:val="00C91910"/>
    <w:rsid w:val="00C91CDC"/>
    <w:rsid w:val="00C91D8B"/>
    <w:rsid w:val="00C92EA9"/>
    <w:rsid w:val="00C934C7"/>
    <w:rsid w:val="00C93F58"/>
    <w:rsid w:val="00C94109"/>
    <w:rsid w:val="00C94E68"/>
    <w:rsid w:val="00C9547E"/>
    <w:rsid w:val="00C959ED"/>
    <w:rsid w:val="00C95DED"/>
    <w:rsid w:val="00C962E0"/>
    <w:rsid w:val="00C964CB"/>
    <w:rsid w:val="00C97BFD"/>
    <w:rsid w:val="00C97D3A"/>
    <w:rsid w:val="00C97EA5"/>
    <w:rsid w:val="00CA04EB"/>
    <w:rsid w:val="00CA08BD"/>
    <w:rsid w:val="00CA0F4E"/>
    <w:rsid w:val="00CA1279"/>
    <w:rsid w:val="00CA13BF"/>
    <w:rsid w:val="00CA2186"/>
    <w:rsid w:val="00CA27ED"/>
    <w:rsid w:val="00CA3B6C"/>
    <w:rsid w:val="00CA3C46"/>
    <w:rsid w:val="00CA426E"/>
    <w:rsid w:val="00CA43EE"/>
    <w:rsid w:val="00CA46A6"/>
    <w:rsid w:val="00CA5AB7"/>
    <w:rsid w:val="00CA5CBE"/>
    <w:rsid w:val="00CA60C0"/>
    <w:rsid w:val="00CA61D9"/>
    <w:rsid w:val="00CA662E"/>
    <w:rsid w:val="00CA6B94"/>
    <w:rsid w:val="00CA6C5C"/>
    <w:rsid w:val="00CA757D"/>
    <w:rsid w:val="00CA7B74"/>
    <w:rsid w:val="00CA7BC6"/>
    <w:rsid w:val="00CB0A22"/>
    <w:rsid w:val="00CB14C3"/>
    <w:rsid w:val="00CB1577"/>
    <w:rsid w:val="00CB2A2C"/>
    <w:rsid w:val="00CB359F"/>
    <w:rsid w:val="00CB4020"/>
    <w:rsid w:val="00CB47B1"/>
    <w:rsid w:val="00CB47B9"/>
    <w:rsid w:val="00CB4A92"/>
    <w:rsid w:val="00CB598C"/>
    <w:rsid w:val="00CB59DD"/>
    <w:rsid w:val="00CB5BBB"/>
    <w:rsid w:val="00CB6705"/>
    <w:rsid w:val="00CB6B82"/>
    <w:rsid w:val="00CB705F"/>
    <w:rsid w:val="00CB7329"/>
    <w:rsid w:val="00CB737E"/>
    <w:rsid w:val="00CB78E3"/>
    <w:rsid w:val="00CB7A4C"/>
    <w:rsid w:val="00CB7C41"/>
    <w:rsid w:val="00CC0638"/>
    <w:rsid w:val="00CC0AD3"/>
    <w:rsid w:val="00CC13DB"/>
    <w:rsid w:val="00CC1705"/>
    <w:rsid w:val="00CC1836"/>
    <w:rsid w:val="00CC1E33"/>
    <w:rsid w:val="00CC2686"/>
    <w:rsid w:val="00CC268E"/>
    <w:rsid w:val="00CC39E6"/>
    <w:rsid w:val="00CC3D3E"/>
    <w:rsid w:val="00CC3EBF"/>
    <w:rsid w:val="00CC44F5"/>
    <w:rsid w:val="00CC469C"/>
    <w:rsid w:val="00CC49F1"/>
    <w:rsid w:val="00CC4A07"/>
    <w:rsid w:val="00CC4C24"/>
    <w:rsid w:val="00CC4C54"/>
    <w:rsid w:val="00CC4DC1"/>
    <w:rsid w:val="00CC5843"/>
    <w:rsid w:val="00CC5866"/>
    <w:rsid w:val="00CC5D0B"/>
    <w:rsid w:val="00CC6094"/>
    <w:rsid w:val="00CC62BA"/>
    <w:rsid w:val="00CC650C"/>
    <w:rsid w:val="00CC7330"/>
    <w:rsid w:val="00CC743A"/>
    <w:rsid w:val="00CC768A"/>
    <w:rsid w:val="00CD00C3"/>
    <w:rsid w:val="00CD0DD4"/>
    <w:rsid w:val="00CD0E64"/>
    <w:rsid w:val="00CD17E7"/>
    <w:rsid w:val="00CD1C3F"/>
    <w:rsid w:val="00CD2A50"/>
    <w:rsid w:val="00CD32D1"/>
    <w:rsid w:val="00CD3448"/>
    <w:rsid w:val="00CD3903"/>
    <w:rsid w:val="00CD39BF"/>
    <w:rsid w:val="00CD455C"/>
    <w:rsid w:val="00CD47B2"/>
    <w:rsid w:val="00CD4B54"/>
    <w:rsid w:val="00CD4CB8"/>
    <w:rsid w:val="00CD5453"/>
    <w:rsid w:val="00CD55B1"/>
    <w:rsid w:val="00CD5680"/>
    <w:rsid w:val="00CD575A"/>
    <w:rsid w:val="00CD57D9"/>
    <w:rsid w:val="00CD60D2"/>
    <w:rsid w:val="00CD6364"/>
    <w:rsid w:val="00CD679D"/>
    <w:rsid w:val="00CD6AFB"/>
    <w:rsid w:val="00CD6C21"/>
    <w:rsid w:val="00CD6CBB"/>
    <w:rsid w:val="00CD77CB"/>
    <w:rsid w:val="00CD793D"/>
    <w:rsid w:val="00CE0020"/>
    <w:rsid w:val="00CE0082"/>
    <w:rsid w:val="00CE07BE"/>
    <w:rsid w:val="00CE0B26"/>
    <w:rsid w:val="00CE1510"/>
    <w:rsid w:val="00CE1553"/>
    <w:rsid w:val="00CE1A01"/>
    <w:rsid w:val="00CE1F17"/>
    <w:rsid w:val="00CE29C2"/>
    <w:rsid w:val="00CE2C6B"/>
    <w:rsid w:val="00CE2DCF"/>
    <w:rsid w:val="00CE3383"/>
    <w:rsid w:val="00CE35FC"/>
    <w:rsid w:val="00CE3A75"/>
    <w:rsid w:val="00CE3F63"/>
    <w:rsid w:val="00CE3F88"/>
    <w:rsid w:val="00CE4A9A"/>
    <w:rsid w:val="00CE582B"/>
    <w:rsid w:val="00CE59AD"/>
    <w:rsid w:val="00CE5FE7"/>
    <w:rsid w:val="00CE64EE"/>
    <w:rsid w:val="00CE6C83"/>
    <w:rsid w:val="00CE702F"/>
    <w:rsid w:val="00CE74EF"/>
    <w:rsid w:val="00CE789F"/>
    <w:rsid w:val="00CE7D3D"/>
    <w:rsid w:val="00CE7D5A"/>
    <w:rsid w:val="00CF0135"/>
    <w:rsid w:val="00CF09E9"/>
    <w:rsid w:val="00CF0FB4"/>
    <w:rsid w:val="00CF1D7A"/>
    <w:rsid w:val="00CF1FEC"/>
    <w:rsid w:val="00CF24CC"/>
    <w:rsid w:val="00CF452F"/>
    <w:rsid w:val="00CF489C"/>
    <w:rsid w:val="00CF6CAE"/>
    <w:rsid w:val="00CF7027"/>
    <w:rsid w:val="00CF70ED"/>
    <w:rsid w:val="00CF7D4F"/>
    <w:rsid w:val="00D0012A"/>
    <w:rsid w:val="00D00334"/>
    <w:rsid w:val="00D003FA"/>
    <w:rsid w:val="00D007CA"/>
    <w:rsid w:val="00D010B7"/>
    <w:rsid w:val="00D019DB"/>
    <w:rsid w:val="00D01BD0"/>
    <w:rsid w:val="00D01DF1"/>
    <w:rsid w:val="00D01EA0"/>
    <w:rsid w:val="00D024AD"/>
    <w:rsid w:val="00D03202"/>
    <w:rsid w:val="00D03618"/>
    <w:rsid w:val="00D0439F"/>
    <w:rsid w:val="00D04471"/>
    <w:rsid w:val="00D044A9"/>
    <w:rsid w:val="00D04C07"/>
    <w:rsid w:val="00D054CE"/>
    <w:rsid w:val="00D0682B"/>
    <w:rsid w:val="00D06D8D"/>
    <w:rsid w:val="00D06F31"/>
    <w:rsid w:val="00D07C14"/>
    <w:rsid w:val="00D10F8F"/>
    <w:rsid w:val="00D114E8"/>
    <w:rsid w:val="00D11EB4"/>
    <w:rsid w:val="00D11F2C"/>
    <w:rsid w:val="00D128FA"/>
    <w:rsid w:val="00D12B91"/>
    <w:rsid w:val="00D12EFA"/>
    <w:rsid w:val="00D13601"/>
    <w:rsid w:val="00D1375C"/>
    <w:rsid w:val="00D137EE"/>
    <w:rsid w:val="00D14130"/>
    <w:rsid w:val="00D14472"/>
    <w:rsid w:val="00D144C1"/>
    <w:rsid w:val="00D144E5"/>
    <w:rsid w:val="00D15141"/>
    <w:rsid w:val="00D15310"/>
    <w:rsid w:val="00D156E9"/>
    <w:rsid w:val="00D15EDB"/>
    <w:rsid w:val="00D1617C"/>
    <w:rsid w:val="00D171C1"/>
    <w:rsid w:val="00D17552"/>
    <w:rsid w:val="00D176D2"/>
    <w:rsid w:val="00D17B4B"/>
    <w:rsid w:val="00D17ED9"/>
    <w:rsid w:val="00D2025D"/>
    <w:rsid w:val="00D20275"/>
    <w:rsid w:val="00D2062B"/>
    <w:rsid w:val="00D206FA"/>
    <w:rsid w:val="00D20D87"/>
    <w:rsid w:val="00D20F1B"/>
    <w:rsid w:val="00D210AD"/>
    <w:rsid w:val="00D214CC"/>
    <w:rsid w:val="00D21793"/>
    <w:rsid w:val="00D2186E"/>
    <w:rsid w:val="00D21C94"/>
    <w:rsid w:val="00D21D34"/>
    <w:rsid w:val="00D222FA"/>
    <w:rsid w:val="00D22334"/>
    <w:rsid w:val="00D22CD8"/>
    <w:rsid w:val="00D22DBD"/>
    <w:rsid w:val="00D22DC6"/>
    <w:rsid w:val="00D2309E"/>
    <w:rsid w:val="00D2319D"/>
    <w:rsid w:val="00D23CA3"/>
    <w:rsid w:val="00D24442"/>
    <w:rsid w:val="00D24546"/>
    <w:rsid w:val="00D24DDC"/>
    <w:rsid w:val="00D26781"/>
    <w:rsid w:val="00D27376"/>
    <w:rsid w:val="00D274BA"/>
    <w:rsid w:val="00D27D7A"/>
    <w:rsid w:val="00D27F40"/>
    <w:rsid w:val="00D301A3"/>
    <w:rsid w:val="00D30A5F"/>
    <w:rsid w:val="00D30CF1"/>
    <w:rsid w:val="00D327EA"/>
    <w:rsid w:val="00D32836"/>
    <w:rsid w:val="00D32DA8"/>
    <w:rsid w:val="00D32DDF"/>
    <w:rsid w:val="00D32FA5"/>
    <w:rsid w:val="00D33281"/>
    <w:rsid w:val="00D332AD"/>
    <w:rsid w:val="00D34621"/>
    <w:rsid w:val="00D34770"/>
    <w:rsid w:val="00D34938"/>
    <w:rsid w:val="00D3503C"/>
    <w:rsid w:val="00D355EC"/>
    <w:rsid w:val="00D3594C"/>
    <w:rsid w:val="00D36251"/>
    <w:rsid w:val="00D3696F"/>
    <w:rsid w:val="00D36DE2"/>
    <w:rsid w:val="00D36DE5"/>
    <w:rsid w:val="00D3719A"/>
    <w:rsid w:val="00D37834"/>
    <w:rsid w:val="00D37B0E"/>
    <w:rsid w:val="00D4044A"/>
    <w:rsid w:val="00D40B91"/>
    <w:rsid w:val="00D41723"/>
    <w:rsid w:val="00D41B7C"/>
    <w:rsid w:val="00D41EBF"/>
    <w:rsid w:val="00D427F6"/>
    <w:rsid w:val="00D42886"/>
    <w:rsid w:val="00D439EC"/>
    <w:rsid w:val="00D43B8A"/>
    <w:rsid w:val="00D43CB1"/>
    <w:rsid w:val="00D440F5"/>
    <w:rsid w:val="00D455EA"/>
    <w:rsid w:val="00D459FF"/>
    <w:rsid w:val="00D45A40"/>
    <w:rsid w:val="00D45ABA"/>
    <w:rsid w:val="00D45ADA"/>
    <w:rsid w:val="00D45E1C"/>
    <w:rsid w:val="00D461EA"/>
    <w:rsid w:val="00D4630D"/>
    <w:rsid w:val="00D46502"/>
    <w:rsid w:val="00D47379"/>
    <w:rsid w:val="00D47553"/>
    <w:rsid w:val="00D504BC"/>
    <w:rsid w:val="00D505D7"/>
    <w:rsid w:val="00D50766"/>
    <w:rsid w:val="00D50A43"/>
    <w:rsid w:val="00D50E84"/>
    <w:rsid w:val="00D5122E"/>
    <w:rsid w:val="00D51345"/>
    <w:rsid w:val="00D51F56"/>
    <w:rsid w:val="00D525EF"/>
    <w:rsid w:val="00D527D5"/>
    <w:rsid w:val="00D52B7D"/>
    <w:rsid w:val="00D53908"/>
    <w:rsid w:val="00D53C48"/>
    <w:rsid w:val="00D541F2"/>
    <w:rsid w:val="00D554FE"/>
    <w:rsid w:val="00D556D3"/>
    <w:rsid w:val="00D55745"/>
    <w:rsid w:val="00D55A49"/>
    <w:rsid w:val="00D56138"/>
    <w:rsid w:val="00D56392"/>
    <w:rsid w:val="00D56B78"/>
    <w:rsid w:val="00D56E98"/>
    <w:rsid w:val="00D57317"/>
    <w:rsid w:val="00D579EF"/>
    <w:rsid w:val="00D600EE"/>
    <w:rsid w:val="00D603EB"/>
    <w:rsid w:val="00D6058A"/>
    <w:rsid w:val="00D606C6"/>
    <w:rsid w:val="00D60A31"/>
    <w:rsid w:val="00D611C6"/>
    <w:rsid w:val="00D61999"/>
    <w:rsid w:val="00D619B4"/>
    <w:rsid w:val="00D61FF4"/>
    <w:rsid w:val="00D62211"/>
    <w:rsid w:val="00D628B9"/>
    <w:rsid w:val="00D62A2A"/>
    <w:rsid w:val="00D63382"/>
    <w:rsid w:val="00D64585"/>
    <w:rsid w:val="00D6493C"/>
    <w:rsid w:val="00D649BE"/>
    <w:rsid w:val="00D64B1F"/>
    <w:rsid w:val="00D64D26"/>
    <w:rsid w:val="00D651F8"/>
    <w:rsid w:val="00D659A0"/>
    <w:rsid w:val="00D65EFA"/>
    <w:rsid w:val="00D662E2"/>
    <w:rsid w:val="00D66995"/>
    <w:rsid w:val="00D67113"/>
    <w:rsid w:val="00D6717D"/>
    <w:rsid w:val="00D678E7"/>
    <w:rsid w:val="00D6793C"/>
    <w:rsid w:val="00D702D9"/>
    <w:rsid w:val="00D716EE"/>
    <w:rsid w:val="00D71934"/>
    <w:rsid w:val="00D72592"/>
    <w:rsid w:val="00D72868"/>
    <w:rsid w:val="00D72972"/>
    <w:rsid w:val="00D739E4"/>
    <w:rsid w:val="00D73E92"/>
    <w:rsid w:val="00D73F78"/>
    <w:rsid w:val="00D74299"/>
    <w:rsid w:val="00D74501"/>
    <w:rsid w:val="00D74988"/>
    <w:rsid w:val="00D74F8E"/>
    <w:rsid w:val="00D74FDE"/>
    <w:rsid w:val="00D7514F"/>
    <w:rsid w:val="00D75659"/>
    <w:rsid w:val="00D75740"/>
    <w:rsid w:val="00D75766"/>
    <w:rsid w:val="00D75F9B"/>
    <w:rsid w:val="00D7642E"/>
    <w:rsid w:val="00D767BE"/>
    <w:rsid w:val="00D76C44"/>
    <w:rsid w:val="00D770EF"/>
    <w:rsid w:val="00D806DA"/>
    <w:rsid w:val="00D80BCB"/>
    <w:rsid w:val="00D811B0"/>
    <w:rsid w:val="00D81BB7"/>
    <w:rsid w:val="00D81EC8"/>
    <w:rsid w:val="00D81EEB"/>
    <w:rsid w:val="00D81F7E"/>
    <w:rsid w:val="00D822DA"/>
    <w:rsid w:val="00D82879"/>
    <w:rsid w:val="00D82B4B"/>
    <w:rsid w:val="00D82FF3"/>
    <w:rsid w:val="00D8331C"/>
    <w:rsid w:val="00D83827"/>
    <w:rsid w:val="00D84E81"/>
    <w:rsid w:val="00D85096"/>
    <w:rsid w:val="00D851D5"/>
    <w:rsid w:val="00D85646"/>
    <w:rsid w:val="00D85994"/>
    <w:rsid w:val="00D86856"/>
    <w:rsid w:val="00D86D8A"/>
    <w:rsid w:val="00D87206"/>
    <w:rsid w:val="00D8785C"/>
    <w:rsid w:val="00D87981"/>
    <w:rsid w:val="00D905AC"/>
    <w:rsid w:val="00D907E0"/>
    <w:rsid w:val="00D92091"/>
    <w:rsid w:val="00D92EF8"/>
    <w:rsid w:val="00D935B9"/>
    <w:rsid w:val="00D94270"/>
    <w:rsid w:val="00D947CE"/>
    <w:rsid w:val="00D956C8"/>
    <w:rsid w:val="00D95808"/>
    <w:rsid w:val="00D962B0"/>
    <w:rsid w:val="00D96D1A"/>
    <w:rsid w:val="00D97022"/>
    <w:rsid w:val="00D97317"/>
    <w:rsid w:val="00D97863"/>
    <w:rsid w:val="00D97CFC"/>
    <w:rsid w:val="00DA11C3"/>
    <w:rsid w:val="00DA1508"/>
    <w:rsid w:val="00DA16CE"/>
    <w:rsid w:val="00DA3DAA"/>
    <w:rsid w:val="00DA3EFD"/>
    <w:rsid w:val="00DA40D6"/>
    <w:rsid w:val="00DA4213"/>
    <w:rsid w:val="00DA4FBF"/>
    <w:rsid w:val="00DA50CA"/>
    <w:rsid w:val="00DA5659"/>
    <w:rsid w:val="00DA6578"/>
    <w:rsid w:val="00DA6724"/>
    <w:rsid w:val="00DA7022"/>
    <w:rsid w:val="00DA73D2"/>
    <w:rsid w:val="00DA780F"/>
    <w:rsid w:val="00DB021C"/>
    <w:rsid w:val="00DB04AE"/>
    <w:rsid w:val="00DB0F87"/>
    <w:rsid w:val="00DB1EC4"/>
    <w:rsid w:val="00DB209B"/>
    <w:rsid w:val="00DB2196"/>
    <w:rsid w:val="00DB2422"/>
    <w:rsid w:val="00DB3525"/>
    <w:rsid w:val="00DB4036"/>
    <w:rsid w:val="00DB4213"/>
    <w:rsid w:val="00DB4286"/>
    <w:rsid w:val="00DB443B"/>
    <w:rsid w:val="00DB484E"/>
    <w:rsid w:val="00DB4885"/>
    <w:rsid w:val="00DB4F8D"/>
    <w:rsid w:val="00DB5489"/>
    <w:rsid w:val="00DB5583"/>
    <w:rsid w:val="00DB615D"/>
    <w:rsid w:val="00DB64F5"/>
    <w:rsid w:val="00DB6806"/>
    <w:rsid w:val="00DB6A73"/>
    <w:rsid w:val="00DB6C13"/>
    <w:rsid w:val="00DB700F"/>
    <w:rsid w:val="00DB7C41"/>
    <w:rsid w:val="00DB7E4D"/>
    <w:rsid w:val="00DC019D"/>
    <w:rsid w:val="00DC17C8"/>
    <w:rsid w:val="00DC18DD"/>
    <w:rsid w:val="00DC1A0D"/>
    <w:rsid w:val="00DC1F94"/>
    <w:rsid w:val="00DC2571"/>
    <w:rsid w:val="00DC25E2"/>
    <w:rsid w:val="00DC27EC"/>
    <w:rsid w:val="00DC2C25"/>
    <w:rsid w:val="00DC3404"/>
    <w:rsid w:val="00DC37E5"/>
    <w:rsid w:val="00DC3978"/>
    <w:rsid w:val="00DC43D3"/>
    <w:rsid w:val="00DC4B40"/>
    <w:rsid w:val="00DC5560"/>
    <w:rsid w:val="00DC57E6"/>
    <w:rsid w:val="00DC5D12"/>
    <w:rsid w:val="00DC5D40"/>
    <w:rsid w:val="00DC5F10"/>
    <w:rsid w:val="00DC611D"/>
    <w:rsid w:val="00DC652A"/>
    <w:rsid w:val="00DC67E4"/>
    <w:rsid w:val="00DC75A5"/>
    <w:rsid w:val="00DC79D2"/>
    <w:rsid w:val="00DC7D72"/>
    <w:rsid w:val="00DC7D8B"/>
    <w:rsid w:val="00DD0F72"/>
    <w:rsid w:val="00DD13B1"/>
    <w:rsid w:val="00DD187D"/>
    <w:rsid w:val="00DD187F"/>
    <w:rsid w:val="00DD196E"/>
    <w:rsid w:val="00DD19A6"/>
    <w:rsid w:val="00DD23F2"/>
    <w:rsid w:val="00DD29E6"/>
    <w:rsid w:val="00DD2AE4"/>
    <w:rsid w:val="00DD3303"/>
    <w:rsid w:val="00DD366F"/>
    <w:rsid w:val="00DD5260"/>
    <w:rsid w:val="00DD58BB"/>
    <w:rsid w:val="00DD5F80"/>
    <w:rsid w:val="00DD65B6"/>
    <w:rsid w:val="00DD65F8"/>
    <w:rsid w:val="00DD7220"/>
    <w:rsid w:val="00DE0050"/>
    <w:rsid w:val="00DE0A41"/>
    <w:rsid w:val="00DE0C1B"/>
    <w:rsid w:val="00DE1C4F"/>
    <w:rsid w:val="00DE2068"/>
    <w:rsid w:val="00DE2119"/>
    <w:rsid w:val="00DE2292"/>
    <w:rsid w:val="00DE2755"/>
    <w:rsid w:val="00DE2CF9"/>
    <w:rsid w:val="00DE311E"/>
    <w:rsid w:val="00DE36C0"/>
    <w:rsid w:val="00DE3B1F"/>
    <w:rsid w:val="00DE4762"/>
    <w:rsid w:val="00DE4BAB"/>
    <w:rsid w:val="00DE5863"/>
    <w:rsid w:val="00DE6570"/>
    <w:rsid w:val="00DE6BBA"/>
    <w:rsid w:val="00DE73D2"/>
    <w:rsid w:val="00DF04D0"/>
    <w:rsid w:val="00DF0B7B"/>
    <w:rsid w:val="00DF0BC7"/>
    <w:rsid w:val="00DF0C0F"/>
    <w:rsid w:val="00DF12FC"/>
    <w:rsid w:val="00DF1569"/>
    <w:rsid w:val="00DF17EF"/>
    <w:rsid w:val="00DF2A70"/>
    <w:rsid w:val="00DF2E19"/>
    <w:rsid w:val="00DF34DB"/>
    <w:rsid w:val="00DF3DFD"/>
    <w:rsid w:val="00DF4B26"/>
    <w:rsid w:val="00DF50FD"/>
    <w:rsid w:val="00DF51F0"/>
    <w:rsid w:val="00DF5C28"/>
    <w:rsid w:val="00DF5DBB"/>
    <w:rsid w:val="00DF5F7F"/>
    <w:rsid w:val="00DF67DC"/>
    <w:rsid w:val="00DF6E61"/>
    <w:rsid w:val="00DF75AE"/>
    <w:rsid w:val="00DF7995"/>
    <w:rsid w:val="00DF7D82"/>
    <w:rsid w:val="00E00062"/>
    <w:rsid w:val="00E00305"/>
    <w:rsid w:val="00E004B1"/>
    <w:rsid w:val="00E00854"/>
    <w:rsid w:val="00E00C81"/>
    <w:rsid w:val="00E00E33"/>
    <w:rsid w:val="00E00F21"/>
    <w:rsid w:val="00E01C40"/>
    <w:rsid w:val="00E01C44"/>
    <w:rsid w:val="00E02112"/>
    <w:rsid w:val="00E023F0"/>
    <w:rsid w:val="00E02537"/>
    <w:rsid w:val="00E02811"/>
    <w:rsid w:val="00E02D1C"/>
    <w:rsid w:val="00E04655"/>
    <w:rsid w:val="00E05BD9"/>
    <w:rsid w:val="00E06BF0"/>
    <w:rsid w:val="00E07585"/>
    <w:rsid w:val="00E076D3"/>
    <w:rsid w:val="00E07CAA"/>
    <w:rsid w:val="00E07D8A"/>
    <w:rsid w:val="00E07F61"/>
    <w:rsid w:val="00E101EC"/>
    <w:rsid w:val="00E10206"/>
    <w:rsid w:val="00E10353"/>
    <w:rsid w:val="00E10615"/>
    <w:rsid w:val="00E106E0"/>
    <w:rsid w:val="00E115F3"/>
    <w:rsid w:val="00E117B1"/>
    <w:rsid w:val="00E1181B"/>
    <w:rsid w:val="00E11C42"/>
    <w:rsid w:val="00E11DFA"/>
    <w:rsid w:val="00E11ED2"/>
    <w:rsid w:val="00E11F5C"/>
    <w:rsid w:val="00E1200B"/>
    <w:rsid w:val="00E13320"/>
    <w:rsid w:val="00E13639"/>
    <w:rsid w:val="00E14364"/>
    <w:rsid w:val="00E14573"/>
    <w:rsid w:val="00E14721"/>
    <w:rsid w:val="00E1474B"/>
    <w:rsid w:val="00E149EE"/>
    <w:rsid w:val="00E15078"/>
    <w:rsid w:val="00E15E82"/>
    <w:rsid w:val="00E16435"/>
    <w:rsid w:val="00E16D22"/>
    <w:rsid w:val="00E16D44"/>
    <w:rsid w:val="00E1780D"/>
    <w:rsid w:val="00E178DC"/>
    <w:rsid w:val="00E17917"/>
    <w:rsid w:val="00E17CD5"/>
    <w:rsid w:val="00E17D92"/>
    <w:rsid w:val="00E2053E"/>
    <w:rsid w:val="00E207C0"/>
    <w:rsid w:val="00E20D8C"/>
    <w:rsid w:val="00E21456"/>
    <w:rsid w:val="00E21A40"/>
    <w:rsid w:val="00E21A50"/>
    <w:rsid w:val="00E21F48"/>
    <w:rsid w:val="00E21FD8"/>
    <w:rsid w:val="00E2228C"/>
    <w:rsid w:val="00E2277B"/>
    <w:rsid w:val="00E22818"/>
    <w:rsid w:val="00E22B9B"/>
    <w:rsid w:val="00E2316C"/>
    <w:rsid w:val="00E233DC"/>
    <w:rsid w:val="00E239DD"/>
    <w:rsid w:val="00E23A8B"/>
    <w:rsid w:val="00E23ACE"/>
    <w:rsid w:val="00E24854"/>
    <w:rsid w:val="00E2497A"/>
    <w:rsid w:val="00E24A54"/>
    <w:rsid w:val="00E24D29"/>
    <w:rsid w:val="00E250D5"/>
    <w:rsid w:val="00E25A39"/>
    <w:rsid w:val="00E25FDD"/>
    <w:rsid w:val="00E262AD"/>
    <w:rsid w:val="00E26324"/>
    <w:rsid w:val="00E26452"/>
    <w:rsid w:val="00E26C63"/>
    <w:rsid w:val="00E26F77"/>
    <w:rsid w:val="00E2745E"/>
    <w:rsid w:val="00E27BB8"/>
    <w:rsid w:val="00E3012D"/>
    <w:rsid w:val="00E316AE"/>
    <w:rsid w:val="00E3255E"/>
    <w:rsid w:val="00E3286B"/>
    <w:rsid w:val="00E32A0E"/>
    <w:rsid w:val="00E32C8A"/>
    <w:rsid w:val="00E33D73"/>
    <w:rsid w:val="00E33F94"/>
    <w:rsid w:val="00E340AC"/>
    <w:rsid w:val="00E34838"/>
    <w:rsid w:val="00E34C91"/>
    <w:rsid w:val="00E35477"/>
    <w:rsid w:val="00E354F9"/>
    <w:rsid w:val="00E3591A"/>
    <w:rsid w:val="00E35A1E"/>
    <w:rsid w:val="00E366A3"/>
    <w:rsid w:val="00E36AF5"/>
    <w:rsid w:val="00E36BC0"/>
    <w:rsid w:val="00E407C1"/>
    <w:rsid w:val="00E409A6"/>
    <w:rsid w:val="00E40BAD"/>
    <w:rsid w:val="00E411DB"/>
    <w:rsid w:val="00E41214"/>
    <w:rsid w:val="00E4130C"/>
    <w:rsid w:val="00E419DF"/>
    <w:rsid w:val="00E41AA9"/>
    <w:rsid w:val="00E41B1E"/>
    <w:rsid w:val="00E41CDC"/>
    <w:rsid w:val="00E41D7E"/>
    <w:rsid w:val="00E4206F"/>
    <w:rsid w:val="00E4216B"/>
    <w:rsid w:val="00E421DC"/>
    <w:rsid w:val="00E423A7"/>
    <w:rsid w:val="00E42844"/>
    <w:rsid w:val="00E4287D"/>
    <w:rsid w:val="00E42D51"/>
    <w:rsid w:val="00E42FFB"/>
    <w:rsid w:val="00E4361F"/>
    <w:rsid w:val="00E447DF"/>
    <w:rsid w:val="00E456A5"/>
    <w:rsid w:val="00E45DFE"/>
    <w:rsid w:val="00E462E4"/>
    <w:rsid w:val="00E4673F"/>
    <w:rsid w:val="00E46F60"/>
    <w:rsid w:val="00E4706D"/>
    <w:rsid w:val="00E470BB"/>
    <w:rsid w:val="00E47576"/>
    <w:rsid w:val="00E47FDF"/>
    <w:rsid w:val="00E5000D"/>
    <w:rsid w:val="00E50762"/>
    <w:rsid w:val="00E50B79"/>
    <w:rsid w:val="00E51446"/>
    <w:rsid w:val="00E519FC"/>
    <w:rsid w:val="00E51DFC"/>
    <w:rsid w:val="00E53327"/>
    <w:rsid w:val="00E53871"/>
    <w:rsid w:val="00E53FFA"/>
    <w:rsid w:val="00E54326"/>
    <w:rsid w:val="00E552F6"/>
    <w:rsid w:val="00E55656"/>
    <w:rsid w:val="00E5585B"/>
    <w:rsid w:val="00E55B9B"/>
    <w:rsid w:val="00E55E30"/>
    <w:rsid w:val="00E565C0"/>
    <w:rsid w:val="00E56A26"/>
    <w:rsid w:val="00E57CD6"/>
    <w:rsid w:val="00E57D26"/>
    <w:rsid w:val="00E57F2A"/>
    <w:rsid w:val="00E60E0D"/>
    <w:rsid w:val="00E60F76"/>
    <w:rsid w:val="00E6106C"/>
    <w:rsid w:val="00E612D2"/>
    <w:rsid w:val="00E621AA"/>
    <w:rsid w:val="00E629AA"/>
    <w:rsid w:val="00E62EF8"/>
    <w:rsid w:val="00E6385B"/>
    <w:rsid w:val="00E63A51"/>
    <w:rsid w:val="00E64CFA"/>
    <w:rsid w:val="00E650EC"/>
    <w:rsid w:val="00E656AD"/>
    <w:rsid w:val="00E6736C"/>
    <w:rsid w:val="00E67708"/>
    <w:rsid w:val="00E67B3D"/>
    <w:rsid w:val="00E67E18"/>
    <w:rsid w:val="00E67F35"/>
    <w:rsid w:val="00E702DA"/>
    <w:rsid w:val="00E70E26"/>
    <w:rsid w:val="00E722A6"/>
    <w:rsid w:val="00E722ED"/>
    <w:rsid w:val="00E730DF"/>
    <w:rsid w:val="00E73233"/>
    <w:rsid w:val="00E73DAE"/>
    <w:rsid w:val="00E73EB9"/>
    <w:rsid w:val="00E74174"/>
    <w:rsid w:val="00E7473D"/>
    <w:rsid w:val="00E7499D"/>
    <w:rsid w:val="00E750EF"/>
    <w:rsid w:val="00E7551E"/>
    <w:rsid w:val="00E75810"/>
    <w:rsid w:val="00E7600C"/>
    <w:rsid w:val="00E764B8"/>
    <w:rsid w:val="00E7687C"/>
    <w:rsid w:val="00E76967"/>
    <w:rsid w:val="00E76A04"/>
    <w:rsid w:val="00E76ACF"/>
    <w:rsid w:val="00E779CE"/>
    <w:rsid w:val="00E77BC2"/>
    <w:rsid w:val="00E77F93"/>
    <w:rsid w:val="00E81144"/>
    <w:rsid w:val="00E81C25"/>
    <w:rsid w:val="00E82578"/>
    <w:rsid w:val="00E849C7"/>
    <w:rsid w:val="00E85154"/>
    <w:rsid w:val="00E85FD1"/>
    <w:rsid w:val="00E860A8"/>
    <w:rsid w:val="00E8610D"/>
    <w:rsid w:val="00E8623D"/>
    <w:rsid w:val="00E87F9B"/>
    <w:rsid w:val="00E90332"/>
    <w:rsid w:val="00E9124D"/>
    <w:rsid w:val="00E912CD"/>
    <w:rsid w:val="00E917F6"/>
    <w:rsid w:val="00E91CE3"/>
    <w:rsid w:val="00E92897"/>
    <w:rsid w:val="00E92CAA"/>
    <w:rsid w:val="00E939A8"/>
    <w:rsid w:val="00E9432A"/>
    <w:rsid w:val="00E943E7"/>
    <w:rsid w:val="00E95432"/>
    <w:rsid w:val="00E95B4F"/>
    <w:rsid w:val="00E96602"/>
    <w:rsid w:val="00E979A7"/>
    <w:rsid w:val="00EA0AA4"/>
    <w:rsid w:val="00EA0D2E"/>
    <w:rsid w:val="00EA15FE"/>
    <w:rsid w:val="00EA1C8C"/>
    <w:rsid w:val="00EA1D59"/>
    <w:rsid w:val="00EA2232"/>
    <w:rsid w:val="00EA2ED9"/>
    <w:rsid w:val="00EA3F1F"/>
    <w:rsid w:val="00EA454B"/>
    <w:rsid w:val="00EA54EB"/>
    <w:rsid w:val="00EA62A0"/>
    <w:rsid w:val="00EA73A9"/>
    <w:rsid w:val="00EA7833"/>
    <w:rsid w:val="00EA79E4"/>
    <w:rsid w:val="00EA7FCD"/>
    <w:rsid w:val="00EB15B4"/>
    <w:rsid w:val="00EB1A74"/>
    <w:rsid w:val="00EB20E7"/>
    <w:rsid w:val="00EB234F"/>
    <w:rsid w:val="00EB244E"/>
    <w:rsid w:val="00EB26CF"/>
    <w:rsid w:val="00EB2B1D"/>
    <w:rsid w:val="00EB2CC7"/>
    <w:rsid w:val="00EB300E"/>
    <w:rsid w:val="00EB3E87"/>
    <w:rsid w:val="00EB40BE"/>
    <w:rsid w:val="00EB4686"/>
    <w:rsid w:val="00EB53B1"/>
    <w:rsid w:val="00EB5B08"/>
    <w:rsid w:val="00EB5FFA"/>
    <w:rsid w:val="00EB6221"/>
    <w:rsid w:val="00EB6B7D"/>
    <w:rsid w:val="00EB6CD7"/>
    <w:rsid w:val="00EB74DC"/>
    <w:rsid w:val="00EB776D"/>
    <w:rsid w:val="00EC02A9"/>
    <w:rsid w:val="00EC0C5D"/>
    <w:rsid w:val="00EC1567"/>
    <w:rsid w:val="00EC1776"/>
    <w:rsid w:val="00EC17D6"/>
    <w:rsid w:val="00EC20EF"/>
    <w:rsid w:val="00EC28D0"/>
    <w:rsid w:val="00EC315B"/>
    <w:rsid w:val="00EC31D8"/>
    <w:rsid w:val="00EC3A65"/>
    <w:rsid w:val="00EC3DC0"/>
    <w:rsid w:val="00EC3EA3"/>
    <w:rsid w:val="00EC3F96"/>
    <w:rsid w:val="00EC41AC"/>
    <w:rsid w:val="00EC46D8"/>
    <w:rsid w:val="00EC47AA"/>
    <w:rsid w:val="00EC4E3D"/>
    <w:rsid w:val="00EC5A02"/>
    <w:rsid w:val="00EC5B5D"/>
    <w:rsid w:val="00EC63B3"/>
    <w:rsid w:val="00EC6687"/>
    <w:rsid w:val="00EC6A96"/>
    <w:rsid w:val="00EC6C29"/>
    <w:rsid w:val="00EC71AD"/>
    <w:rsid w:val="00EC7693"/>
    <w:rsid w:val="00EC783E"/>
    <w:rsid w:val="00EC7B4D"/>
    <w:rsid w:val="00EC7EEE"/>
    <w:rsid w:val="00EC7F23"/>
    <w:rsid w:val="00ED03A5"/>
    <w:rsid w:val="00ED0768"/>
    <w:rsid w:val="00ED0A97"/>
    <w:rsid w:val="00ED1079"/>
    <w:rsid w:val="00ED12A7"/>
    <w:rsid w:val="00ED17FA"/>
    <w:rsid w:val="00ED282E"/>
    <w:rsid w:val="00ED300A"/>
    <w:rsid w:val="00ED393A"/>
    <w:rsid w:val="00ED3A3E"/>
    <w:rsid w:val="00ED3E7F"/>
    <w:rsid w:val="00ED4402"/>
    <w:rsid w:val="00ED443C"/>
    <w:rsid w:val="00ED4B0B"/>
    <w:rsid w:val="00ED4F89"/>
    <w:rsid w:val="00ED5039"/>
    <w:rsid w:val="00ED532C"/>
    <w:rsid w:val="00ED53A9"/>
    <w:rsid w:val="00ED586F"/>
    <w:rsid w:val="00ED5887"/>
    <w:rsid w:val="00ED5B96"/>
    <w:rsid w:val="00ED5C33"/>
    <w:rsid w:val="00ED5C50"/>
    <w:rsid w:val="00ED5D22"/>
    <w:rsid w:val="00ED6FF2"/>
    <w:rsid w:val="00EE06C8"/>
    <w:rsid w:val="00EE08BD"/>
    <w:rsid w:val="00EE09F5"/>
    <w:rsid w:val="00EE0DD7"/>
    <w:rsid w:val="00EE1C96"/>
    <w:rsid w:val="00EE240F"/>
    <w:rsid w:val="00EE28F1"/>
    <w:rsid w:val="00EE2903"/>
    <w:rsid w:val="00EE2BA6"/>
    <w:rsid w:val="00EE33AE"/>
    <w:rsid w:val="00EE3C9A"/>
    <w:rsid w:val="00EE42DA"/>
    <w:rsid w:val="00EE569D"/>
    <w:rsid w:val="00EE56A6"/>
    <w:rsid w:val="00EE5984"/>
    <w:rsid w:val="00EE6AC7"/>
    <w:rsid w:val="00EE6E38"/>
    <w:rsid w:val="00EE704C"/>
    <w:rsid w:val="00EE747F"/>
    <w:rsid w:val="00EE7960"/>
    <w:rsid w:val="00EE7ED6"/>
    <w:rsid w:val="00EF03A8"/>
    <w:rsid w:val="00EF082E"/>
    <w:rsid w:val="00EF111A"/>
    <w:rsid w:val="00EF1520"/>
    <w:rsid w:val="00EF15DF"/>
    <w:rsid w:val="00EF189F"/>
    <w:rsid w:val="00EF18C0"/>
    <w:rsid w:val="00EF2267"/>
    <w:rsid w:val="00EF228E"/>
    <w:rsid w:val="00EF3596"/>
    <w:rsid w:val="00EF381A"/>
    <w:rsid w:val="00EF3AD5"/>
    <w:rsid w:val="00EF472F"/>
    <w:rsid w:val="00EF5082"/>
    <w:rsid w:val="00EF558E"/>
    <w:rsid w:val="00EF5AE3"/>
    <w:rsid w:val="00EF603D"/>
    <w:rsid w:val="00EF6647"/>
    <w:rsid w:val="00EF6D87"/>
    <w:rsid w:val="00EF6DCB"/>
    <w:rsid w:val="00EF6F07"/>
    <w:rsid w:val="00EF6F1F"/>
    <w:rsid w:val="00EF70FA"/>
    <w:rsid w:val="00F01020"/>
    <w:rsid w:val="00F013C8"/>
    <w:rsid w:val="00F01870"/>
    <w:rsid w:val="00F01C8C"/>
    <w:rsid w:val="00F02065"/>
    <w:rsid w:val="00F021A6"/>
    <w:rsid w:val="00F02414"/>
    <w:rsid w:val="00F0294F"/>
    <w:rsid w:val="00F02BC5"/>
    <w:rsid w:val="00F02C1C"/>
    <w:rsid w:val="00F031DC"/>
    <w:rsid w:val="00F031F9"/>
    <w:rsid w:val="00F040E5"/>
    <w:rsid w:val="00F0456E"/>
    <w:rsid w:val="00F06C0B"/>
    <w:rsid w:val="00F06E7D"/>
    <w:rsid w:val="00F070B8"/>
    <w:rsid w:val="00F07880"/>
    <w:rsid w:val="00F07932"/>
    <w:rsid w:val="00F07EAD"/>
    <w:rsid w:val="00F10622"/>
    <w:rsid w:val="00F10B9F"/>
    <w:rsid w:val="00F12161"/>
    <w:rsid w:val="00F12193"/>
    <w:rsid w:val="00F12308"/>
    <w:rsid w:val="00F128B1"/>
    <w:rsid w:val="00F12CF7"/>
    <w:rsid w:val="00F13210"/>
    <w:rsid w:val="00F13C43"/>
    <w:rsid w:val="00F13E47"/>
    <w:rsid w:val="00F13FD6"/>
    <w:rsid w:val="00F149D0"/>
    <w:rsid w:val="00F14C07"/>
    <w:rsid w:val="00F14E6E"/>
    <w:rsid w:val="00F14ED8"/>
    <w:rsid w:val="00F15425"/>
    <w:rsid w:val="00F1556C"/>
    <w:rsid w:val="00F15F21"/>
    <w:rsid w:val="00F167FF"/>
    <w:rsid w:val="00F16C30"/>
    <w:rsid w:val="00F16EB6"/>
    <w:rsid w:val="00F17C0B"/>
    <w:rsid w:val="00F204A5"/>
    <w:rsid w:val="00F2081E"/>
    <w:rsid w:val="00F20DF1"/>
    <w:rsid w:val="00F2138A"/>
    <w:rsid w:val="00F21476"/>
    <w:rsid w:val="00F21A79"/>
    <w:rsid w:val="00F21B9F"/>
    <w:rsid w:val="00F21BA4"/>
    <w:rsid w:val="00F220CA"/>
    <w:rsid w:val="00F2217F"/>
    <w:rsid w:val="00F22291"/>
    <w:rsid w:val="00F22D58"/>
    <w:rsid w:val="00F22DBE"/>
    <w:rsid w:val="00F22DD0"/>
    <w:rsid w:val="00F22ECA"/>
    <w:rsid w:val="00F22FD5"/>
    <w:rsid w:val="00F23006"/>
    <w:rsid w:val="00F2305A"/>
    <w:rsid w:val="00F240BD"/>
    <w:rsid w:val="00F24448"/>
    <w:rsid w:val="00F24921"/>
    <w:rsid w:val="00F24B70"/>
    <w:rsid w:val="00F24E90"/>
    <w:rsid w:val="00F250BE"/>
    <w:rsid w:val="00F25996"/>
    <w:rsid w:val="00F26119"/>
    <w:rsid w:val="00F262F4"/>
    <w:rsid w:val="00F26447"/>
    <w:rsid w:val="00F26595"/>
    <w:rsid w:val="00F26A55"/>
    <w:rsid w:val="00F26C6E"/>
    <w:rsid w:val="00F276F6"/>
    <w:rsid w:val="00F27B2F"/>
    <w:rsid w:val="00F30651"/>
    <w:rsid w:val="00F30BAA"/>
    <w:rsid w:val="00F31042"/>
    <w:rsid w:val="00F31618"/>
    <w:rsid w:val="00F31746"/>
    <w:rsid w:val="00F31801"/>
    <w:rsid w:val="00F3183A"/>
    <w:rsid w:val="00F31884"/>
    <w:rsid w:val="00F31921"/>
    <w:rsid w:val="00F324C4"/>
    <w:rsid w:val="00F326BE"/>
    <w:rsid w:val="00F33364"/>
    <w:rsid w:val="00F33A55"/>
    <w:rsid w:val="00F3469D"/>
    <w:rsid w:val="00F348C0"/>
    <w:rsid w:val="00F35B34"/>
    <w:rsid w:val="00F35D70"/>
    <w:rsid w:val="00F35F2F"/>
    <w:rsid w:val="00F365D4"/>
    <w:rsid w:val="00F36BB5"/>
    <w:rsid w:val="00F373F4"/>
    <w:rsid w:val="00F4036D"/>
    <w:rsid w:val="00F404A3"/>
    <w:rsid w:val="00F407D0"/>
    <w:rsid w:val="00F40857"/>
    <w:rsid w:val="00F412C8"/>
    <w:rsid w:val="00F423DC"/>
    <w:rsid w:val="00F42435"/>
    <w:rsid w:val="00F42663"/>
    <w:rsid w:val="00F42921"/>
    <w:rsid w:val="00F42C8B"/>
    <w:rsid w:val="00F42CD6"/>
    <w:rsid w:val="00F439D7"/>
    <w:rsid w:val="00F4441C"/>
    <w:rsid w:val="00F45386"/>
    <w:rsid w:val="00F460C5"/>
    <w:rsid w:val="00F464CC"/>
    <w:rsid w:val="00F464E2"/>
    <w:rsid w:val="00F466EF"/>
    <w:rsid w:val="00F4686C"/>
    <w:rsid w:val="00F46D9A"/>
    <w:rsid w:val="00F47286"/>
    <w:rsid w:val="00F473A0"/>
    <w:rsid w:val="00F47568"/>
    <w:rsid w:val="00F479D0"/>
    <w:rsid w:val="00F47AC5"/>
    <w:rsid w:val="00F47DD6"/>
    <w:rsid w:val="00F506DC"/>
    <w:rsid w:val="00F50E59"/>
    <w:rsid w:val="00F50EB9"/>
    <w:rsid w:val="00F51299"/>
    <w:rsid w:val="00F51438"/>
    <w:rsid w:val="00F517A1"/>
    <w:rsid w:val="00F52FA5"/>
    <w:rsid w:val="00F532ED"/>
    <w:rsid w:val="00F53333"/>
    <w:rsid w:val="00F53844"/>
    <w:rsid w:val="00F546CF"/>
    <w:rsid w:val="00F552A8"/>
    <w:rsid w:val="00F5530F"/>
    <w:rsid w:val="00F55655"/>
    <w:rsid w:val="00F55F81"/>
    <w:rsid w:val="00F571B4"/>
    <w:rsid w:val="00F60055"/>
    <w:rsid w:val="00F601BC"/>
    <w:rsid w:val="00F616AF"/>
    <w:rsid w:val="00F61CFF"/>
    <w:rsid w:val="00F62819"/>
    <w:rsid w:val="00F62A11"/>
    <w:rsid w:val="00F6377F"/>
    <w:rsid w:val="00F645E7"/>
    <w:rsid w:val="00F653B2"/>
    <w:rsid w:val="00F65748"/>
    <w:rsid w:val="00F65D2F"/>
    <w:rsid w:val="00F65DF4"/>
    <w:rsid w:val="00F66323"/>
    <w:rsid w:val="00F66F9B"/>
    <w:rsid w:val="00F701DF"/>
    <w:rsid w:val="00F7058A"/>
    <w:rsid w:val="00F718AB"/>
    <w:rsid w:val="00F7201F"/>
    <w:rsid w:val="00F727CB"/>
    <w:rsid w:val="00F7309C"/>
    <w:rsid w:val="00F73183"/>
    <w:rsid w:val="00F745D4"/>
    <w:rsid w:val="00F74660"/>
    <w:rsid w:val="00F747BA"/>
    <w:rsid w:val="00F74DB6"/>
    <w:rsid w:val="00F74DF0"/>
    <w:rsid w:val="00F75271"/>
    <w:rsid w:val="00F753B8"/>
    <w:rsid w:val="00F760CE"/>
    <w:rsid w:val="00F765E2"/>
    <w:rsid w:val="00F76786"/>
    <w:rsid w:val="00F76AC8"/>
    <w:rsid w:val="00F76C6E"/>
    <w:rsid w:val="00F77117"/>
    <w:rsid w:val="00F7715A"/>
    <w:rsid w:val="00F77DA8"/>
    <w:rsid w:val="00F80BFC"/>
    <w:rsid w:val="00F8141E"/>
    <w:rsid w:val="00F838DF"/>
    <w:rsid w:val="00F83D31"/>
    <w:rsid w:val="00F84424"/>
    <w:rsid w:val="00F85FA7"/>
    <w:rsid w:val="00F86057"/>
    <w:rsid w:val="00F8684C"/>
    <w:rsid w:val="00F86900"/>
    <w:rsid w:val="00F86945"/>
    <w:rsid w:val="00F86B4B"/>
    <w:rsid w:val="00F86BC5"/>
    <w:rsid w:val="00F87155"/>
    <w:rsid w:val="00F87E0E"/>
    <w:rsid w:val="00F904CE"/>
    <w:rsid w:val="00F90D8B"/>
    <w:rsid w:val="00F910EF"/>
    <w:rsid w:val="00F9169B"/>
    <w:rsid w:val="00F91884"/>
    <w:rsid w:val="00F91A99"/>
    <w:rsid w:val="00F9210E"/>
    <w:rsid w:val="00F9283E"/>
    <w:rsid w:val="00F92DFA"/>
    <w:rsid w:val="00F92F0F"/>
    <w:rsid w:val="00F9421C"/>
    <w:rsid w:val="00F94EEB"/>
    <w:rsid w:val="00F95010"/>
    <w:rsid w:val="00F95519"/>
    <w:rsid w:val="00F95DD6"/>
    <w:rsid w:val="00F95F91"/>
    <w:rsid w:val="00F96081"/>
    <w:rsid w:val="00F963A8"/>
    <w:rsid w:val="00F96A07"/>
    <w:rsid w:val="00F9728B"/>
    <w:rsid w:val="00F973AA"/>
    <w:rsid w:val="00FA027A"/>
    <w:rsid w:val="00FA02A6"/>
    <w:rsid w:val="00FA11C7"/>
    <w:rsid w:val="00FA1257"/>
    <w:rsid w:val="00FA1C1D"/>
    <w:rsid w:val="00FA27D5"/>
    <w:rsid w:val="00FA2802"/>
    <w:rsid w:val="00FA2A3F"/>
    <w:rsid w:val="00FA2B88"/>
    <w:rsid w:val="00FA301E"/>
    <w:rsid w:val="00FA3FD3"/>
    <w:rsid w:val="00FA4296"/>
    <w:rsid w:val="00FA44EB"/>
    <w:rsid w:val="00FA56F9"/>
    <w:rsid w:val="00FA5747"/>
    <w:rsid w:val="00FA57C0"/>
    <w:rsid w:val="00FA5BF7"/>
    <w:rsid w:val="00FA5C79"/>
    <w:rsid w:val="00FA5EDA"/>
    <w:rsid w:val="00FA5F62"/>
    <w:rsid w:val="00FA6234"/>
    <w:rsid w:val="00FA654B"/>
    <w:rsid w:val="00FA6825"/>
    <w:rsid w:val="00FA6D7C"/>
    <w:rsid w:val="00FA73E3"/>
    <w:rsid w:val="00FA79FD"/>
    <w:rsid w:val="00FA7EDF"/>
    <w:rsid w:val="00FB0D8C"/>
    <w:rsid w:val="00FB10F8"/>
    <w:rsid w:val="00FB152A"/>
    <w:rsid w:val="00FB270D"/>
    <w:rsid w:val="00FB3257"/>
    <w:rsid w:val="00FB333A"/>
    <w:rsid w:val="00FB3ABD"/>
    <w:rsid w:val="00FB4180"/>
    <w:rsid w:val="00FB48E7"/>
    <w:rsid w:val="00FB48FF"/>
    <w:rsid w:val="00FB5E76"/>
    <w:rsid w:val="00FB6A90"/>
    <w:rsid w:val="00FB6D0B"/>
    <w:rsid w:val="00FB6D1D"/>
    <w:rsid w:val="00FC0156"/>
    <w:rsid w:val="00FC023B"/>
    <w:rsid w:val="00FC032F"/>
    <w:rsid w:val="00FC0542"/>
    <w:rsid w:val="00FC103E"/>
    <w:rsid w:val="00FC1674"/>
    <w:rsid w:val="00FC236C"/>
    <w:rsid w:val="00FC2DAA"/>
    <w:rsid w:val="00FC34E3"/>
    <w:rsid w:val="00FC4DA4"/>
    <w:rsid w:val="00FC4E68"/>
    <w:rsid w:val="00FC51BE"/>
    <w:rsid w:val="00FC52BD"/>
    <w:rsid w:val="00FC55D8"/>
    <w:rsid w:val="00FC563A"/>
    <w:rsid w:val="00FC5A17"/>
    <w:rsid w:val="00FC5E25"/>
    <w:rsid w:val="00FC680D"/>
    <w:rsid w:val="00FC6FDE"/>
    <w:rsid w:val="00FC7341"/>
    <w:rsid w:val="00FC7453"/>
    <w:rsid w:val="00FC78DD"/>
    <w:rsid w:val="00FD099F"/>
    <w:rsid w:val="00FD10AF"/>
    <w:rsid w:val="00FD10F2"/>
    <w:rsid w:val="00FD1844"/>
    <w:rsid w:val="00FD2102"/>
    <w:rsid w:val="00FD2FDB"/>
    <w:rsid w:val="00FD34D3"/>
    <w:rsid w:val="00FD39B3"/>
    <w:rsid w:val="00FD3A43"/>
    <w:rsid w:val="00FD41EC"/>
    <w:rsid w:val="00FD4781"/>
    <w:rsid w:val="00FD4B6F"/>
    <w:rsid w:val="00FD5391"/>
    <w:rsid w:val="00FD59C1"/>
    <w:rsid w:val="00FD5A41"/>
    <w:rsid w:val="00FD5E87"/>
    <w:rsid w:val="00FD6237"/>
    <w:rsid w:val="00FD6408"/>
    <w:rsid w:val="00FD65EB"/>
    <w:rsid w:val="00FD6669"/>
    <w:rsid w:val="00FD6D58"/>
    <w:rsid w:val="00FD6FBD"/>
    <w:rsid w:val="00FD7A2B"/>
    <w:rsid w:val="00FD7B4B"/>
    <w:rsid w:val="00FD7C15"/>
    <w:rsid w:val="00FE0905"/>
    <w:rsid w:val="00FE1006"/>
    <w:rsid w:val="00FE1144"/>
    <w:rsid w:val="00FE134B"/>
    <w:rsid w:val="00FE1CFF"/>
    <w:rsid w:val="00FE21AB"/>
    <w:rsid w:val="00FE232D"/>
    <w:rsid w:val="00FE24ED"/>
    <w:rsid w:val="00FE250B"/>
    <w:rsid w:val="00FE2813"/>
    <w:rsid w:val="00FE2A6D"/>
    <w:rsid w:val="00FE2AAA"/>
    <w:rsid w:val="00FE3628"/>
    <w:rsid w:val="00FE3E39"/>
    <w:rsid w:val="00FE446A"/>
    <w:rsid w:val="00FE4593"/>
    <w:rsid w:val="00FE51B7"/>
    <w:rsid w:val="00FE63C9"/>
    <w:rsid w:val="00FE6580"/>
    <w:rsid w:val="00FE67E3"/>
    <w:rsid w:val="00FE6A06"/>
    <w:rsid w:val="00FE6E2F"/>
    <w:rsid w:val="00FE6E95"/>
    <w:rsid w:val="00FE70B1"/>
    <w:rsid w:val="00FF0619"/>
    <w:rsid w:val="00FF0B33"/>
    <w:rsid w:val="00FF1811"/>
    <w:rsid w:val="00FF1D73"/>
    <w:rsid w:val="00FF27E2"/>
    <w:rsid w:val="00FF2D48"/>
    <w:rsid w:val="00FF2EDA"/>
    <w:rsid w:val="00FF3295"/>
    <w:rsid w:val="00FF3815"/>
    <w:rsid w:val="00FF3B0A"/>
    <w:rsid w:val="00FF5B2D"/>
    <w:rsid w:val="00FF6023"/>
    <w:rsid w:val="00FF620C"/>
    <w:rsid w:val="00FF6A0F"/>
    <w:rsid w:val="00FF7AE0"/>
    <w:rsid w:val="00FF7FD0"/>
    <w:rsid w:val="17D117E8"/>
    <w:rsid w:val="24854DE7"/>
    <w:rsid w:val="343C3A9B"/>
    <w:rsid w:val="42D90E4A"/>
    <w:rsid w:val="7F9DA4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9C29"/>
  <w15:chartTrackingRefBased/>
  <w15:docId w15:val="{1C77828D-6D32-466A-A76B-9A4452D6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38"/>
    <w:pPr>
      <w:spacing w:after="200" w:line="276" w:lineRule="auto"/>
    </w:pPr>
    <w:rPr>
      <w:sz w:val="22"/>
      <w:szCs w:val="22"/>
      <w:lang w:eastAsia="en-US"/>
    </w:rPr>
  </w:style>
  <w:style w:type="paragraph" w:styleId="Heading1">
    <w:name w:val="heading 1"/>
    <w:basedOn w:val="Normal"/>
    <w:next w:val="Normal"/>
    <w:link w:val="Heading1Char"/>
    <w:uiPriority w:val="9"/>
    <w:qFormat/>
    <w:rsid w:val="00510B3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510B38"/>
    <w:pPr>
      <w:keepNext/>
      <w:spacing w:after="0" w:line="240" w:lineRule="auto"/>
      <w:outlineLvl w:val="1"/>
    </w:pPr>
    <w:rPr>
      <w:rFonts w:ascii="Times New Roman" w:eastAsia="Times New Roman" w:hAnsi="Times New Roman"/>
      <w:b/>
      <w:bCs/>
      <w:sz w:val="24"/>
      <w:szCs w:val="20"/>
    </w:rPr>
  </w:style>
  <w:style w:type="paragraph" w:styleId="Heading4">
    <w:name w:val="heading 4"/>
    <w:basedOn w:val="Normal"/>
    <w:next w:val="Normal"/>
    <w:link w:val="Heading4Char"/>
    <w:semiHidden/>
    <w:unhideWhenUsed/>
    <w:qFormat/>
    <w:rsid w:val="005E2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0B38"/>
    <w:rPr>
      <w:rFonts w:ascii="Cambria" w:eastAsia="Times New Roman" w:hAnsi="Cambria" w:cs="Times New Roman"/>
      <w:b/>
      <w:bCs/>
      <w:color w:val="365F91"/>
      <w:sz w:val="28"/>
      <w:szCs w:val="28"/>
    </w:rPr>
  </w:style>
  <w:style w:type="character" w:customStyle="1" w:styleId="Heading2Char">
    <w:name w:val="Heading 2 Char"/>
    <w:link w:val="Heading2"/>
    <w:rsid w:val="00510B38"/>
    <w:rPr>
      <w:rFonts w:ascii="Times New Roman" w:eastAsia="Times New Roman" w:hAnsi="Times New Roman" w:cs="Times New Roman"/>
      <w:b/>
      <w:bCs/>
      <w:sz w:val="24"/>
      <w:szCs w:val="20"/>
    </w:rPr>
  </w:style>
  <w:style w:type="paragraph" w:customStyle="1" w:styleId="ESText">
    <w:name w:val="ES_Text"/>
    <w:basedOn w:val="Normal"/>
    <w:rsid w:val="00510B38"/>
    <w:pPr>
      <w:spacing w:after="0" w:line="280" w:lineRule="exact"/>
    </w:pPr>
    <w:rPr>
      <w:rFonts w:ascii="Times New Roman" w:eastAsia="Times New Roman" w:hAnsi="Times New Roman"/>
      <w:sz w:val="24"/>
      <w:szCs w:val="20"/>
    </w:rPr>
  </w:style>
  <w:style w:type="character" w:styleId="Hyperlink">
    <w:name w:val="Hyperlink"/>
    <w:uiPriority w:val="99"/>
    <w:unhideWhenUsed/>
    <w:rsid w:val="00021939"/>
    <w:rPr>
      <w:color w:val="0563C1"/>
      <w:u w:val="single"/>
    </w:rPr>
  </w:style>
  <w:style w:type="character" w:styleId="CommentReference">
    <w:name w:val="annotation reference"/>
    <w:semiHidden/>
    <w:unhideWhenUsed/>
    <w:rsid w:val="007136E5"/>
    <w:rPr>
      <w:sz w:val="16"/>
      <w:szCs w:val="16"/>
    </w:rPr>
  </w:style>
  <w:style w:type="paragraph" w:styleId="CommentText">
    <w:name w:val="annotation text"/>
    <w:basedOn w:val="Normal"/>
    <w:link w:val="CommentTextChar"/>
    <w:unhideWhenUsed/>
    <w:rsid w:val="007136E5"/>
    <w:rPr>
      <w:sz w:val="20"/>
      <w:szCs w:val="20"/>
    </w:rPr>
  </w:style>
  <w:style w:type="character" w:customStyle="1" w:styleId="CommentTextChar">
    <w:name w:val="Comment Text Char"/>
    <w:link w:val="CommentText"/>
    <w:rsid w:val="007136E5"/>
    <w:rPr>
      <w:lang w:eastAsia="en-US"/>
    </w:rPr>
  </w:style>
  <w:style w:type="paragraph" w:styleId="CommentSubject">
    <w:name w:val="annotation subject"/>
    <w:basedOn w:val="CommentText"/>
    <w:next w:val="CommentText"/>
    <w:link w:val="CommentSubjectChar"/>
    <w:uiPriority w:val="99"/>
    <w:semiHidden/>
    <w:unhideWhenUsed/>
    <w:rsid w:val="007136E5"/>
    <w:rPr>
      <w:b/>
      <w:bCs/>
    </w:rPr>
  </w:style>
  <w:style w:type="character" w:customStyle="1" w:styleId="CommentSubjectChar">
    <w:name w:val="Comment Subject Char"/>
    <w:link w:val="CommentSubject"/>
    <w:uiPriority w:val="99"/>
    <w:semiHidden/>
    <w:rsid w:val="007136E5"/>
    <w:rPr>
      <w:b/>
      <w:bCs/>
      <w:lang w:eastAsia="en-US"/>
    </w:rPr>
  </w:style>
  <w:style w:type="paragraph" w:styleId="BalloonText">
    <w:name w:val="Balloon Text"/>
    <w:basedOn w:val="Normal"/>
    <w:link w:val="BalloonTextChar"/>
    <w:uiPriority w:val="99"/>
    <w:semiHidden/>
    <w:unhideWhenUsed/>
    <w:rsid w:val="007136E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136E5"/>
    <w:rPr>
      <w:rFonts w:ascii="Segoe UI" w:hAnsi="Segoe UI" w:cs="Segoe UI"/>
      <w:sz w:val="18"/>
      <w:szCs w:val="18"/>
      <w:lang w:eastAsia="en-US"/>
    </w:rPr>
  </w:style>
  <w:style w:type="paragraph" w:styleId="Header">
    <w:name w:val="header"/>
    <w:basedOn w:val="Normal"/>
    <w:link w:val="HeaderChar"/>
    <w:uiPriority w:val="99"/>
    <w:unhideWhenUsed/>
    <w:rsid w:val="00AF0C6A"/>
    <w:pPr>
      <w:tabs>
        <w:tab w:val="center" w:pos="4513"/>
        <w:tab w:val="right" w:pos="9026"/>
      </w:tabs>
    </w:pPr>
  </w:style>
  <w:style w:type="character" w:customStyle="1" w:styleId="HeaderChar">
    <w:name w:val="Header Char"/>
    <w:link w:val="Header"/>
    <w:uiPriority w:val="99"/>
    <w:rsid w:val="00AF0C6A"/>
    <w:rPr>
      <w:sz w:val="22"/>
      <w:szCs w:val="22"/>
      <w:lang w:eastAsia="en-US"/>
    </w:rPr>
  </w:style>
  <w:style w:type="paragraph" w:styleId="Footer">
    <w:name w:val="footer"/>
    <w:basedOn w:val="Normal"/>
    <w:link w:val="FooterChar"/>
    <w:uiPriority w:val="99"/>
    <w:unhideWhenUsed/>
    <w:rsid w:val="00AF0C6A"/>
    <w:pPr>
      <w:tabs>
        <w:tab w:val="center" w:pos="4513"/>
        <w:tab w:val="right" w:pos="9026"/>
      </w:tabs>
    </w:pPr>
  </w:style>
  <w:style w:type="character" w:customStyle="1" w:styleId="FooterChar">
    <w:name w:val="Footer Char"/>
    <w:link w:val="Footer"/>
    <w:uiPriority w:val="99"/>
    <w:rsid w:val="00AF0C6A"/>
    <w:rPr>
      <w:sz w:val="22"/>
      <w:szCs w:val="22"/>
      <w:lang w:eastAsia="en-US"/>
    </w:rPr>
  </w:style>
  <w:style w:type="paragraph" w:styleId="ListParagraph">
    <w:name w:val="List Paragraph"/>
    <w:aliases w:val="List Paragraph1,Recommendation,List Paragraph11,Bullet point,L,List Paragraph111,F5 List Paragraph,Dot pt,CV text,Table text,Medium Grid 1 - Accent 21,Numbered Paragraph,List Paragraph2,NFP GP Bulleted List,FooterText,numbered,列出段,列出,列,B1"/>
    <w:basedOn w:val="Normal"/>
    <w:link w:val="ListParagraphChar"/>
    <w:uiPriority w:val="34"/>
    <w:qFormat/>
    <w:rsid w:val="0098672B"/>
    <w:pPr>
      <w:ind w:left="720"/>
    </w:pPr>
  </w:style>
  <w:style w:type="paragraph" w:styleId="FootnoteText">
    <w:name w:val="footnote text"/>
    <w:basedOn w:val="Normal"/>
    <w:link w:val="FootnoteTextChar"/>
    <w:unhideWhenUsed/>
    <w:rsid w:val="009467B3"/>
    <w:rPr>
      <w:sz w:val="20"/>
      <w:szCs w:val="20"/>
    </w:rPr>
  </w:style>
  <w:style w:type="character" w:customStyle="1" w:styleId="FootnoteTextChar">
    <w:name w:val="Footnote Text Char"/>
    <w:link w:val="FootnoteText"/>
    <w:rsid w:val="009467B3"/>
    <w:rPr>
      <w:lang w:eastAsia="en-US"/>
    </w:rPr>
  </w:style>
  <w:style w:type="character" w:styleId="FootnoteReference">
    <w:name w:val="footnote reference"/>
    <w:unhideWhenUsed/>
    <w:rsid w:val="009467B3"/>
    <w:rPr>
      <w:vertAlign w:val="superscript"/>
    </w:rPr>
  </w:style>
  <w:style w:type="character" w:customStyle="1" w:styleId="Calibri12">
    <w:name w:val="Calibri 12"/>
    <w:basedOn w:val="DefaultParagraphFont"/>
    <w:uiPriority w:val="1"/>
    <w:qFormat/>
    <w:rsid w:val="00A86E6E"/>
    <w:rPr>
      <w:rFonts w:ascii="Calibri" w:hAnsi="Calibri" w:cs="Calibri" w:hint="default"/>
      <w:sz w:val="24"/>
    </w:rPr>
  </w:style>
  <w:style w:type="paragraph" w:customStyle="1" w:styleId="Default">
    <w:name w:val="Default"/>
    <w:rsid w:val="000E4D0C"/>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List Paragraph1 Char,Recommendation Char,List Paragraph11 Char,Bullet point Char,L Char,List Paragraph111 Char,F5 List Paragraph Char,Dot pt Char,CV text Char,Table text Char,Medium Grid 1 - Accent 21 Char,Numbered Paragraph Char"/>
    <w:basedOn w:val="DefaultParagraphFont"/>
    <w:link w:val="ListParagraph"/>
    <w:uiPriority w:val="34"/>
    <w:qFormat/>
    <w:locked/>
    <w:rsid w:val="000242A6"/>
    <w:rPr>
      <w:sz w:val="22"/>
      <w:szCs w:val="22"/>
      <w:lang w:eastAsia="en-US"/>
    </w:rPr>
  </w:style>
  <w:style w:type="paragraph" w:styleId="NoSpacing">
    <w:name w:val="No Spacing"/>
    <w:uiPriority w:val="1"/>
    <w:qFormat/>
    <w:rsid w:val="0026577B"/>
    <w:rPr>
      <w:sz w:val="22"/>
      <w:szCs w:val="22"/>
      <w:lang w:eastAsia="en-US"/>
    </w:rPr>
  </w:style>
  <w:style w:type="character" w:styleId="UnresolvedMention">
    <w:name w:val="Unresolved Mention"/>
    <w:basedOn w:val="DefaultParagraphFont"/>
    <w:uiPriority w:val="99"/>
    <w:semiHidden/>
    <w:unhideWhenUsed/>
    <w:rsid w:val="00D71934"/>
    <w:rPr>
      <w:color w:val="605E5C"/>
      <w:shd w:val="clear" w:color="auto" w:fill="E1DFDD"/>
    </w:rPr>
  </w:style>
  <w:style w:type="character" w:customStyle="1" w:styleId="Heading4Char">
    <w:name w:val="Heading 4 Char"/>
    <w:basedOn w:val="DefaultParagraphFont"/>
    <w:link w:val="Heading4"/>
    <w:semiHidden/>
    <w:rsid w:val="005E2D1A"/>
    <w:rPr>
      <w:rFonts w:asciiTheme="majorHAnsi" w:eastAsiaTheme="majorEastAsia" w:hAnsiTheme="majorHAnsi" w:cstheme="majorBidi"/>
      <w:i/>
      <w:iCs/>
      <w:color w:val="2F5496" w:themeColor="accent1" w:themeShade="BF"/>
      <w:sz w:val="22"/>
      <w:szCs w:val="22"/>
      <w:lang w:eastAsia="en-US"/>
    </w:rPr>
  </w:style>
  <w:style w:type="paragraph" w:styleId="NormalWeb">
    <w:name w:val="Normal (Web)"/>
    <w:basedOn w:val="Normal"/>
    <w:uiPriority w:val="99"/>
    <w:semiHidden/>
    <w:unhideWhenUsed/>
    <w:rsid w:val="00A40D9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listparagraph0">
    <w:name w:val="listparagraph"/>
    <w:basedOn w:val="Normal"/>
    <w:rsid w:val="00CA3C46"/>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F6377F"/>
    <w:rPr>
      <w:sz w:val="22"/>
      <w:szCs w:val="22"/>
      <w:lang w:eastAsia="en-US"/>
    </w:rPr>
  </w:style>
  <w:style w:type="character" w:styleId="FollowedHyperlink">
    <w:name w:val="FollowedHyperlink"/>
    <w:basedOn w:val="DefaultParagraphFont"/>
    <w:uiPriority w:val="99"/>
    <w:semiHidden/>
    <w:unhideWhenUsed/>
    <w:rsid w:val="00995F38"/>
    <w:rPr>
      <w:color w:val="954F72" w:themeColor="followedHyperlink"/>
      <w:u w:val="single"/>
    </w:rPr>
  </w:style>
  <w:style w:type="character" w:customStyle="1" w:styleId="cf01">
    <w:name w:val="cf01"/>
    <w:basedOn w:val="DefaultParagraphFont"/>
    <w:rsid w:val="00ED443C"/>
    <w:rPr>
      <w:rFonts w:ascii="Segoe UI" w:hAnsi="Segoe UI" w:cs="Segoe UI" w:hint="default"/>
      <w:color w:val="FF0000"/>
      <w:sz w:val="18"/>
      <w:szCs w:val="18"/>
      <w:shd w:val="clear" w:color="auto" w:fill="FFFF00"/>
    </w:rPr>
  </w:style>
  <w:style w:type="table" w:styleId="TableGrid">
    <w:name w:val="Table Grid"/>
    <w:basedOn w:val="TableNormal"/>
    <w:uiPriority w:val="59"/>
    <w:rsid w:val="005A4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graphnumbering">
    <w:name w:val="CS - Paragraph numbering"/>
    <w:basedOn w:val="Normal"/>
    <w:rsid w:val="00F7715A"/>
    <w:pPr>
      <w:numPr>
        <w:numId w:val="40"/>
      </w:numPr>
      <w:spacing w:after="120"/>
      <w:ind w:left="567" w:right="-45" w:hanging="567"/>
    </w:pPr>
    <w:rPr>
      <w:rFonts w:asciiTheme="minorHAnsi" w:eastAsiaTheme="minorHAnsi" w:hAnsiTheme="minorHAnsi" w:cstheme="minorBidi"/>
      <w:sz w:val="24"/>
      <w:szCs w:val="24"/>
    </w:rPr>
  </w:style>
  <w:style w:type="table" w:styleId="GridTable7Colorful">
    <w:name w:val="Grid Table 7 Colorful"/>
    <w:basedOn w:val="TableNormal"/>
    <w:uiPriority w:val="52"/>
    <w:rsid w:val="00F7715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F771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7653">
      <w:bodyDiv w:val="1"/>
      <w:marLeft w:val="0"/>
      <w:marRight w:val="0"/>
      <w:marTop w:val="0"/>
      <w:marBottom w:val="0"/>
      <w:divBdr>
        <w:top w:val="none" w:sz="0" w:space="0" w:color="auto"/>
        <w:left w:val="none" w:sz="0" w:space="0" w:color="auto"/>
        <w:bottom w:val="none" w:sz="0" w:space="0" w:color="auto"/>
        <w:right w:val="none" w:sz="0" w:space="0" w:color="auto"/>
      </w:divBdr>
    </w:div>
    <w:div w:id="181672331">
      <w:bodyDiv w:val="1"/>
      <w:marLeft w:val="0"/>
      <w:marRight w:val="0"/>
      <w:marTop w:val="0"/>
      <w:marBottom w:val="0"/>
      <w:divBdr>
        <w:top w:val="none" w:sz="0" w:space="0" w:color="auto"/>
        <w:left w:val="none" w:sz="0" w:space="0" w:color="auto"/>
        <w:bottom w:val="none" w:sz="0" w:space="0" w:color="auto"/>
        <w:right w:val="none" w:sz="0" w:space="0" w:color="auto"/>
      </w:divBdr>
    </w:div>
    <w:div w:id="236787987">
      <w:bodyDiv w:val="1"/>
      <w:marLeft w:val="0"/>
      <w:marRight w:val="0"/>
      <w:marTop w:val="0"/>
      <w:marBottom w:val="0"/>
      <w:divBdr>
        <w:top w:val="none" w:sz="0" w:space="0" w:color="auto"/>
        <w:left w:val="none" w:sz="0" w:space="0" w:color="auto"/>
        <w:bottom w:val="none" w:sz="0" w:space="0" w:color="auto"/>
        <w:right w:val="none" w:sz="0" w:space="0" w:color="auto"/>
      </w:divBdr>
      <w:divsChild>
        <w:div w:id="73474670">
          <w:marLeft w:val="0"/>
          <w:marRight w:val="0"/>
          <w:marTop w:val="0"/>
          <w:marBottom w:val="0"/>
          <w:divBdr>
            <w:top w:val="none" w:sz="0" w:space="0" w:color="auto"/>
            <w:left w:val="none" w:sz="0" w:space="0" w:color="auto"/>
            <w:bottom w:val="none" w:sz="0" w:space="0" w:color="auto"/>
            <w:right w:val="none" w:sz="0" w:space="0" w:color="auto"/>
          </w:divBdr>
        </w:div>
        <w:div w:id="743186107">
          <w:marLeft w:val="0"/>
          <w:marRight w:val="0"/>
          <w:marTop w:val="0"/>
          <w:marBottom w:val="0"/>
          <w:divBdr>
            <w:top w:val="none" w:sz="0" w:space="0" w:color="auto"/>
            <w:left w:val="none" w:sz="0" w:space="0" w:color="auto"/>
            <w:bottom w:val="none" w:sz="0" w:space="0" w:color="auto"/>
            <w:right w:val="none" w:sz="0" w:space="0" w:color="auto"/>
          </w:divBdr>
        </w:div>
        <w:div w:id="1540048925">
          <w:marLeft w:val="0"/>
          <w:marRight w:val="0"/>
          <w:marTop w:val="0"/>
          <w:marBottom w:val="0"/>
          <w:divBdr>
            <w:top w:val="none" w:sz="0" w:space="0" w:color="auto"/>
            <w:left w:val="none" w:sz="0" w:space="0" w:color="auto"/>
            <w:bottom w:val="none" w:sz="0" w:space="0" w:color="auto"/>
            <w:right w:val="none" w:sz="0" w:space="0" w:color="auto"/>
          </w:divBdr>
        </w:div>
        <w:div w:id="1828741991">
          <w:marLeft w:val="0"/>
          <w:marRight w:val="0"/>
          <w:marTop w:val="0"/>
          <w:marBottom w:val="0"/>
          <w:divBdr>
            <w:top w:val="none" w:sz="0" w:space="0" w:color="auto"/>
            <w:left w:val="none" w:sz="0" w:space="0" w:color="auto"/>
            <w:bottom w:val="none" w:sz="0" w:space="0" w:color="auto"/>
            <w:right w:val="none" w:sz="0" w:space="0" w:color="auto"/>
          </w:divBdr>
        </w:div>
      </w:divsChild>
    </w:div>
    <w:div w:id="339309867">
      <w:bodyDiv w:val="1"/>
      <w:marLeft w:val="0"/>
      <w:marRight w:val="0"/>
      <w:marTop w:val="0"/>
      <w:marBottom w:val="0"/>
      <w:divBdr>
        <w:top w:val="none" w:sz="0" w:space="0" w:color="auto"/>
        <w:left w:val="none" w:sz="0" w:space="0" w:color="auto"/>
        <w:bottom w:val="none" w:sz="0" w:space="0" w:color="auto"/>
        <w:right w:val="none" w:sz="0" w:space="0" w:color="auto"/>
      </w:divBdr>
    </w:div>
    <w:div w:id="362365470">
      <w:bodyDiv w:val="1"/>
      <w:marLeft w:val="0"/>
      <w:marRight w:val="0"/>
      <w:marTop w:val="0"/>
      <w:marBottom w:val="0"/>
      <w:divBdr>
        <w:top w:val="none" w:sz="0" w:space="0" w:color="auto"/>
        <w:left w:val="none" w:sz="0" w:space="0" w:color="auto"/>
        <w:bottom w:val="none" w:sz="0" w:space="0" w:color="auto"/>
        <w:right w:val="none" w:sz="0" w:space="0" w:color="auto"/>
      </w:divBdr>
    </w:div>
    <w:div w:id="464395534">
      <w:bodyDiv w:val="1"/>
      <w:marLeft w:val="0"/>
      <w:marRight w:val="0"/>
      <w:marTop w:val="0"/>
      <w:marBottom w:val="0"/>
      <w:divBdr>
        <w:top w:val="none" w:sz="0" w:space="0" w:color="auto"/>
        <w:left w:val="none" w:sz="0" w:space="0" w:color="auto"/>
        <w:bottom w:val="none" w:sz="0" w:space="0" w:color="auto"/>
        <w:right w:val="none" w:sz="0" w:space="0" w:color="auto"/>
      </w:divBdr>
    </w:div>
    <w:div w:id="591741142">
      <w:bodyDiv w:val="1"/>
      <w:marLeft w:val="0"/>
      <w:marRight w:val="0"/>
      <w:marTop w:val="0"/>
      <w:marBottom w:val="0"/>
      <w:divBdr>
        <w:top w:val="none" w:sz="0" w:space="0" w:color="auto"/>
        <w:left w:val="none" w:sz="0" w:space="0" w:color="auto"/>
        <w:bottom w:val="none" w:sz="0" w:space="0" w:color="auto"/>
        <w:right w:val="none" w:sz="0" w:space="0" w:color="auto"/>
      </w:divBdr>
    </w:div>
    <w:div w:id="790787651">
      <w:bodyDiv w:val="1"/>
      <w:marLeft w:val="0"/>
      <w:marRight w:val="0"/>
      <w:marTop w:val="0"/>
      <w:marBottom w:val="0"/>
      <w:divBdr>
        <w:top w:val="none" w:sz="0" w:space="0" w:color="auto"/>
        <w:left w:val="none" w:sz="0" w:space="0" w:color="auto"/>
        <w:bottom w:val="none" w:sz="0" w:space="0" w:color="auto"/>
        <w:right w:val="none" w:sz="0" w:space="0" w:color="auto"/>
      </w:divBdr>
    </w:div>
    <w:div w:id="1077436117">
      <w:bodyDiv w:val="1"/>
      <w:marLeft w:val="0"/>
      <w:marRight w:val="0"/>
      <w:marTop w:val="0"/>
      <w:marBottom w:val="0"/>
      <w:divBdr>
        <w:top w:val="none" w:sz="0" w:space="0" w:color="auto"/>
        <w:left w:val="none" w:sz="0" w:space="0" w:color="auto"/>
        <w:bottom w:val="none" w:sz="0" w:space="0" w:color="auto"/>
        <w:right w:val="none" w:sz="0" w:space="0" w:color="auto"/>
      </w:divBdr>
    </w:div>
    <w:div w:id="1158494056">
      <w:bodyDiv w:val="1"/>
      <w:marLeft w:val="0"/>
      <w:marRight w:val="0"/>
      <w:marTop w:val="0"/>
      <w:marBottom w:val="0"/>
      <w:divBdr>
        <w:top w:val="none" w:sz="0" w:space="0" w:color="auto"/>
        <w:left w:val="none" w:sz="0" w:space="0" w:color="auto"/>
        <w:bottom w:val="none" w:sz="0" w:space="0" w:color="auto"/>
        <w:right w:val="none" w:sz="0" w:space="0" w:color="auto"/>
      </w:divBdr>
    </w:div>
    <w:div w:id="1204364043">
      <w:bodyDiv w:val="1"/>
      <w:marLeft w:val="0"/>
      <w:marRight w:val="0"/>
      <w:marTop w:val="0"/>
      <w:marBottom w:val="0"/>
      <w:divBdr>
        <w:top w:val="none" w:sz="0" w:space="0" w:color="auto"/>
        <w:left w:val="none" w:sz="0" w:space="0" w:color="auto"/>
        <w:bottom w:val="none" w:sz="0" w:space="0" w:color="auto"/>
        <w:right w:val="none" w:sz="0" w:space="0" w:color="auto"/>
      </w:divBdr>
    </w:div>
    <w:div w:id="1283418821">
      <w:bodyDiv w:val="1"/>
      <w:marLeft w:val="0"/>
      <w:marRight w:val="0"/>
      <w:marTop w:val="0"/>
      <w:marBottom w:val="0"/>
      <w:divBdr>
        <w:top w:val="none" w:sz="0" w:space="0" w:color="auto"/>
        <w:left w:val="none" w:sz="0" w:space="0" w:color="auto"/>
        <w:bottom w:val="none" w:sz="0" w:space="0" w:color="auto"/>
        <w:right w:val="none" w:sz="0" w:space="0" w:color="auto"/>
      </w:divBdr>
    </w:div>
    <w:div w:id="1339580381">
      <w:bodyDiv w:val="1"/>
      <w:marLeft w:val="0"/>
      <w:marRight w:val="0"/>
      <w:marTop w:val="0"/>
      <w:marBottom w:val="0"/>
      <w:divBdr>
        <w:top w:val="none" w:sz="0" w:space="0" w:color="auto"/>
        <w:left w:val="none" w:sz="0" w:space="0" w:color="auto"/>
        <w:bottom w:val="none" w:sz="0" w:space="0" w:color="auto"/>
        <w:right w:val="none" w:sz="0" w:space="0" w:color="auto"/>
      </w:divBdr>
    </w:div>
    <w:div w:id="1426074177">
      <w:bodyDiv w:val="1"/>
      <w:marLeft w:val="0"/>
      <w:marRight w:val="0"/>
      <w:marTop w:val="0"/>
      <w:marBottom w:val="0"/>
      <w:divBdr>
        <w:top w:val="none" w:sz="0" w:space="0" w:color="auto"/>
        <w:left w:val="none" w:sz="0" w:space="0" w:color="auto"/>
        <w:bottom w:val="none" w:sz="0" w:space="0" w:color="auto"/>
        <w:right w:val="none" w:sz="0" w:space="0" w:color="auto"/>
      </w:divBdr>
    </w:div>
    <w:div w:id="1639218520">
      <w:bodyDiv w:val="1"/>
      <w:marLeft w:val="0"/>
      <w:marRight w:val="0"/>
      <w:marTop w:val="0"/>
      <w:marBottom w:val="0"/>
      <w:divBdr>
        <w:top w:val="none" w:sz="0" w:space="0" w:color="auto"/>
        <w:left w:val="none" w:sz="0" w:space="0" w:color="auto"/>
        <w:bottom w:val="none" w:sz="0" w:space="0" w:color="auto"/>
        <w:right w:val="none" w:sz="0" w:space="0" w:color="auto"/>
      </w:divBdr>
      <w:divsChild>
        <w:div w:id="277688930">
          <w:marLeft w:val="0"/>
          <w:marRight w:val="0"/>
          <w:marTop w:val="15"/>
          <w:marBottom w:val="0"/>
          <w:divBdr>
            <w:top w:val="none" w:sz="0" w:space="0" w:color="auto"/>
            <w:left w:val="none" w:sz="0" w:space="0" w:color="auto"/>
            <w:bottom w:val="none" w:sz="0" w:space="0" w:color="auto"/>
            <w:right w:val="none" w:sz="0" w:space="0" w:color="auto"/>
          </w:divBdr>
          <w:divsChild>
            <w:div w:id="196548166">
              <w:marLeft w:val="0"/>
              <w:marRight w:val="0"/>
              <w:marTop w:val="0"/>
              <w:marBottom w:val="0"/>
              <w:divBdr>
                <w:top w:val="none" w:sz="0" w:space="0" w:color="auto"/>
                <w:left w:val="none" w:sz="0" w:space="0" w:color="auto"/>
                <w:bottom w:val="none" w:sz="0" w:space="0" w:color="auto"/>
                <w:right w:val="none" w:sz="0" w:space="0" w:color="auto"/>
              </w:divBdr>
              <w:divsChild>
                <w:div w:id="1288005196">
                  <w:marLeft w:val="0"/>
                  <w:marRight w:val="0"/>
                  <w:marTop w:val="0"/>
                  <w:marBottom w:val="0"/>
                  <w:divBdr>
                    <w:top w:val="none" w:sz="0" w:space="0" w:color="auto"/>
                    <w:left w:val="none" w:sz="0" w:space="0" w:color="auto"/>
                    <w:bottom w:val="none" w:sz="0" w:space="0" w:color="auto"/>
                    <w:right w:val="none" w:sz="0" w:space="0" w:color="auto"/>
                  </w:divBdr>
                </w:div>
                <w:div w:id="21317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workaustralia.gov.au/system/files/documents/1902/review_of_the_model_whs_laws_final_report_0.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afeworkaustralia.gov.au/about-us/who-we-are-and-what-we-d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tion.gov.au/sites/default/files/about/agreements/OHS_IG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0286F33704294299E0210587A38756" ma:contentTypeVersion="4" ma:contentTypeDescription="Create a new document." ma:contentTypeScope="" ma:versionID="ed934a2356021e06631ae46f04ddec08">
  <xsd:schema xmlns:xsd="http://www.w3.org/2001/XMLSchema" xmlns:xs="http://www.w3.org/2001/XMLSchema" xmlns:p="http://schemas.microsoft.com/office/2006/metadata/properties" xmlns:ns2="2d057cc2-410a-46e1-a895-95eff28ea422" targetNamespace="http://schemas.microsoft.com/office/2006/metadata/properties" ma:root="true" ma:fieldsID="8800aab41ac91895a0d1535417e70ba1" ns2:_="">
    <xsd:import namespace="2d057cc2-410a-46e1-a895-95eff28ea4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57cc2-410a-46e1-a895-95eff28ea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EF8AF-9BE0-4141-9C4E-6DE4F6654E7D}">
  <ds:schemaRefs>
    <ds:schemaRef ds:uri="http://schemas.openxmlformats.org/officeDocument/2006/bibliography"/>
  </ds:schemaRefs>
</ds:datastoreItem>
</file>

<file path=customXml/itemProps2.xml><?xml version="1.0" encoding="utf-8"?>
<ds:datastoreItem xmlns:ds="http://schemas.openxmlformats.org/officeDocument/2006/customXml" ds:itemID="{1E177DEC-E0C7-4F7E-9E7B-9A7193DB3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57cc2-410a-46e1-a895-95eff28ea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66E29-0939-4691-91C3-4CC4CC292EA3}">
  <ds:schemaRefs>
    <ds:schemaRef ds:uri="http://schemas.microsoft.com/sharepoint/v3/contenttype/forms"/>
  </ds:schemaRefs>
</ds:datastoreItem>
</file>

<file path=customXml/itemProps4.xml><?xml version="1.0" encoding="utf-8"?>
<ds:datastoreItem xmlns:ds="http://schemas.openxmlformats.org/officeDocument/2006/customXml" ds:itemID="{F32B80FC-05D1-4195-B0F6-BAB7274E4A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7716</Words>
  <Characters>40676</Characters>
  <Application>Microsoft Office Word</Application>
  <DocSecurity>0</DocSecurity>
  <Lines>815</Lines>
  <Paragraphs>340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4</cp:revision>
  <dcterms:created xsi:type="dcterms:W3CDTF">2024-02-07T23:57:00Z</dcterms:created>
  <dcterms:modified xsi:type="dcterms:W3CDTF">2024-02-07T23:57:00Z</dcterms:modified>
</cp:coreProperties>
</file>