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4DB" w14:textId="77777777" w:rsidR="00BD2462" w:rsidRDefault="00902859">
      <w:pPr>
        <w:spacing w:before="82"/>
        <w:ind w:left="1572" w:right="1572"/>
        <w:jc w:val="center"/>
        <w:rPr>
          <w:b/>
          <w:sz w:val="24"/>
        </w:rPr>
      </w:pPr>
      <w:r>
        <w:rPr>
          <w:b/>
          <w:spacing w:val="-4"/>
          <w:sz w:val="24"/>
        </w:rPr>
        <w:t>2024</w:t>
      </w:r>
    </w:p>
    <w:p w14:paraId="31176A32" w14:textId="77777777" w:rsidR="00BD2462" w:rsidRDefault="00BD2462">
      <w:pPr>
        <w:pStyle w:val="BodyText"/>
        <w:rPr>
          <w:b/>
          <w:sz w:val="24"/>
        </w:rPr>
      </w:pPr>
    </w:p>
    <w:p w14:paraId="6A51C253" w14:textId="77777777" w:rsidR="00BD2462" w:rsidRDefault="00BD2462">
      <w:pPr>
        <w:pStyle w:val="BodyText"/>
        <w:rPr>
          <w:b/>
          <w:sz w:val="24"/>
        </w:rPr>
      </w:pPr>
    </w:p>
    <w:p w14:paraId="5D98D2E7" w14:textId="77777777" w:rsidR="00BD2462" w:rsidRDefault="00BD2462">
      <w:pPr>
        <w:pStyle w:val="BodyText"/>
        <w:rPr>
          <w:b/>
          <w:sz w:val="24"/>
        </w:rPr>
      </w:pPr>
    </w:p>
    <w:p w14:paraId="4ADFBF36" w14:textId="77777777" w:rsidR="00BD2462" w:rsidRDefault="00BD2462">
      <w:pPr>
        <w:pStyle w:val="BodyText"/>
        <w:rPr>
          <w:b/>
          <w:sz w:val="24"/>
        </w:rPr>
      </w:pPr>
    </w:p>
    <w:p w14:paraId="04B7458D" w14:textId="77777777" w:rsidR="00BD2462" w:rsidRDefault="00902859">
      <w:pPr>
        <w:ind w:left="1571" w:right="1572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LEGISLATIVE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ASSEMBLY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 AUSTRALIAN CAPITAL TERRITORY</w:t>
      </w:r>
    </w:p>
    <w:p w14:paraId="05F3D7EA" w14:textId="77777777" w:rsidR="00BD2462" w:rsidRDefault="00BD2462">
      <w:pPr>
        <w:pStyle w:val="BodyText"/>
        <w:rPr>
          <w:b/>
          <w:sz w:val="24"/>
        </w:rPr>
      </w:pPr>
    </w:p>
    <w:p w14:paraId="76AEED7E" w14:textId="77777777" w:rsidR="00BD2462" w:rsidRDefault="00902859">
      <w:pPr>
        <w:ind w:left="1572" w:right="1572"/>
        <w:jc w:val="center"/>
        <w:rPr>
          <w:b/>
          <w:sz w:val="24"/>
        </w:rPr>
      </w:pPr>
      <w:r>
        <w:rPr>
          <w:b/>
          <w:sz w:val="24"/>
        </w:rPr>
        <w:t>TENTH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ASSEMBLY</w:t>
      </w:r>
    </w:p>
    <w:p w14:paraId="2FD9F189" w14:textId="77777777" w:rsidR="00BD2462" w:rsidRDefault="00BD2462">
      <w:pPr>
        <w:pStyle w:val="BodyText"/>
        <w:rPr>
          <w:b/>
          <w:sz w:val="24"/>
        </w:rPr>
      </w:pPr>
    </w:p>
    <w:p w14:paraId="5713EADC" w14:textId="77777777" w:rsidR="00BD2462" w:rsidRDefault="00BD2462">
      <w:pPr>
        <w:pStyle w:val="BodyText"/>
        <w:rPr>
          <w:b/>
          <w:sz w:val="24"/>
        </w:rPr>
      </w:pPr>
    </w:p>
    <w:p w14:paraId="3225EED0" w14:textId="77777777" w:rsidR="00BD2462" w:rsidRDefault="00BD2462">
      <w:pPr>
        <w:pStyle w:val="BodyText"/>
        <w:rPr>
          <w:b/>
          <w:sz w:val="24"/>
        </w:rPr>
      </w:pPr>
    </w:p>
    <w:p w14:paraId="744762D2" w14:textId="77777777" w:rsidR="00BD2462" w:rsidRDefault="00BD2462">
      <w:pPr>
        <w:pStyle w:val="BodyText"/>
        <w:rPr>
          <w:b/>
          <w:sz w:val="24"/>
        </w:rPr>
      </w:pPr>
    </w:p>
    <w:p w14:paraId="71A71A82" w14:textId="77777777" w:rsidR="00BD2462" w:rsidRDefault="00BD2462">
      <w:pPr>
        <w:pStyle w:val="BodyText"/>
        <w:rPr>
          <w:b/>
          <w:sz w:val="24"/>
        </w:rPr>
      </w:pPr>
    </w:p>
    <w:p w14:paraId="32B0CFC2" w14:textId="77777777" w:rsidR="00BD2462" w:rsidRDefault="00BD2462">
      <w:pPr>
        <w:pStyle w:val="BodyText"/>
        <w:rPr>
          <w:b/>
          <w:sz w:val="24"/>
        </w:rPr>
      </w:pPr>
    </w:p>
    <w:p w14:paraId="441F19EC" w14:textId="77777777" w:rsidR="00BD2462" w:rsidRDefault="00BD2462">
      <w:pPr>
        <w:pStyle w:val="BodyText"/>
        <w:rPr>
          <w:b/>
          <w:sz w:val="24"/>
        </w:rPr>
      </w:pPr>
    </w:p>
    <w:p w14:paraId="78324168" w14:textId="77777777" w:rsidR="00BD2462" w:rsidRDefault="00BD2462">
      <w:pPr>
        <w:pStyle w:val="BodyText"/>
        <w:rPr>
          <w:b/>
          <w:sz w:val="24"/>
        </w:rPr>
      </w:pPr>
    </w:p>
    <w:p w14:paraId="3B042858" w14:textId="77777777" w:rsidR="00BD2462" w:rsidRDefault="00BD2462">
      <w:pPr>
        <w:pStyle w:val="BodyText"/>
        <w:rPr>
          <w:b/>
          <w:sz w:val="24"/>
        </w:rPr>
      </w:pPr>
    </w:p>
    <w:p w14:paraId="298C91A9" w14:textId="77777777" w:rsidR="00BD2462" w:rsidRDefault="00BD2462">
      <w:pPr>
        <w:pStyle w:val="BodyText"/>
        <w:rPr>
          <w:b/>
          <w:sz w:val="24"/>
        </w:rPr>
      </w:pPr>
    </w:p>
    <w:p w14:paraId="10BCC422" w14:textId="77777777" w:rsidR="00BD2462" w:rsidRDefault="00BD2462">
      <w:pPr>
        <w:pStyle w:val="BodyText"/>
        <w:rPr>
          <w:b/>
          <w:sz w:val="24"/>
        </w:rPr>
      </w:pPr>
    </w:p>
    <w:p w14:paraId="34BD079F" w14:textId="77777777" w:rsidR="00BD2462" w:rsidRDefault="00BD2462">
      <w:pPr>
        <w:pStyle w:val="BodyText"/>
        <w:rPr>
          <w:b/>
          <w:sz w:val="24"/>
        </w:rPr>
      </w:pPr>
    </w:p>
    <w:p w14:paraId="52DA2C3D" w14:textId="77777777" w:rsidR="00BD2462" w:rsidRDefault="00902859">
      <w:pPr>
        <w:spacing w:line="720" w:lineRule="auto"/>
        <w:ind w:left="251" w:right="250"/>
        <w:jc w:val="center"/>
        <w:rPr>
          <w:b/>
          <w:sz w:val="24"/>
        </w:rPr>
      </w:pPr>
      <w:r>
        <w:rPr>
          <w:b/>
          <w:sz w:val="24"/>
        </w:rPr>
        <w:t>LIQUOR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(NIGHT-TIME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ECONOMY)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AMENDMENT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2024 SUPPLEMENTARY EXPLANATORY STATEMENT</w:t>
      </w:r>
    </w:p>
    <w:p w14:paraId="16DFF2F5" w14:textId="77777777" w:rsidR="00BD2462" w:rsidRDefault="00BD2462">
      <w:pPr>
        <w:pStyle w:val="BodyText"/>
        <w:rPr>
          <w:b/>
          <w:sz w:val="24"/>
        </w:rPr>
      </w:pPr>
    </w:p>
    <w:p w14:paraId="28786FD5" w14:textId="77777777" w:rsidR="00BD2462" w:rsidRDefault="00BD2462">
      <w:pPr>
        <w:pStyle w:val="BodyText"/>
        <w:rPr>
          <w:b/>
          <w:sz w:val="24"/>
        </w:rPr>
      </w:pPr>
    </w:p>
    <w:p w14:paraId="2F66F527" w14:textId="77777777" w:rsidR="00BD2462" w:rsidRDefault="00BD2462">
      <w:pPr>
        <w:pStyle w:val="BodyText"/>
        <w:rPr>
          <w:b/>
          <w:sz w:val="24"/>
        </w:rPr>
      </w:pPr>
    </w:p>
    <w:p w14:paraId="1BD7AA8B" w14:textId="77777777" w:rsidR="00BD2462" w:rsidRDefault="00BD2462">
      <w:pPr>
        <w:pStyle w:val="BodyText"/>
        <w:rPr>
          <w:b/>
          <w:sz w:val="24"/>
        </w:rPr>
      </w:pPr>
    </w:p>
    <w:p w14:paraId="3BB65403" w14:textId="77777777" w:rsidR="00BD2462" w:rsidRDefault="00BD2462">
      <w:pPr>
        <w:pStyle w:val="BodyText"/>
        <w:rPr>
          <w:b/>
          <w:sz w:val="24"/>
        </w:rPr>
      </w:pPr>
    </w:p>
    <w:p w14:paraId="5CC1D5CC" w14:textId="77777777" w:rsidR="00BD2462" w:rsidRDefault="00BD2462">
      <w:pPr>
        <w:pStyle w:val="BodyText"/>
        <w:rPr>
          <w:b/>
          <w:sz w:val="24"/>
        </w:rPr>
      </w:pPr>
    </w:p>
    <w:p w14:paraId="1333E3BB" w14:textId="77777777" w:rsidR="00BD2462" w:rsidRDefault="00BD2462">
      <w:pPr>
        <w:pStyle w:val="BodyText"/>
        <w:rPr>
          <w:b/>
          <w:sz w:val="24"/>
        </w:rPr>
      </w:pPr>
    </w:p>
    <w:p w14:paraId="48B430A2" w14:textId="77777777" w:rsidR="00BD2462" w:rsidRDefault="00BD2462">
      <w:pPr>
        <w:pStyle w:val="BodyText"/>
        <w:rPr>
          <w:b/>
          <w:sz w:val="24"/>
        </w:rPr>
      </w:pPr>
    </w:p>
    <w:p w14:paraId="43BA9D6E" w14:textId="77777777" w:rsidR="00BD2462" w:rsidRDefault="00BD2462">
      <w:pPr>
        <w:pStyle w:val="BodyText"/>
        <w:rPr>
          <w:b/>
          <w:sz w:val="24"/>
        </w:rPr>
      </w:pPr>
    </w:p>
    <w:p w14:paraId="693651FC" w14:textId="77777777" w:rsidR="00BD2462" w:rsidRDefault="00BD2462">
      <w:pPr>
        <w:pStyle w:val="BodyText"/>
        <w:rPr>
          <w:b/>
          <w:sz w:val="24"/>
        </w:rPr>
      </w:pPr>
    </w:p>
    <w:p w14:paraId="63F42642" w14:textId="77777777" w:rsidR="00BD2462" w:rsidRDefault="00BD2462">
      <w:pPr>
        <w:pStyle w:val="BodyText"/>
        <w:rPr>
          <w:b/>
          <w:sz w:val="24"/>
        </w:rPr>
      </w:pPr>
    </w:p>
    <w:p w14:paraId="286C9987" w14:textId="77777777" w:rsidR="00BD2462" w:rsidRDefault="00BD2462">
      <w:pPr>
        <w:pStyle w:val="BodyText"/>
        <w:rPr>
          <w:b/>
          <w:sz w:val="24"/>
        </w:rPr>
      </w:pPr>
    </w:p>
    <w:p w14:paraId="694AAAEE" w14:textId="77777777" w:rsidR="00BD2462" w:rsidRDefault="00BD2462">
      <w:pPr>
        <w:pStyle w:val="BodyText"/>
        <w:rPr>
          <w:b/>
          <w:sz w:val="24"/>
        </w:rPr>
      </w:pPr>
    </w:p>
    <w:p w14:paraId="708C52F6" w14:textId="77777777" w:rsidR="00BD2462" w:rsidRDefault="00BD2462">
      <w:pPr>
        <w:pStyle w:val="BodyText"/>
        <w:rPr>
          <w:b/>
          <w:sz w:val="24"/>
        </w:rPr>
      </w:pPr>
    </w:p>
    <w:p w14:paraId="525793CA" w14:textId="77777777" w:rsidR="00BD2462" w:rsidRDefault="00BD2462">
      <w:pPr>
        <w:pStyle w:val="BodyText"/>
        <w:rPr>
          <w:b/>
          <w:sz w:val="24"/>
        </w:rPr>
      </w:pPr>
    </w:p>
    <w:p w14:paraId="04CD7FEF" w14:textId="77777777" w:rsidR="00BD2462" w:rsidRDefault="00BD2462">
      <w:pPr>
        <w:pStyle w:val="BodyText"/>
        <w:spacing w:before="1"/>
        <w:rPr>
          <w:b/>
          <w:sz w:val="24"/>
        </w:rPr>
      </w:pPr>
    </w:p>
    <w:p w14:paraId="5AB1953E" w14:textId="77777777" w:rsidR="00BD2462" w:rsidRDefault="00902859">
      <w:pPr>
        <w:ind w:left="7118" w:right="117" w:firstLine="518"/>
        <w:jc w:val="right"/>
        <w:rPr>
          <w:b/>
          <w:sz w:val="24"/>
        </w:rPr>
      </w:pPr>
      <w:r>
        <w:rPr>
          <w:b/>
          <w:sz w:val="24"/>
        </w:rPr>
        <w:t>Presented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by Tara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Cheyne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MLA</w:t>
      </w:r>
    </w:p>
    <w:p w14:paraId="69B745CF" w14:textId="77777777" w:rsidR="00BD2462" w:rsidRDefault="00902859">
      <w:pPr>
        <w:ind w:right="115"/>
        <w:jc w:val="right"/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2"/>
          <w:sz w:val="24"/>
        </w:rPr>
        <w:t xml:space="preserve"> Reform</w:t>
      </w:r>
    </w:p>
    <w:p w14:paraId="36FE11AF" w14:textId="1B73EC60" w:rsidR="00BD2462" w:rsidRDefault="00902859">
      <w:pPr>
        <w:spacing w:before="252"/>
        <w:ind w:right="115"/>
        <w:jc w:val="right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4BF9273D" w14:textId="77777777" w:rsidR="00BD2462" w:rsidRDefault="00BD2462">
      <w:pPr>
        <w:jc w:val="right"/>
        <w:rPr>
          <w:sz w:val="24"/>
        </w:rPr>
        <w:sectPr w:rsidR="00BD24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1320" w:bottom="280" w:left="1320" w:header="720" w:footer="720" w:gutter="0"/>
          <w:cols w:space="720"/>
        </w:sectPr>
      </w:pPr>
    </w:p>
    <w:p w14:paraId="30631FA2" w14:textId="77777777" w:rsidR="00BD2462" w:rsidRDefault="00BD2462">
      <w:pPr>
        <w:pStyle w:val="BodyText"/>
        <w:spacing w:before="4"/>
        <w:rPr>
          <w:b/>
          <w:sz w:val="17"/>
        </w:rPr>
      </w:pPr>
    </w:p>
    <w:p w14:paraId="65C166D6" w14:textId="77777777" w:rsidR="00BD2462" w:rsidRDefault="00BD2462">
      <w:pPr>
        <w:rPr>
          <w:sz w:val="17"/>
        </w:rPr>
        <w:sectPr w:rsidR="00BD2462">
          <w:pgSz w:w="11910" w:h="16840"/>
          <w:pgMar w:top="1920" w:right="1320" w:bottom="280" w:left="1320" w:header="720" w:footer="720" w:gutter="0"/>
          <w:cols w:space="720"/>
        </w:sectPr>
      </w:pPr>
    </w:p>
    <w:p w14:paraId="4793098A" w14:textId="77777777" w:rsidR="00BD2462" w:rsidRDefault="00902859">
      <w:pPr>
        <w:spacing w:before="82"/>
        <w:ind w:left="350" w:right="250"/>
        <w:jc w:val="center"/>
        <w:rPr>
          <w:b/>
          <w:sz w:val="24"/>
        </w:rPr>
      </w:pPr>
      <w:r>
        <w:rPr>
          <w:b/>
          <w:sz w:val="24"/>
        </w:rPr>
        <w:lastRenderedPageBreak/>
        <w:t>LIQUOR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(NIGHT-TIME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ECONOMY)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AMENDMENT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6EE1DF40" w14:textId="77777777" w:rsidR="00BD2462" w:rsidRDefault="00BD2462">
      <w:pPr>
        <w:pStyle w:val="BodyText"/>
        <w:spacing w:before="252"/>
        <w:rPr>
          <w:b/>
          <w:sz w:val="24"/>
        </w:rPr>
      </w:pPr>
    </w:p>
    <w:p w14:paraId="6A3E9E92" w14:textId="77777777" w:rsidR="00BD2462" w:rsidRDefault="00902859">
      <w:pPr>
        <w:ind w:left="120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14:paraId="7F563ED9" w14:textId="77777777" w:rsidR="00BD2462" w:rsidRDefault="00902859">
      <w:pPr>
        <w:pStyle w:val="BodyText"/>
        <w:spacing w:before="119" w:line="278" w:lineRule="auto"/>
        <w:ind w:left="119" w:right="556"/>
      </w:pPr>
      <w:r>
        <w:t>This</w:t>
      </w:r>
      <w:r>
        <w:rPr>
          <w:spacing w:val="-2"/>
        </w:rPr>
        <w:t xml:space="preserve"> </w:t>
      </w:r>
      <w:r>
        <w:t>supplementary</w:t>
      </w:r>
      <w:r>
        <w:rPr>
          <w:spacing w:val="-5"/>
        </w:rPr>
        <w:t xml:space="preserve"> </w:t>
      </w:r>
      <w:r>
        <w:t>Explanatory</w:t>
      </w:r>
      <w:r>
        <w:rPr>
          <w:spacing w:val="-5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amendments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Liquor (Night-Time Economy) Amendment Bill 2024 (the Bill).</w:t>
      </w:r>
    </w:p>
    <w:p w14:paraId="2AB5F5AE" w14:textId="77777777" w:rsidR="00BD2462" w:rsidRDefault="00902859">
      <w:pPr>
        <w:pStyle w:val="BodyText"/>
        <w:spacing w:before="117"/>
        <w:ind w:left="119"/>
      </w:pPr>
      <w:r>
        <w:t>The</w:t>
      </w:r>
      <w:r>
        <w:rPr>
          <w:spacing w:val="-6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introduced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p w14:paraId="219EEEF4" w14:textId="77777777" w:rsidR="00BD2462" w:rsidRDefault="00902859">
      <w:pPr>
        <w:pStyle w:val="BodyText"/>
        <w:spacing w:before="157" w:line="276" w:lineRule="auto"/>
        <w:ind w:left="119"/>
      </w:pPr>
      <w:r>
        <w:t>This</w:t>
      </w:r>
      <w:r>
        <w:rPr>
          <w:spacing w:val="-1"/>
        </w:rPr>
        <w:t xml:space="preserve"> </w:t>
      </w:r>
      <w:r>
        <w:t>supplementary</w:t>
      </w:r>
      <w:r>
        <w:rPr>
          <w:spacing w:val="-4"/>
        </w:rPr>
        <w:t xml:space="preserve"> </w:t>
      </w:r>
      <w:r>
        <w:t>Explanatory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Explanatory</w:t>
      </w:r>
      <w:r>
        <w:rPr>
          <w:spacing w:val="-4"/>
        </w:rPr>
        <w:t xml:space="preserve"> </w:t>
      </w:r>
      <w:r>
        <w:t>Statement provided when the Bill was introduced.</w:t>
      </w:r>
    </w:p>
    <w:p w14:paraId="6941B8D7" w14:textId="77777777" w:rsidR="00BD2462" w:rsidRDefault="00902859">
      <w:pPr>
        <w:spacing w:before="119" w:line="278" w:lineRule="auto"/>
        <w:ind w:left="119"/>
      </w:pPr>
      <w:r>
        <w:t>Clause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 as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Liquor</w:t>
      </w:r>
      <w:r>
        <w:rPr>
          <w:i/>
          <w:spacing w:val="-3"/>
        </w:rPr>
        <w:t xml:space="preserve"> </w:t>
      </w:r>
      <w:r>
        <w:rPr>
          <w:i/>
        </w:rPr>
        <w:t>(Night-Time</w:t>
      </w:r>
      <w:r>
        <w:rPr>
          <w:i/>
          <w:spacing w:val="-4"/>
        </w:rPr>
        <w:t xml:space="preserve"> </w:t>
      </w:r>
      <w:r>
        <w:rPr>
          <w:i/>
        </w:rPr>
        <w:t xml:space="preserve">Economy) Amendment Act 2024 </w:t>
      </w:r>
      <w:r>
        <w:t>(the Act).</w:t>
      </w:r>
    </w:p>
    <w:p w14:paraId="195D04C6" w14:textId="77777777" w:rsidR="00BD2462" w:rsidRDefault="00902859">
      <w:pPr>
        <w:pStyle w:val="BodyText"/>
        <w:spacing w:before="117"/>
        <w:ind w:left="120"/>
      </w:pPr>
      <w:r>
        <w:t>Clause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rPr>
          <w:spacing w:val="-4"/>
        </w:rPr>
        <w:t>day.</w:t>
      </w:r>
    </w:p>
    <w:p w14:paraId="208CCC4A" w14:textId="77777777" w:rsidR="00BD2462" w:rsidRDefault="00902859">
      <w:pPr>
        <w:pStyle w:val="BodyText"/>
        <w:spacing w:before="157" w:line="276" w:lineRule="auto"/>
        <w:ind w:left="119" w:right="220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Sitting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9- 11 April 2024, a number of provisions will now commence later than the notification day initially provided in the Bill.</w:t>
      </w:r>
    </w:p>
    <w:p w14:paraId="5485FABD" w14:textId="77777777" w:rsidR="00BD2462" w:rsidRDefault="00902859">
      <w:pPr>
        <w:pStyle w:val="BodyText"/>
        <w:spacing w:before="121" w:line="276" w:lineRule="auto"/>
        <w:ind w:left="119" w:right="556"/>
      </w:pPr>
      <w:r>
        <w:t>This</w:t>
      </w:r>
      <w:r>
        <w:rPr>
          <w:spacing w:val="-2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corrects</w:t>
      </w:r>
      <w:r>
        <w:rPr>
          <w:spacing w:val="-2"/>
        </w:rPr>
        <w:t xml:space="preserve"> </w:t>
      </w:r>
      <w:r>
        <w:t>clause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Commencement,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clause notes. It is considered a minor/technical amendment as it relates to the commencement of the reforms.</w:t>
      </w:r>
    </w:p>
    <w:p w14:paraId="32F105EB" w14:textId="77777777" w:rsidR="00BD2462" w:rsidRDefault="00BD2462">
      <w:pPr>
        <w:pStyle w:val="BodyText"/>
        <w:spacing w:before="21"/>
      </w:pPr>
    </w:p>
    <w:p w14:paraId="637CD95E" w14:textId="77777777" w:rsidR="00BD2462" w:rsidRDefault="00902859">
      <w:pPr>
        <w:ind w:left="120"/>
        <w:rPr>
          <w:b/>
          <w:sz w:val="24"/>
        </w:rPr>
      </w:pPr>
      <w:r>
        <w:rPr>
          <w:b/>
          <w:sz w:val="24"/>
        </w:rPr>
        <w:t>CLAUSE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NOTES</w:t>
      </w:r>
    </w:p>
    <w:p w14:paraId="47ABD28D" w14:textId="77777777" w:rsidR="00BD2462" w:rsidRDefault="00BD2462">
      <w:pPr>
        <w:pStyle w:val="BodyText"/>
        <w:spacing w:before="41"/>
        <w:rPr>
          <w:b/>
          <w:sz w:val="24"/>
        </w:rPr>
      </w:pPr>
    </w:p>
    <w:p w14:paraId="25B9382D" w14:textId="77777777" w:rsidR="00BD2462" w:rsidRDefault="00902859">
      <w:pPr>
        <w:ind w:left="120"/>
        <w:rPr>
          <w:b/>
          <w:sz w:val="24"/>
        </w:rPr>
      </w:pPr>
      <w:r>
        <w:rPr>
          <w:b/>
          <w:sz w:val="24"/>
        </w:rPr>
        <w:t>Clause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Commencement</w:t>
      </w:r>
    </w:p>
    <w:p w14:paraId="4DACDEBA" w14:textId="77777777" w:rsidR="00BD2462" w:rsidRDefault="00902859">
      <w:pPr>
        <w:pStyle w:val="BodyText"/>
        <w:spacing w:before="120"/>
        <w:ind w:left="120"/>
      </w:pP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rPr>
          <w:spacing w:val="-4"/>
        </w:rPr>
        <w:t>that:</w:t>
      </w:r>
    </w:p>
    <w:p w14:paraId="7BE9713D" w14:textId="77777777" w:rsidR="00BD2462" w:rsidRDefault="00902859">
      <w:pPr>
        <w:pStyle w:val="ListParagraph"/>
        <w:numPr>
          <w:ilvl w:val="0"/>
          <w:numId w:val="1"/>
        </w:numPr>
        <w:tabs>
          <w:tab w:val="left" w:pos="836"/>
          <w:tab w:val="left" w:pos="840"/>
        </w:tabs>
        <w:spacing w:before="157" w:line="278" w:lineRule="auto"/>
        <w:ind w:right="644" w:hanging="361"/>
      </w:pPr>
      <w:r>
        <w:t>The</w:t>
      </w:r>
      <w:r>
        <w:rPr>
          <w:spacing w:val="-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subsection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day after its notification day.</w:t>
      </w:r>
    </w:p>
    <w:p w14:paraId="45AA3209" w14:textId="77777777" w:rsidR="00BD2462" w:rsidRDefault="00902859">
      <w:pPr>
        <w:pStyle w:val="ListParagraph"/>
        <w:numPr>
          <w:ilvl w:val="0"/>
          <w:numId w:val="1"/>
        </w:numPr>
        <w:tabs>
          <w:tab w:val="left" w:pos="837"/>
          <w:tab w:val="left" w:pos="840"/>
        </w:tabs>
        <w:spacing w:line="276" w:lineRule="auto"/>
      </w:pP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22, and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Bill will commence on a day fixed by the Minister by written notice.</w:t>
      </w:r>
    </w:p>
    <w:p w14:paraId="2D4E6D4B" w14:textId="77777777" w:rsidR="00BD2462" w:rsidRDefault="00902859">
      <w:pPr>
        <w:pStyle w:val="BodyText"/>
        <w:spacing w:before="119" w:line="276" w:lineRule="auto"/>
        <w:ind w:left="120" w:right="220"/>
      </w:pPr>
      <w:r>
        <w:t xml:space="preserve">There are reforms in the Bill that require the development of </w:t>
      </w:r>
      <w:proofErr w:type="spellStart"/>
      <w:r>
        <w:t>SmartForms</w:t>
      </w:r>
      <w:proofErr w:type="spellEnd"/>
      <w:r>
        <w:t>, as well as the development of IT solutions, to ensure the Regulator is able to facilitate the operational aspect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reforms.</w:t>
      </w:r>
      <w:r>
        <w:rPr>
          <w:spacing w:val="-3"/>
        </w:rPr>
        <w:t xml:space="preserve"> </w:t>
      </w:r>
      <w:r>
        <w:t>Additionally,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reforms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of instruments to give effect to the new provisions.</w:t>
      </w:r>
    </w:p>
    <w:p w14:paraId="34C3B0E9" w14:textId="77777777" w:rsidR="00BD2462" w:rsidRDefault="00902859">
      <w:pPr>
        <w:pStyle w:val="BodyText"/>
        <w:spacing w:before="120" w:line="276" w:lineRule="auto"/>
        <w:ind w:left="120"/>
      </w:pPr>
      <w:r>
        <w:t>Once</w:t>
      </w:r>
      <w:r>
        <w:rPr>
          <w:spacing w:val="-4"/>
        </w:rPr>
        <w:t xml:space="preserve"> </w:t>
      </w:r>
      <w:r>
        <w:t>readied,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reforms</w:t>
      </w:r>
      <w:r>
        <w:rPr>
          <w:spacing w:val="-1"/>
        </w:rPr>
        <w:t xml:space="preserve"> </w:t>
      </w:r>
      <w:r>
        <w:t>that 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made effective via a ministerial commencement notice.</w:t>
      </w:r>
    </w:p>
    <w:sectPr w:rsidR="00BD2462">
      <w:pgSz w:w="11910" w:h="16840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6E01" w14:textId="77777777" w:rsidR="00616173" w:rsidRDefault="00616173" w:rsidP="00616173">
      <w:r>
        <w:separator/>
      </w:r>
    </w:p>
  </w:endnote>
  <w:endnote w:type="continuationSeparator" w:id="0">
    <w:p w14:paraId="06408BD6" w14:textId="77777777" w:rsidR="00616173" w:rsidRDefault="00616173" w:rsidP="0061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36EC" w14:textId="77777777" w:rsidR="00616173" w:rsidRDefault="00616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E512" w14:textId="7737F05C" w:rsidR="00616173" w:rsidRPr="00616173" w:rsidRDefault="00616173" w:rsidP="00616173">
    <w:pPr>
      <w:pStyle w:val="Footer"/>
      <w:jc w:val="center"/>
      <w:rPr>
        <w:sz w:val="14"/>
      </w:rPr>
    </w:pPr>
    <w:r w:rsidRPr="0061617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4AEC" w14:textId="77777777" w:rsidR="00616173" w:rsidRDefault="00616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6FBE" w14:textId="77777777" w:rsidR="00616173" w:rsidRDefault="00616173" w:rsidP="00616173">
      <w:r>
        <w:separator/>
      </w:r>
    </w:p>
  </w:footnote>
  <w:footnote w:type="continuationSeparator" w:id="0">
    <w:p w14:paraId="3F7069E0" w14:textId="77777777" w:rsidR="00616173" w:rsidRDefault="00616173" w:rsidP="0061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A495" w14:textId="77777777" w:rsidR="00616173" w:rsidRDefault="00616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7937" w14:textId="77777777" w:rsidR="00616173" w:rsidRDefault="00616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9E3D" w14:textId="77777777" w:rsidR="00616173" w:rsidRDefault="00616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DE2"/>
    <w:multiLevelType w:val="hybridMultilevel"/>
    <w:tmpl w:val="AFB2AE8E"/>
    <w:lvl w:ilvl="0" w:tplc="214A7AE0">
      <w:start w:val="1"/>
      <w:numFmt w:val="decimal"/>
      <w:lvlText w:val="(%1)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E7EA03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DAAA33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9F6809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DE58592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D5CC92F8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DDACD2E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4426F91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746A9B12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num w:numId="1" w16cid:durableId="75432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462"/>
    <w:rsid w:val="002D1865"/>
    <w:rsid w:val="00373FBF"/>
    <w:rsid w:val="00616173"/>
    <w:rsid w:val="00902859"/>
    <w:rsid w:val="00B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A98F2"/>
  <w15:docId w15:val="{BD0E0AA0-A418-47F3-BED4-DE5D272A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7"/>
      <w:ind w:left="840" w:right="37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6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6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1757</Characters>
  <Application>Microsoft Office Word</Application>
  <DocSecurity>0</DocSecurity>
  <Lines>78</Lines>
  <Paragraphs>23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Hosie, Donna</dc:creator>
  <cp:lastModifiedBy>PCODCS</cp:lastModifiedBy>
  <cp:revision>4</cp:revision>
  <dcterms:created xsi:type="dcterms:W3CDTF">2024-04-10T02:14:00Z</dcterms:created>
  <dcterms:modified xsi:type="dcterms:W3CDTF">2024-04-10T02:14:00Z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Acrobat Pro (64-bit) 24.1.20643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Acrobat Pro (64-bit) 24.1.20643</vt:lpwstr>
  </property>
</Properties>
</file>