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7CE3" w14:textId="77777777" w:rsidR="00A108C8" w:rsidRDefault="00A108C8" w:rsidP="00A108C8">
      <w:pPr>
        <w:spacing w:before="120"/>
        <w:rPr>
          <w:rFonts w:ascii="Arial" w:hAnsi="Arial" w:cs="Arial"/>
        </w:rPr>
      </w:pPr>
      <w:r>
        <w:rPr>
          <w:rFonts w:ascii="Arial" w:hAnsi="Arial" w:cs="Arial"/>
        </w:rPr>
        <w:t>Australian Capital Territory</w:t>
      </w:r>
    </w:p>
    <w:p w14:paraId="545ED985" w14:textId="77777777" w:rsidR="00A108C8" w:rsidRPr="009C2172" w:rsidRDefault="00A108C8" w:rsidP="00A108C8">
      <w:pPr>
        <w:pStyle w:val="Billname"/>
        <w:spacing w:before="700"/>
        <w:ind w:right="-162"/>
        <w:rPr>
          <w:spacing w:val="-2"/>
        </w:rPr>
      </w:pPr>
      <w:bookmarkStart w:id="0" w:name="_Hlk159334794"/>
      <w:r w:rsidRPr="009C2172">
        <w:rPr>
          <w:spacing w:val="-2"/>
        </w:rPr>
        <w:t>Gaming Machine (Fees—Authorisation Surrender Waiver) Determination 2024 (No 1)</w:t>
      </w:r>
      <w:bookmarkEnd w:id="0"/>
    </w:p>
    <w:p w14:paraId="55CBA0FA" w14:textId="4DA79264" w:rsidR="00A108C8" w:rsidRDefault="00A108C8" w:rsidP="00A108C8">
      <w:pPr>
        <w:spacing w:before="340"/>
        <w:rPr>
          <w:rFonts w:ascii="Arial" w:hAnsi="Arial" w:cs="Arial"/>
          <w:b/>
          <w:bCs/>
        </w:rPr>
      </w:pPr>
      <w:r>
        <w:rPr>
          <w:rFonts w:ascii="Arial" w:hAnsi="Arial" w:cs="Arial"/>
          <w:b/>
          <w:bCs/>
        </w:rPr>
        <w:t>Disallowable instrument DI2024–</w:t>
      </w:r>
      <w:r w:rsidR="00321C47">
        <w:rPr>
          <w:rFonts w:ascii="Arial" w:hAnsi="Arial" w:cs="Arial"/>
          <w:b/>
          <w:bCs/>
        </w:rPr>
        <w:t>43</w:t>
      </w:r>
    </w:p>
    <w:p w14:paraId="7FEB729B" w14:textId="77777777" w:rsidR="00A108C8" w:rsidRDefault="00A108C8" w:rsidP="00A108C8">
      <w:pPr>
        <w:pStyle w:val="madeunder"/>
        <w:spacing w:before="300" w:after="0"/>
      </w:pPr>
      <w:r>
        <w:t xml:space="preserve">made under the  </w:t>
      </w:r>
    </w:p>
    <w:p w14:paraId="6291C4EB" w14:textId="77777777" w:rsidR="00A108C8" w:rsidRDefault="00A108C8" w:rsidP="00A108C8">
      <w:pPr>
        <w:pStyle w:val="CoverActName"/>
        <w:spacing w:before="320" w:after="0"/>
        <w:rPr>
          <w:rFonts w:cs="Arial"/>
          <w:sz w:val="20"/>
        </w:rPr>
      </w:pPr>
      <w:r>
        <w:rPr>
          <w:rFonts w:cs="Arial"/>
          <w:sz w:val="20"/>
        </w:rPr>
        <w:t>Gaming Machine Act 2004, section 177 (Determination of Fees)</w:t>
      </w:r>
    </w:p>
    <w:p w14:paraId="66BE5796" w14:textId="77777777" w:rsidR="00A108C8" w:rsidRDefault="00A108C8" w:rsidP="00A108C8"/>
    <w:p w14:paraId="2D2D192E" w14:textId="2F33141F" w:rsidR="00A108C8" w:rsidRPr="00A108C8" w:rsidRDefault="00A108C8" w:rsidP="00A108C8">
      <w:pPr>
        <w:rPr>
          <w:b/>
          <w:bCs/>
        </w:rPr>
      </w:pPr>
      <w:r w:rsidRPr="00A108C8">
        <w:rPr>
          <w:b/>
          <w:bCs/>
        </w:rPr>
        <w:t xml:space="preserve">EXPLANATORY STATEMENT </w:t>
      </w:r>
    </w:p>
    <w:p w14:paraId="0D3C571F" w14:textId="77777777" w:rsidR="00A108C8" w:rsidRDefault="00A108C8" w:rsidP="00A108C8">
      <w:pPr>
        <w:pStyle w:val="N-line3"/>
        <w:pBdr>
          <w:bottom w:val="none" w:sz="0" w:space="0" w:color="auto"/>
        </w:pBdr>
        <w:spacing w:before="60"/>
      </w:pPr>
    </w:p>
    <w:p w14:paraId="5EE6FB61" w14:textId="77777777" w:rsidR="00A108C8" w:rsidRDefault="00A108C8" w:rsidP="00A108C8">
      <w:pPr>
        <w:pStyle w:val="N-line3"/>
        <w:pBdr>
          <w:top w:val="single" w:sz="12" w:space="1" w:color="auto"/>
          <w:bottom w:val="none" w:sz="0" w:space="0" w:color="auto"/>
        </w:pBdr>
      </w:pPr>
    </w:p>
    <w:p w14:paraId="39FC4FEE" w14:textId="292485FC" w:rsidR="00A108C8" w:rsidRDefault="00A108C8" w:rsidP="00B54C21">
      <w:pPr>
        <w:rPr>
          <w:bCs/>
          <w:iCs/>
        </w:rPr>
      </w:pPr>
      <w:r>
        <w:t xml:space="preserve">This instrument is the </w:t>
      </w:r>
      <w:r w:rsidRPr="004832CD">
        <w:rPr>
          <w:i/>
          <w:iCs/>
        </w:rPr>
        <w:t>Gaming Machine (Fees—Authorisation Surrender Waiver) Determination 2024 (No 1)</w:t>
      </w:r>
      <w:r w:rsidRPr="00627F0C">
        <w:rPr>
          <w:bCs/>
          <w:iCs/>
        </w:rPr>
        <w:t>.</w:t>
      </w:r>
    </w:p>
    <w:p w14:paraId="7EBE3CBA" w14:textId="77777777" w:rsidR="00AC32CB" w:rsidRDefault="00AC32CB" w:rsidP="00B54C21">
      <w:pPr>
        <w:rPr>
          <w:bCs/>
          <w:iCs/>
        </w:rPr>
      </w:pPr>
    </w:p>
    <w:p w14:paraId="6AD1F844" w14:textId="31D584E9" w:rsidR="00A108C8" w:rsidRDefault="00A108C8" w:rsidP="00B54C21">
      <w:pPr>
        <w:rPr>
          <w:bCs/>
          <w:iCs/>
        </w:rPr>
      </w:pPr>
      <w:r>
        <w:rPr>
          <w:bCs/>
          <w:iCs/>
        </w:rPr>
        <w:t xml:space="preserve">The </w:t>
      </w:r>
      <w:r w:rsidRPr="00A108C8">
        <w:rPr>
          <w:bCs/>
          <w:i/>
        </w:rPr>
        <w:t>Gaming Machine Act 2004</w:t>
      </w:r>
      <w:r>
        <w:rPr>
          <w:bCs/>
          <w:iCs/>
        </w:rPr>
        <w:t xml:space="preserve"> (the Gaming Machine Act) regulates the operation of gaming machines in the Territory. </w:t>
      </w:r>
    </w:p>
    <w:p w14:paraId="4F00FD5E" w14:textId="77777777" w:rsidR="00A108C8" w:rsidRDefault="00A108C8" w:rsidP="00B54C21">
      <w:pPr>
        <w:rPr>
          <w:bCs/>
          <w:iCs/>
        </w:rPr>
      </w:pPr>
    </w:p>
    <w:p w14:paraId="7B9775F7" w14:textId="009BE44B" w:rsidR="00A108C8" w:rsidRDefault="00A108C8" w:rsidP="00B54C21">
      <w:r>
        <w:t>Section 37F of the Gaming Machine Act provides that a licensee may surrender a licen</w:t>
      </w:r>
      <w:r w:rsidR="00E715A3">
        <w:t>c</w:t>
      </w:r>
      <w:r>
        <w:t>e, an authorisation certificate or an authorisation. A gaming machine licensee (licensee) must hold a gaming machine authorisation for each gaming machine they operate in the Australian Capital Territory.</w:t>
      </w:r>
    </w:p>
    <w:p w14:paraId="4C3EA4EE" w14:textId="77777777" w:rsidR="00AC32CB" w:rsidRDefault="00AC32CB" w:rsidP="00B54C21"/>
    <w:p w14:paraId="26C9DCB3" w14:textId="37672812" w:rsidR="00AC32CB" w:rsidRDefault="00AC32CB" w:rsidP="00B54C21">
      <w:r>
        <w:t>Section 177 of the Gaming Machine Act provides that the Minister may determine fees for the Act. The</w:t>
      </w:r>
      <w:r w:rsidRPr="00AC32CB">
        <w:rPr>
          <w:i/>
          <w:iCs/>
        </w:rPr>
        <w:t xml:space="preserve"> </w:t>
      </w:r>
      <w:r w:rsidRPr="00D65A94">
        <w:rPr>
          <w:i/>
          <w:iCs/>
        </w:rPr>
        <w:t>Gaming Machine (Fees) Determination 2023</w:t>
      </w:r>
      <w:r>
        <w:t xml:space="preserve"> [DI2023-184] provides for fees in relation to administrative tasks </w:t>
      </w:r>
      <w:r w:rsidR="00FB6164">
        <w:t>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51F0CB4E" w14:textId="77777777" w:rsidR="00A108C8" w:rsidRDefault="00A108C8" w:rsidP="00B54C21">
      <w:pPr>
        <w:rPr>
          <w:b/>
          <w:bCs/>
        </w:rPr>
      </w:pPr>
    </w:p>
    <w:p w14:paraId="77BB91EF" w14:textId="539EE851" w:rsidR="00FB6164" w:rsidRDefault="00FB6164" w:rsidP="00B54C21">
      <w:r w:rsidRPr="00FB6164">
        <w:t>On 19 March 2024</w:t>
      </w:r>
      <w:r>
        <w:t xml:space="preserve"> the ACT Government announced the Gaming Machine Voluntary Authorisation Surrender Scheme which provides an incentive payment </w:t>
      </w:r>
      <w:r w:rsidR="00E715A3">
        <w:t xml:space="preserve">to gaming machine licensees </w:t>
      </w:r>
      <w:r>
        <w:t xml:space="preserve">for the surrender of gaming machine authorisations </w:t>
      </w:r>
      <w:r w:rsidR="00BE2CC1">
        <w:t xml:space="preserve">for applications received </w:t>
      </w:r>
      <w:r>
        <w:t xml:space="preserve">until 1 May 2025, at the following amounts: </w:t>
      </w:r>
    </w:p>
    <w:p w14:paraId="6E68713D" w14:textId="77777777" w:rsidR="00FB6164" w:rsidRDefault="00FB6164" w:rsidP="00B54C21">
      <w:pPr>
        <w:pStyle w:val="ListParagraph"/>
        <w:numPr>
          <w:ilvl w:val="0"/>
          <w:numId w:val="1"/>
        </w:numPr>
      </w:pPr>
      <w:r>
        <w:t xml:space="preserve">$15,000 per gaming machine authorisation surrendered; or </w:t>
      </w:r>
    </w:p>
    <w:p w14:paraId="1628A124" w14:textId="53003028" w:rsidR="00FB6164" w:rsidRDefault="00FB6164" w:rsidP="00B54C21">
      <w:pPr>
        <w:pStyle w:val="ListParagraph"/>
        <w:numPr>
          <w:ilvl w:val="0"/>
          <w:numId w:val="1"/>
        </w:numPr>
      </w:pPr>
      <w:r>
        <w:t>$20,000 per gaming machine authorisation surrendered if an applicant surrenders all the authorisations within a venue and surrenders their authorisation certificate.</w:t>
      </w:r>
    </w:p>
    <w:p w14:paraId="5C2BCF96" w14:textId="77777777" w:rsidR="00FB6164" w:rsidRDefault="00FB6164" w:rsidP="00B54C21"/>
    <w:p w14:paraId="239537DD" w14:textId="1E72D038" w:rsidR="00FB6164" w:rsidRDefault="00FB6164" w:rsidP="00B54C21">
      <w:r>
        <w:t>The ACT Government also announced the waiver of fees and charges related to the surrender of authorisations and disposal of gaming machines</w:t>
      </w:r>
      <w:r w:rsidR="00505918">
        <w:t xml:space="preserve"> made under the Gaming Machine Voluntary Authorisation Surrender Scheme 2024</w:t>
      </w:r>
      <w:r>
        <w:t xml:space="preserve">. This instrument gives effect to the waiver of those fees and charges. </w:t>
      </w:r>
    </w:p>
    <w:p w14:paraId="5A028F78" w14:textId="77777777" w:rsidR="00FB6164" w:rsidRDefault="00FB6164" w:rsidP="00B54C21"/>
    <w:p w14:paraId="4914010A" w14:textId="77777777" w:rsidR="00FB6164" w:rsidRDefault="00FB6164" w:rsidP="00B54C21"/>
    <w:p w14:paraId="599AEE87" w14:textId="44F58758" w:rsidR="00B54C21" w:rsidRDefault="00B54C21" w:rsidP="00B54C21">
      <w:r>
        <w:lastRenderedPageBreak/>
        <w:t xml:space="preserve">This instrument should be read with section 56 of the </w:t>
      </w:r>
      <w:r w:rsidRPr="00676BE1">
        <w:rPr>
          <w:i/>
          <w:iCs/>
        </w:rPr>
        <w:t>Legislation Act 2001</w:t>
      </w:r>
      <w:r>
        <w:t xml:space="preserve"> (Legislation Act). Section 56 (5) (g) of the Legislation Act allows the Minister for Gaming to make provision about waiving, postponing or refunding fee</w:t>
      </w:r>
      <w:r w:rsidR="00E715A3">
        <w:t>s</w:t>
      </w:r>
      <w:r>
        <w:t xml:space="preserve"> (completely or partly)</w:t>
      </w:r>
      <w:r w:rsidR="00E715A3">
        <w:t xml:space="preserve"> determined under the Gaming Machine Act</w:t>
      </w:r>
      <w:r>
        <w:t xml:space="preserve">. </w:t>
      </w:r>
    </w:p>
    <w:p w14:paraId="75815E7E" w14:textId="0808B3A3" w:rsidR="00B54C21" w:rsidRDefault="00B54C21" w:rsidP="00B54C21"/>
    <w:p w14:paraId="45009562" w14:textId="317D57D2" w:rsidR="00B54C21" w:rsidRDefault="00B54C21" w:rsidP="00B54C21">
      <w:r>
        <w:t xml:space="preserve">A determination under section 177 is a disallowable instrument and must be tabled in the Legislative Assembly. </w:t>
      </w:r>
    </w:p>
    <w:p w14:paraId="4A0D1B5C" w14:textId="77777777" w:rsidR="00B54C21" w:rsidRDefault="00B54C21" w:rsidP="00B54C21"/>
    <w:p w14:paraId="60292F40" w14:textId="02276891" w:rsidR="00B54C21" w:rsidRPr="00FB6164" w:rsidRDefault="00B54C21" w:rsidP="00B54C21">
      <w:r>
        <w:t xml:space="preserve">This instrument will expire on </w:t>
      </w:r>
      <w:r w:rsidR="00182F3E">
        <w:t>31 December</w:t>
      </w:r>
      <w:r>
        <w:t xml:space="preserve"> 2025. </w:t>
      </w:r>
      <w:r w:rsidR="006162D3">
        <w:t>This is to allow time after the closure of the voluntary surrender scheme on 1 May 2025 for additional administrati</w:t>
      </w:r>
      <w:r w:rsidR="007D1B17">
        <w:t>ve matters</w:t>
      </w:r>
      <w:r w:rsidR="006162D3">
        <w:t xml:space="preserve"> of the scheme to be finalised</w:t>
      </w:r>
      <w:r w:rsidR="007D1B17">
        <w:t xml:space="preserve">, for example, invoicing and settling payments. </w:t>
      </w:r>
    </w:p>
    <w:sectPr w:rsidR="00B54C21" w:rsidRPr="00FB61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AA06" w14:textId="77777777" w:rsidR="00FD6957" w:rsidRDefault="00FD6957" w:rsidP="00FD6957">
      <w:r>
        <w:separator/>
      </w:r>
    </w:p>
  </w:endnote>
  <w:endnote w:type="continuationSeparator" w:id="0">
    <w:p w14:paraId="60BA2244" w14:textId="77777777" w:rsidR="00FD6957" w:rsidRDefault="00FD6957" w:rsidP="00FD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A844" w14:textId="77777777" w:rsidR="00FD6957" w:rsidRDefault="00FD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830D" w14:textId="48441124" w:rsidR="00FD6957" w:rsidRPr="00FD6957" w:rsidRDefault="00FD6957" w:rsidP="00FD6957">
    <w:pPr>
      <w:pStyle w:val="Footer"/>
      <w:jc w:val="center"/>
      <w:rPr>
        <w:rFonts w:ascii="Arial" w:hAnsi="Arial" w:cs="Arial"/>
        <w:sz w:val="14"/>
      </w:rPr>
    </w:pPr>
    <w:r w:rsidRPr="00FD695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0B6B" w14:textId="77777777" w:rsidR="00FD6957" w:rsidRDefault="00FD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7E0F" w14:textId="77777777" w:rsidR="00FD6957" w:rsidRDefault="00FD6957" w:rsidP="00FD6957">
      <w:r>
        <w:separator/>
      </w:r>
    </w:p>
  </w:footnote>
  <w:footnote w:type="continuationSeparator" w:id="0">
    <w:p w14:paraId="56F58613" w14:textId="77777777" w:rsidR="00FD6957" w:rsidRDefault="00FD6957" w:rsidP="00FD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C671" w14:textId="77777777" w:rsidR="00FD6957" w:rsidRDefault="00FD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B6C" w14:textId="77777777" w:rsidR="00FD6957" w:rsidRDefault="00FD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72B5" w14:textId="77777777" w:rsidR="00FD6957" w:rsidRDefault="00FD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E25"/>
    <w:multiLevelType w:val="hybridMultilevel"/>
    <w:tmpl w:val="C414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060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8"/>
    <w:rsid w:val="0001397B"/>
    <w:rsid w:val="0012367B"/>
    <w:rsid w:val="00182F3E"/>
    <w:rsid w:val="002C1768"/>
    <w:rsid w:val="002D0515"/>
    <w:rsid w:val="00321C47"/>
    <w:rsid w:val="003C69B9"/>
    <w:rsid w:val="003C77D0"/>
    <w:rsid w:val="004B083F"/>
    <w:rsid w:val="00505918"/>
    <w:rsid w:val="006162D3"/>
    <w:rsid w:val="00676BE1"/>
    <w:rsid w:val="006D529B"/>
    <w:rsid w:val="007D1B17"/>
    <w:rsid w:val="00A108C8"/>
    <w:rsid w:val="00A46B00"/>
    <w:rsid w:val="00AC32CB"/>
    <w:rsid w:val="00B54C21"/>
    <w:rsid w:val="00BE2CC1"/>
    <w:rsid w:val="00D15B86"/>
    <w:rsid w:val="00E715A3"/>
    <w:rsid w:val="00FB6164"/>
    <w:rsid w:val="00FD6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6051"/>
  <w15:chartTrackingRefBased/>
  <w15:docId w15:val="{69728914-A663-4F14-A430-C4BB0725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C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A108C8"/>
    <w:pPr>
      <w:tabs>
        <w:tab w:val="left" w:pos="2400"/>
        <w:tab w:val="left" w:pos="2880"/>
      </w:tabs>
      <w:spacing w:before="1220" w:after="100"/>
    </w:pPr>
    <w:rPr>
      <w:rFonts w:ascii="Arial" w:hAnsi="Arial"/>
      <w:b/>
      <w:sz w:val="40"/>
    </w:rPr>
  </w:style>
  <w:style w:type="paragraph" w:customStyle="1" w:styleId="madeunder">
    <w:name w:val="made under"/>
    <w:basedOn w:val="Normal"/>
    <w:rsid w:val="00A108C8"/>
    <w:pPr>
      <w:spacing w:before="180" w:after="60"/>
      <w:jc w:val="both"/>
    </w:pPr>
  </w:style>
  <w:style w:type="paragraph" w:customStyle="1" w:styleId="CoverActName">
    <w:name w:val="CoverActName"/>
    <w:basedOn w:val="Normal"/>
    <w:rsid w:val="00A108C8"/>
    <w:pPr>
      <w:tabs>
        <w:tab w:val="left" w:pos="2600"/>
      </w:tabs>
      <w:spacing w:before="200" w:after="60"/>
      <w:jc w:val="both"/>
    </w:pPr>
    <w:rPr>
      <w:rFonts w:ascii="Arial" w:hAnsi="Arial"/>
      <w:b/>
    </w:rPr>
  </w:style>
  <w:style w:type="character" w:styleId="CommentReference">
    <w:name w:val="annotation reference"/>
    <w:basedOn w:val="DefaultParagraphFont"/>
    <w:uiPriority w:val="99"/>
    <w:semiHidden/>
    <w:unhideWhenUsed/>
    <w:rsid w:val="00A108C8"/>
    <w:rPr>
      <w:sz w:val="16"/>
      <w:szCs w:val="16"/>
    </w:rPr>
  </w:style>
  <w:style w:type="paragraph" w:styleId="CommentText">
    <w:name w:val="annotation text"/>
    <w:basedOn w:val="Normal"/>
    <w:link w:val="CommentTextChar"/>
    <w:uiPriority w:val="99"/>
    <w:unhideWhenUsed/>
    <w:rsid w:val="00A108C8"/>
    <w:rPr>
      <w:sz w:val="20"/>
    </w:rPr>
  </w:style>
  <w:style w:type="character" w:customStyle="1" w:styleId="CommentTextChar">
    <w:name w:val="Comment Text Char"/>
    <w:basedOn w:val="DefaultParagraphFont"/>
    <w:link w:val="CommentText"/>
    <w:uiPriority w:val="99"/>
    <w:rsid w:val="00A108C8"/>
    <w:rPr>
      <w:rFonts w:ascii="Times New Roman" w:eastAsia="Times New Roman" w:hAnsi="Times New Roman" w:cs="Times New Roman"/>
      <w:kern w:val="0"/>
      <w:sz w:val="20"/>
      <w:szCs w:val="20"/>
      <w14:ligatures w14:val="none"/>
    </w:rPr>
  </w:style>
  <w:style w:type="paragraph" w:customStyle="1" w:styleId="N-line3">
    <w:name w:val="N-line3"/>
    <w:basedOn w:val="Normal"/>
    <w:next w:val="Normal"/>
    <w:rsid w:val="00A108C8"/>
    <w:pPr>
      <w:pBdr>
        <w:bottom w:val="single" w:sz="12" w:space="1" w:color="auto"/>
      </w:pBdr>
      <w:jc w:val="both"/>
    </w:pPr>
  </w:style>
  <w:style w:type="paragraph" w:styleId="ListParagraph">
    <w:name w:val="List Paragraph"/>
    <w:basedOn w:val="Normal"/>
    <w:uiPriority w:val="34"/>
    <w:qFormat/>
    <w:rsid w:val="00FB6164"/>
    <w:pPr>
      <w:ind w:left="720"/>
      <w:contextualSpacing/>
    </w:pPr>
  </w:style>
  <w:style w:type="paragraph" w:styleId="Revision">
    <w:name w:val="Revision"/>
    <w:hidden/>
    <w:uiPriority w:val="99"/>
    <w:semiHidden/>
    <w:rsid w:val="00505918"/>
    <w:pPr>
      <w:spacing w:after="0" w:line="240" w:lineRule="auto"/>
    </w:pPr>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2C1768"/>
    <w:rPr>
      <w:b/>
      <w:bCs/>
    </w:rPr>
  </w:style>
  <w:style w:type="character" w:customStyle="1" w:styleId="CommentSubjectChar">
    <w:name w:val="Comment Subject Char"/>
    <w:basedOn w:val="CommentTextChar"/>
    <w:link w:val="CommentSubject"/>
    <w:uiPriority w:val="99"/>
    <w:semiHidden/>
    <w:rsid w:val="002C1768"/>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D6957"/>
    <w:pPr>
      <w:tabs>
        <w:tab w:val="center" w:pos="4513"/>
        <w:tab w:val="right" w:pos="9026"/>
      </w:tabs>
    </w:pPr>
  </w:style>
  <w:style w:type="character" w:customStyle="1" w:styleId="HeaderChar">
    <w:name w:val="Header Char"/>
    <w:basedOn w:val="DefaultParagraphFont"/>
    <w:link w:val="Header"/>
    <w:uiPriority w:val="99"/>
    <w:rsid w:val="00FD69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D6957"/>
    <w:pPr>
      <w:tabs>
        <w:tab w:val="center" w:pos="4513"/>
        <w:tab w:val="right" w:pos="9026"/>
      </w:tabs>
    </w:pPr>
  </w:style>
  <w:style w:type="character" w:customStyle="1" w:styleId="FooterChar">
    <w:name w:val="Footer Char"/>
    <w:basedOn w:val="DefaultParagraphFont"/>
    <w:link w:val="Footer"/>
    <w:uiPriority w:val="99"/>
    <w:rsid w:val="00FD695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2321</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Lara</dc:creator>
  <cp:keywords/>
  <dc:description/>
  <cp:lastModifiedBy>PCODCS</cp:lastModifiedBy>
  <cp:revision>4</cp:revision>
  <dcterms:created xsi:type="dcterms:W3CDTF">2024-03-20T23:34:00Z</dcterms:created>
  <dcterms:modified xsi:type="dcterms:W3CDTF">2024-03-20T23:34:00Z</dcterms:modified>
</cp:coreProperties>
</file>