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6D610"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91EF568" w14:textId="64A605D0" w:rsidR="00C17FAB" w:rsidRDefault="004A0EA7">
      <w:pPr>
        <w:pStyle w:val="Billname"/>
        <w:spacing w:before="700"/>
      </w:pPr>
      <w:bookmarkStart w:id="1" w:name="_Hlk163032644"/>
      <w:r>
        <w:t>Liquor</w:t>
      </w:r>
      <w:r w:rsidR="00FD75CE">
        <w:t xml:space="preserve"> (</w:t>
      </w:r>
      <w:r>
        <w:t xml:space="preserve">Exempt Business) </w:t>
      </w:r>
      <w:r w:rsidR="00FD75CE">
        <w:t>Declaration</w:t>
      </w:r>
      <w:r>
        <w:t xml:space="preserve"> 2024 </w:t>
      </w:r>
      <w:r w:rsidR="00FD75CE">
        <w:t>(No</w:t>
      </w:r>
      <w:r>
        <w:t xml:space="preserve"> 1</w:t>
      </w:r>
      <w:r w:rsidR="00FD75CE">
        <w:t>)</w:t>
      </w:r>
    </w:p>
    <w:bookmarkEnd w:id="1"/>
    <w:p w14:paraId="63B98F90" w14:textId="7295874E" w:rsidR="00C17FAB" w:rsidRDefault="002D7C60" w:rsidP="00DA3B00">
      <w:pPr>
        <w:spacing w:before="340"/>
        <w:rPr>
          <w:rFonts w:ascii="Arial" w:hAnsi="Arial" w:cs="Arial"/>
          <w:b/>
          <w:bCs/>
        </w:rPr>
      </w:pPr>
      <w:r>
        <w:rPr>
          <w:rFonts w:ascii="Arial" w:hAnsi="Arial" w:cs="Arial"/>
          <w:b/>
          <w:bCs/>
        </w:rPr>
        <w:t>Disallowable instrument DI</w:t>
      </w:r>
      <w:r w:rsidR="004A0EA7">
        <w:rPr>
          <w:rFonts w:ascii="Arial" w:hAnsi="Arial" w:cs="Arial"/>
          <w:b/>
          <w:bCs/>
        </w:rPr>
        <w:t>2024</w:t>
      </w:r>
      <w:r w:rsidR="00C17FAB">
        <w:rPr>
          <w:rFonts w:ascii="Arial" w:hAnsi="Arial" w:cs="Arial"/>
          <w:b/>
          <w:bCs/>
        </w:rPr>
        <w:t>–</w:t>
      </w:r>
      <w:r w:rsidR="00BE2D9C">
        <w:rPr>
          <w:rFonts w:ascii="Arial" w:hAnsi="Arial" w:cs="Arial"/>
          <w:b/>
          <w:bCs/>
        </w:rPr>
        <w:t>78</w:t>
      </w:r>
    </w:p>
    <w:p w14:paraId="60C58005" w14:textId="77777777" w:rsidR="00C17FAB" w:rsidRDefault="00C17FAB" w:rsidP="00DA3B00">
      <w:pPr>
        <w:pStyle w:val="madeunder"/>
        <w:spacing w:before="300" w:after="0"/>
      </w:pPr>
      <w:r>
        <w:t xml:space="preserve">made under the  </w:t>
      </w:r>
    </w:p>
    <w:p w14:paraId="1C37F643" w14:textId="77777777" w:rsidR="004A0EA7" w:rsidRDefault="004A0EA7" w:rsidP="004A0EA7">
      <w:pPr>
        <w:pStyle w:val="CoverActName"/>
        <w:spacing w:before="320" w:after="0"/>
        <w:rPr>
          <w:rFonts w:cs="Arial"/>
          <w:sz w:val="20"/>
        </w:rPr>
      </w:pPr>
      <w:r>
        <w:rPr>
          <w:rFonts w:cs="Arial"/>
          <w:sz w:val="20"/>
        </w:rPr>
        <w:t>Liquor Act 2010, s 8A (Application of Act – supply of liquor by exempt business)</w:t>
      </w:r>
    </w:p>
    <w:p w14:paraId="41F30A7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3E4ACE7" w14:textId="77777777" w:rsidR="00C17FAB" w:rsidRDefault="00C17FAB">
      <w:pPr>
        <w:pStyle w:val="N-line3"/>
        <w:pBdr>
          <w:bottom w:val="none" w:sz="0" w:space="0" w:color="auto"/>
        </w:pBdr>
      </w:pPr>
    </w:p>
    <w:p w14:paraId="16C9EC91" w14:textId="77777777" w:rsidR="00C17FAB" w:rsidRDefault="00C17FAB">
      <w:pPr>
        <w:pStyle w:val="N-line3"/>
        <w:pBdr>
          <w:top w:val="single" w:sz="12" w:space="1" w:color="auto"/>
          <w:bottom w:val="none" w:sz="0" w:space="0" w:color="auto"/>
        </w:pBdr>
      </w:pPr>
    </w:p>
    <w:bookmarkEnd w:id="0"/>
    <w:p w14:paraId="1946DA7A" w14:textId="41E955DD" w:rsidR="00E422DD" w:rsidRPr="0050594A" w:rsidRDefault="0050594A" w:rsidP="00E422DD">
      <w:pPr>
        <w:pStyle w:val="IntroParagraph"/>
        <w:spacing w:before="200"/>
        <w:rPr>
          <w:rFonts w:asciiTheme="minorHAnsi" w:hAnsiTheme="minorHAnsi" w:cstheme="minorHAnsi"/>
          <w:b/>
          <w:color w:val="auto"/>
          <w:sz w:val="28"/>
          <w:szCs w:val="28"/>
        </w:rPr>
      </w:pPr>
      <w:r w:rsidRPr="0050594A">
        <w:rPr>
          <w:rFonts w:asciiTheme="minorHAnsi" w:hAnsiTheme="minorHAnsi" w:cstheme="minorHAnsi"/>
          <w:b/>
          <w:color w:val="auto"/>
          <w:sz w:val="28"/>
          <w:szCs w:val="28"/>
        </w:rPr>
        <w:t>Businesses already exempt</w:t>
      </w:r>
    </w:p>
    <w:p w14:paraId="40F04927" w14:textId="3ED555BC" w:rsidR="00E422DD" w:rsidRPr="00E422DD" w:rsidRDefault="004A0EA7" w:rsidP="00E422DD">
      <w:pPr>
        <w:pStyle w:val="IntroParagraph"/>
        <w:spacing w:before="200"/>
        <w:rPr>
          <w:rFonts w:asciiTheme="minorHAnsi" w:hAnsiTheme="minorHAnsi" w:cstheme="minorHAnsi"/>
          <w:color w:val="auto"/>
          <w:sz w:val="24"/>
          <w:szCs w:val="24"/>
        </w:rPr>
      </w:pPr>
      <w:r w:rsidRPr="00E422DD">
        <w:rPr>
          <w:rFonts w:asciiTheme="minorHAnsi" w:hAnsiTheme="minorHAnsi" w:cstheme="minorHAnsi"/>
          <w:bCs/>
          <w:color w:val="auto"/>
          <w:sz w:val="24"/>
          <w:szCs w:val="24"/>
        </w:rPr>
        <w:t xml:space="preserve">The </w:t>
      </w:r>
      <w:r w:rsidRPr="00E422DD">
        <w:rPr>
          <w:rFonts w:asciiTheme="minorHAnsi" w:hAnsiTheme="minorHAnsi" w:cstheme="minorHAnsi"/>
          <w:bCs/>
          <w:i/>
          <w:iCs/>
          <w:color w:val="auto"/>
          <w:sz w:val="24"/>
          <w:szCs w:val="24"/>
        </w:rPr>
        <w:t>Liquor Act 2010</w:t>
      </w:r>
      <w:r w:rsidRPr="00E422DD">
        <w:rPr>
          <w:rFonts w:asciiTheme="minorHAnsi" w:hAnsiTheme="minorHAnsi" w:cstheme="minorHAnsi"/>
          <w:bCs/>
          <w:color w:val="auto"/>
          <w:sz w:val="24"/>
          <w:szCs w:val="24"/>
        </w:rPr>
        <w:t xml:space="preserve"> (the Act) regulates the supply of liquor in the ACT. </w:t>
      </w:r>
      <w:r w:rsidR="00E422DD" w:rsidRPr="00E422DD">
        <w:rPr>
          <w:rFonts w:asciiTheme="minorHAnsi" w:hAnsiTheme="minorHAnsi" w:cstheme="minorHAnsi"/>
          <w:bCs/>
          <w:color w:val="auto"/>
          <w:sz w:val="24"/>
          <w:szCs w:val="24"/>
        </w:rPr>
        <w:t>Under s</w:t>
      </w:r>
      <w:r w:rsidRPr="00E422DD">
        <w:rPr>
          <w:rFonts w:asciiTheme="minorHAnsi" w:hAnsiTheme="minorHAnsi" w:cstheme="minorHAnsi"/>
          <w:bCs/>
          <w:color w:val="auto"/>
          <w:sz w:val="24"/>
          <w:szCs w:val="24"/>
        </w:rPr>
        <w:t xml:space="preserve">ection </w:t>
      </w:r>
      <w:r w:rsidR="00E422DD" w:rsidRPr="00E422DD">
        <w:rPr>
          <w:rFonts w:asciiTheme="minorHAnsi" w:hAnsiTheme="minorHAnsi" w:cstheme="minorHAnsi"/>
          <w:bCs/>
          <w:color w:val="auto"/>
          <w:sz w:val="24"/>
          <w:szCs w:val="24"/>
        </w:rPr>
        <w:t xml:space="preserve">8A of the Act, </w:t>
      </w:r>
      <w:r w:rsidR="00E422DD" w:rsidRPr="00E422DD">
        <w:rPr>
          <w:rFonts w:asciiTheme="minorHAnsi" w:hAnsiTheme="minorHAnsi" w:cstheme="minorHAnsi"/>
          <w:color w:val="auto"/>
          <w:sz w:val="24"/>
          <w:szCs w:val="24"/>
        </w:rPr>
        <w:t>the provisions of the Act relating to the supply of liquor do not apply if:</w:t>
      </w:r>
    </w:p>
    <w:p w14:paraId="5D33355B" w14:textId="77777777" w:rsidR="00E422DD" w:rsidRPr="00E422DD" w:rsidRDefault="00E422DD" w:rsidP="00E422DD">
      <w:pPr>
        <w:pStyle w:val="IntroParagraph"/>
        <w:numPr>
          <w:ilvl w:val="0"/>
          <w:numId w:val="10"/>
        </w:numPr>
        <w:spacing w:before="200"/>
        <w:rPr>
          <w:rFonts w:asciiTheme="minorHAnsi" w:hAnsiTheme="minorHAnsi" w:cstheme="minorHAnsi"/>
          <w:color w:val="auto"/>
          <w:sz w:val="24"/>
          <w:szCs w:val="24"/>
        </w:rPr>
      </w:pPr>
      <w:r w:rsidRPr="00E422DD">
        <w:rPr>
          <w:rFonts w:asciiTheme="minorHAnsi" w:hAnsiTheme="minorHAnsi" w:cstheme="minorHAnsi"/>
          <w:color w:val="auto"/>
          <w:sz w:val="24"/>
          <w:szCs w:val="24"/>
        </w:rPr>
        <w:t>the supply is in the course of conducting an exempt business; and</w:t>
      </w:r>
    </w:p>
    <w:p w14:paraId="1092DC3F" w14:textId="3AE6CFD4" w:rsidR="00E422DD" w:rsidRPr="00E422DD" w:rsidRDefault="00E422DD" w:rsidP="00E422DD">
      <w:pPr>
        <w:pStyle w:val="IntroParagraph"/>
        <w:numPr>
          <w:ilvl w:val="0"/>
          <w:numId w:val="10"/>
        </w:numPr>
        <w:spacing w:before="200"/>
        <w:rPr>
          <w:rFonts w:asciiTheme="minorHAnsi" w:hAnsiTheme="minorHAnsi" w:cstheme="minorHAnsi"/>
          <w:color w:val="auto"/>
          <w:sz w:val="24"/>
          <w:szCs w:val="24"/>
        </w:rPr>
      </w:pPr>
      <w:r w:rsidRPr="00E422DD">
        <w:rPr>
          <w:rFonts w:asciiTheme="minorHAnsi" w:hAnsiTheme="minorHAnsi" w:cstheme="minorHAnsi"/>
          <w:color w:val="auto"/>
          <w:sz w:val="24"/>
          <w:szCs w:val="24"/>
        </w:rPr>
        <w:t>the liquor is not suppl</w:t>
      </w:r>
      <w:r w:rsidR="00374F3A">
        <w:rPr>
          <w:rFonts w:asciiTheme="minorHAnsi" w:hAnsiTheme="minorHAnsi" w:cstheme="minorHAnsi"/>
          <w:color w:val="auto"/>
          <w:sz w:val="24"/>
          <w:szCs w:val="24"/>
        </w:rPr>
        <w:t>i</w:t>
      </w:r>
      <w:r w:rsidRPr="00E422DD">
        <w:rPr>
          <w:rFonts w:asciiTheme="minorHAnsi" w:hAnsiTheme="minorHAnsi" w:cstheme="minorHAnsi"/>
          <w:color w:val="auto"/>
          <w:sz w:val="24"/>
          <w:szCs w:val="24"/>
        </w:rPr>
        <w:t>ed to a child or young person.</w:t>
      </w:r>
    </w:p>
    <w:p w14:paraId="69A3D2AD" w14:textId="53C67249" w:rsidR="00E422DD" w:rsidRDefault="00E422DD" w:rsidP="00E422DD">
      <w:pPr>
        <w:pStyle w:val="IntroParagraph"/>
        <w:spacing w:before="200"/>
        <w:rPr>
          <w:rFonts w:asciiTheme="minorHAnsi" w:hAnsiTheme="minorHAnsi" w:cstheme="minorHAnsi"/>
          <w:color w:val="auto"/>
          <w:sz w:val="24"/>
          <w:szCs w:val="24"/>
        </w:rPr>
      </w:pPr>
      <w:r>
        <w:rPr>
          <w:rFonts w:asciiTheme="minorHAnsi" w:hAnsiTheme="minorHAnsi" w:cstheme="minorHAnsi"/>
          <w:color w:val="auto"/>
          <w:sz w:val="24"/>
          <w:szCs w:val="24"/>
        </w:rPr>
        <w:t>Section 8A (2) already provides for</w:t>
      </w:r>
      <w:r w:rsidR="009A1715">
        <w:rPr>
          <w:rFonts w:asciiTheme="minorHAnsi" w:hAnsiTheme="minorHAnsi" w:cstheme="minorHAnsi"/>
          <w:color w:val="auto"/>
          <w:sz w:val="24"/>
          <w:szCs w:val="24"/>
        </w:rPr>
        <w:t xml:space="preserve"> </w:t>
      </w:r>
      <w:r w:rsidR="00515BE0">
        <w:rPr>
          <w:rFonts w:asciiTheme="minorHAnsi" w:hAnsiTheme="minorHAnsi" w:cstheme="minorHAnsi"/>
          <w:color w:val="auto"/>
          <w:sz w:val="24"/>
          <w:szCs w:val="24"/>
        </w:rPr>
        <w:t>the meaning of</w:t>
      </w:r>
      <w:r w:rsidR="009A1715">
        <w:rPr>
          <w:rFonts w:asciiTheme="minorHAnsi" w:hAnsiTheme="minorHAnsi" w:cstheme="minorHAnsi"/>
          <w:color w:val="auto"/>
          <w:sz w:val="24"/>
          <w:szCs w:val="24"/>
        </w:rPr>
        <w:t xml:space="preserve"> an</w:t>
      </w:r>
      <w:r>
        <w:rPr>
          <w:rFonts w:asciiTheme="minorHAnsi" w:hAnsiTheme="minorHAnsi" w:cstheme="minorHAnsi"/>
          <w:color w:val="auto"/>
          <w:sz w:val="24"/>
          <w:szCs w:val="24"/>
        </w:rPr>
        <w:t xml:space="preserve"> </w:t>
      </w:r>
      <w:r w:rsidRPr="00E422DD">
        <w:rPr>
          <w:rFonts w:asciiTheme="minorHAnsi" w:hAnsiTheme="minorHAnsi" w:cstheme="minorHAnsi"/>
          <w:b/>
          <w:bCs/>
          <w:i/>
          <w:iCs/>
          <w:color w:val="auto"/>
          <w:sz w:val="24"/>
          <w:szCs w:val="24"/>
        </w:rPr>
        <w:t>exempt business</w:t>
      </w:r>
      <w:r w:rsidR="00515BE0">
        <w:rPr>
          <w:rFonts w:asciiTheme="minorHAnsi" w:hAnsiTheme="minorHAnsi" w:cstheme="minorHAnsi"/>
          <w:color w:val="auto"/>
          <w:sz w:val="24"/>
          <w:szCs w:val="24"/>
        </w:rPr>
        <w:t xml:space="preserve"> as</w:t>
      </w:r>
      <w:r>
        <w:rPr>
          <w:rFonts w:asciiTheme="minorHAnsi" w:hAnsiTheme="minorHAnsi" w:cstheme="minorHAnsi"/>
          <w:color w:val="auto"/>
          <w:sz w:val="24"/>
          <w:szCs w:val="24"/>
        </w:rPr>
        <w:t xml:space="preserve"> any of the following:</w:t>
      </w:r>
    </w:p>
    <w:p w14:paraId="4809F6CF" w14:textId="5E5EE11A" w:rsidR="00E422DD" w:rsidRDefault="00E422DD" w:rsidP="00E422DD">
      <w:pPr>
        <w:pStyle w:val="IntroParagraph"/>
        <w:numPr>
          <w:ilvl w:val="0"/>
          <w:numId w:val="11"/>
        </w:numPr>
        <w:spacing w:before="200"/>
        <w:rPr>
          <w:rFonts w:asciiTheme="minorHAnsi" w:hAnsiTheme="minorHAnsi" w:cstheme="minorHAnsi"/>
          <w:color w:val="auto"/>
          <w:sz w:val="24"/>
          <w:szCs w:val="24"/>
        </w:rPr>
      </w:pPr>
      <w:r>
        <w:rPr>
          <w:rFonts w:asciiTheme="minorHAnsi" w:hAnsiTheme="minorHAnsi" w:cstheme="minorHAnsi"/>
          <w:color w:val="auto"/>
          <w:sz w:val="24"/>
          <w:szCs w:val="24"/>
        </w:rPr>
        <w:t>A business providing traveller accommodation that, in an accommodation unit operated by the business, supplies liquor to a member of the travelling public.</w:t>
      </w:r>
    </w:p>
    <w:p w14:paraId="2B03FC46" w14:textId="0E74AAE3" w:rsidR="00E422DD" w:rsidRDefault="00E422DD" w:rsidP="00E422DD">
      <w:pPr>
        <w:pStyle w:val="IntroParagraph"/>
        <w:numPr>
          <w:ilvl w:val="0"/>
          <w:numId w:val="12"/>
        </w:numPr>
        <w:spacing w:before="200"/>
        <w:rPr>
          <w:rFonts w:asciiTheme="minorHAnsi" w:hAnsiTheme="minorHAnsi" w:cstheme="minorHAnsi"/>
          <w:color w:val="auto"/>
          <w:sz w:val="24"/>
          <w:szCs w:val="24"/>
        </w:rPr>
      </w:pPr>
      <w:r>
        <w:rPr>
          <w:rFonts w:asciiTheme="minorHAnsi" w:hAnsiTheme="minorHAnsi" w:cstheme="minorHAnsi"/>
          <w:color w:val="auto"/>
          <w:sz w:val="24"/>
          <w:szCs w:val="24"/>
        </w:rPr>
        <w:t>Examples are a minibar and/or room service.</w:t>
      </w:r>
    </w:p>
    <w:p w14:paraId="74501E14" w14:textId="4691F9FC" w:rsidR="00E422DD" w:rsidRDefault="00E422DD" w:rsidP="00E422DD">
      <w:pPr>
        <w:pStyle w:val="IntroParagraph"/>
        <w:numPr>
          <w:ilvl w:val="0"/>
          <w:numId w:val="11"/>
        </w:numPr>
        <w:spacing w:before="200"/>
        <w:rPr>
          <w:rFonts w:asciiTheme="minorHAnsi" w:hAnsiTheme="minorHAnsi" w:cstheme="minorHAnsi"/>
          <w:color w:val="auto"/>
          <w:sz w:val="24"/>
          <w:szCs w:val="24"/>
        </w:rPr>
      </w:pPr>
      <w:r>
        <w:rPr>
          <w:rFonts w:asciiTheme="minorHAnsi" w:hAnsiTheme="minorHAnsi" w:cstheme="minorHAnsi"/>
          <w:color w:val="auto"/>
          <w:sz w:val="24"/>
          <w:szCs w:val="24"/>
        </w:rPr>
        <w:t xml:space="preserve">A florist or </w:t>
      </w:r>
      <w:r w:rsidR="0050594A">
        <w:rPr>
          <w:rFonts w:asciiTheme="minorHAnsi" w:hAnsiTheme="minorHAnsi" w:cstheme="minorHAnsi"/>
          <w:color w:val="auto"/>
          <w:sz w:val="24"/>
          <w:szCs w:val="24"/>
        </w:rPr>
        <w:t>gift maker business that packages liquor together with flowers, food or other gifts where the liquor supplied with each package does not exceed 1.5L and has a value not exceeding half the sale price of the package.</w:t>
      </w:r>
    </w:p>
    <w:p w14:paraId="74B9CC13" w14:textId="4339FCAE" w:rsidR="0050594A" w:rsidRDefault="0050594A" w:rsidP="00E422DD">
      <w:pPr>
        <w:pStyle w:val="IntroParagraph"/>
        <w:numPr>
          <w:ilvl w:val="0"/>
          <w:numId w:val="11"/>
        </w:numPr>
        <w:spacing w:before="200"/>
        <w:rPr>
          <w:rFonts w:asciiTheme="minorHAnsi" w:hAnsiTheme="minorHAnsi" w:cstheme="minorHAnsi"/>
          <w:color w:val="auto"/>
          <w:sz w:val="24"/>
          <w:szCs w:val="24"/>
        </w:rPr>
      </w:pPr>
      <w:r>
        <w:rPr>
          <w:rFonts w:asciiTheme="minorHAnsi" w:hAnsiTheme="minorHAnsi" w:cstheme="minorHAnsi"/>
          <w:color w:val="auto"/>
          <w:sz w:val="24"/>
          <w:szCs w:val="24"/>
        </w:rPr>
        <w:t>A hairdressing or barber business that supplies liquor without charge for consumption at the business</w:t>
      </w:r>
      <w:r w:rsidR="00C25225">
        <w:rPr>
          <w:rFonts w:asciiTheme="minorHAnsi" w:hAnsiTheme="minorHAnsi" w:cstheme="minorHAnsi"/>
          <w:color w:val="auto"/>
          <w:sz w:val="24"/>
          <w:szCs w:val="24"/>
        </w:rPr>
        <w:t>’</w:t>
      </w:r>
      <w:r>
        <w:rPr>
          <w:rFonts w:asciiTheme="minorHAnsi" w:hAnsiTheme="minorHAnsi" w:cstheme="minorHAnsi"/>
          <w:color w:val="auto"/>
          <w:sz w:val="24"/>
          <w:szCs w:val="24"/>
        </w:rPr>
        <w:t xml:space="preserve"> premises where the supply is ancillary to the business</w:t>
      </w:r>
      <w:r w:rsidR="006429EE">
        <w:rPr>
          <w:rFonts w:asciiTheme="minorHAnsi" w:hAnsiTheme="minorHAnsi" w:cstheme="minorHAnsi"/>
          <w:color w:val="auto"/>
          <w:sz w:val="24"/>
          <w:szCs w:val="24"/>
        </w:rPr>
        <w:t>’</w:t>
      </w:r>
      <w:r>
        <w:rPr>
          <w:rFonts w:asciiTheme="minorHAnsi" w:hAnsiTheme="minorHAnsi" w:cstheme="minorHAnsi"/>
          <w:color w:val="auto"/>
          <w:sz w:val="24"/>
          <w:szCs w:val="24"/>
        </w:rPr>
        <w:t xml:space="preserve"> services.</w:t>
      </w:r>
    </w:p>
    <w:p w14:paraId="2148A02A" w14:textId="55C7574A" w:rsidR="0050594A" w:rsidRDefault="0050594A" w:rsidP="00E422DD">
      <w:pPr>
        <w:pStyle w:val="IntroParagraph"/>
        <w:numPr>
          <w:ilvl w:val="0"/>
          <w:numId w:val="11"/>
        </w:numPr>
        <w:spacing w:before="200"/>
        <w:rPr>
          <w:rFonts w:asciiTheme="minorHAnsi" w:hAnsiTheme="minorHAnsi" w:cstheme="minorHAnsi"/>
          <w:color w:val="auto"/>
          <w:sz w:val="24"/>
          <w:szCs w:val="24"/>
        </w:rPr>
      </w:pPr>
      <w:r>
        <w:rPr>
          <w:rFonts w:asciiTheme="minorHAnsi" w:hAnsiTheme="minorHAnsi" w:cstheme="minorHAnsi"/>
          <w:color w:val="auto"/>
          <w:sz w:val="24"/>
          <w:szCs w:val="24"/>
        </w:rPr>
        <w:lastRenderedPageBreak/>
        <w:t>A hospital, a home or residential care service provider, a retirement village, or a hospice where the supply of liquor does not exceed two standard drinks per person per day.</w:t>
      </w:r>
    </w:p>
    <w:p w14:paraId="6E9AC57B" w14:textId="2D2F9672" w:rsidR="0050594A" w:rsidRDefault="0050594A" w:rsidP="00E422DD">
      <w:pPr>
        <w:pStyle w:val="IntroParagraph"/>
        <w:numPr>
          <w:ilvl w:val="0"/>
          <w:numId w:val="11"/>
        </w:numPr>
        <w:spacing w:before="200"/>
        <w:rPr>
          <w:rFonts w:asciiTheme="minorHAnsi" w:hAnsiTheme="minorHAnsi" w:cstheme="minorHAnsi"/>
          <w:color w:val="auto"/>
          <w:sz w:val="24"/>
          <w:szCs w:val="24"/>
        </w:rPr>
      </w:pPr>
      <w:r>
        <w:rPr>
          <w:rFonts w:asciiTheme="minorHAnsi" w:hAnsiTheme="minorHAnsi" w:cstheme="minorHAnsi"/>
          <w:color w:val="auto"/>
          <w:sz w:val="24"/>
          <w:szCs w:val="24"/>
        </w:rPr>
        <w:t>A limousine or tour business if the business provides services to no more than 12 adults, the supply does not exceed two standard drinks per person, and the supply is ancillary to the business</w:t>
      </w:r>
      <w:r w:rsidR="0069347A">
        <w:rPr>
          <w:rFonts w:asciiTheme="minorHAnsi" w:hAnsiTheme="minorHAnsi" w:cstheme="minorHAnsi"/>
          <w:color w:val="auto"/>
          <w:sz w:val="24"/>
          <w:szCs w:val="24"/>
        </w:rPr>
        <w:t>’</w:t>
      </w:r>
      <w:r>
        <w:rPr>
          <w:rFonts w:asciiTheme="minorHAnsi" w:hAnsiTheme="minorHAnsi" w:cstheme="minorHAnsi"/>
          <w:color w:val="auto"/>
          <w:sz w:val="24"/>
          <w:szCs w:val="24"/>
        </w:rPr>
        <w:t xml:space="preserve"> services and without charge.</w:t>
      </w:r>
    </w:p>
    <w:p w14:paraId="19980B2A" w14:textId="77777777" w:rsidR="004C4067" w:rsidRDefault="0050594A" w:rsidP="0050594A">
      <w:pPr>
        <w:pStyle w:val="IntroParagraph"/>
        <w:spacing w:before="200"/>
        <w:rPr>
          <w:rFonts w:asciiTheme="minorHAnsi" w:hAnsiTheme="minorHAnsi" w:cstheme="minorHAnsi"/>
          <w:color w:val="auto"/>
          <w:sz w:val="24"/>
          <w:szCs w:val="24"/>
        </w:rPr>
      </w:pPr>
      <w:r>
        <w:rPr>
          <w:rFonts w:asciiTheme="minorHAnsi" w:hAnsiTheme="minorHAnsi" w:cstheme="minorHAnsi"/>
          <w:color w:val="auto"/>
          <w:sz w:val="24"/>
          <w:szCs w:val="24"/>
        </w:rPr>
        <w:t>These businesses are considered low risk and no issues have been identified with the</w:t>
      </w:r>
      <w:r w:rsidR="004C4067">
        <w:rPr>
          <w:rFonts w:asciiTheme="minorHAnsi" w:hAnsiTheme="minorHAnsi" w:cstheme="minorHAnsi"/>
          <w:color w:val="auto"/>
          <w:sz w:val="24"/>
          <w:szCs w:val="24"/>
        </w:rPr>
        <w:t xml:space="preserve"> </w:t>
      </w:r>
      <w:r>
        <w:rPr>
          <w:rFonts w:asciiTheme="minorHAnsi" w:hAnsiTheme="minorHAnsi" w:cstheme="minorHAnsi"/>
          <w:color w:val="auto"/>
          <w:sz w:val="24"/>
          <w:szCs w:val="24"/>
        </w:rPr>
        <w:t>exempt</w:t>
      </w:r>
      <w:r w:rsidR="004C4067">
        <w:rPr>
          <w:rFonts w:asciiTheme="minorHAnsi" w:hAnsiTheme="minorHAnsi" w:cstheme="minorHAnsi"/>
          <w:color w:val="auto"/>
          <w:sz w:val="24"/>
          <w:szCs w:val="24"/>
        </w:rPr>
        <w:t xml:space="preserve">ion of these </w:t>
      </w:r>
      <w:r>
        <w:rPr>
          <w:rFonts w:asciiTheme="minorHAnsi" w:hAnsiTheme="minorHAnsi" w:cstheme="minorHAnsi"/>
          <w:color w:val="auto"/>
          <w:sz w:val="24"/>
          <w:szCs w:val="24"/>
        </w:rPr>
        <w:t>businesses</w:t>
      </w:r>
      <w:r w:rsidR="004C4067">
        <w:rPr>
          <w:rFonts w:asciiTheme="minorHAnsi" w:hAnsiTheme="minorHAnsi" w:cstheme="minorHAnsi"/>
          <w:color w:val="auto"/>
          <w:sz w:val="24"/>
          <w:szCs w:val="24"/>
        </w:rPr>
        <w:t xml:space="preserve"> from the provisions of the Act</w:t>
      </w:r>
      <w:r>
        <w:rPr>
          <w:rFonts w:asciiTheme="minorHAnsi" w:hAnsiTheme="minorHAnsi" w:cstheme="minorHAnsi"/>
          <w:color w:val="auto"/>
          <w:sz w:val="24"/>
          <w:szCs w:val="24"/>
        </w:rPr>
        <w:t xml:space="preserve">. </w:t>
      </w:r>
    </w:p>
    <w:p w14:paraId="6B425C7F" w14:textId="46071AB2" w:rsidR="0050594A" w:rsidRPr="0050594A" w:rsidRDefault="00627854" w:rsidP="0050594A">
      <w:pPr>
        <w:pStyle w:val="IntroParagraph"/>
        <w:spacing w:before="200"/>
        <w:rPr>
          <w:rFonts w:asciiTheme="minorHAnsi" w:hAnsiTheme="minorHAnsi" w:cstheme="minorHAnsi"/>
          <w:color w:val="auto"/>
          <w:sz w:val="24"/>
          <w:szCs w:val="24"/>
        </w:rPr>
      </w:pPr>
      <w:r>
        <w:rPr>
          <w:rFonts w:asciiTheme="minorHAnsi" w:hAnsiTheme="minorHAnsi" w:cstheme="minorHAnsi"/>
          <w:color w:val="auto"/>
          <w:sz w:val="24"/>
          <w:szCs w:val="24"/>
        </w:rPr>
        <w:t>This declaration does not make amendments to the current provisions relating to these businesses under section 8A of the Act.</w:t>
      </w:r>
    </w:p>
    <w:p w14:paraId="6ABF3310" w14:textId="19C2280F" w:rsidR="0050594A" w:rsidRPr="0050594A" w:rsidRDefault="0050594A" w:rsidP="0050594A">
      <w:pPr>
        <w:pStyle w:val="IntroParagraph"/>
        <w:spacing w:before="200"/>
        <w:rPr>
          <w:rFonts w:asciiTheme="minorHAnsi" w:hAnsiTheme="minorHAnsi" w:cstheme="minorHAnsi"/>
          <w:b/>
          <w:color w:val="auto"/>
          <w:sz w:val="28"/>
          <w:szCs w:val="28"/>
        </w:rPr>
      </w:pPr>
      <w:r>
        <w:rPr>
          <w:rFonts w:asciiTheme="minorHAnsi" w:hAnsiTheme="minorHAnsi" w:cstheme="minorHAnsi"/>
          <w:b/>
          <w:color w:val="auto"/>
          <w:sz w:val="28"/>
          <w:szCs w:val="28"/>
        </w:rPr>
        <w:t>Additional b</w:t>
      </w:r>
      <w:r w:rsidRPr="0050594A">
        <w:rPr>
          <w:rFonts w:asciiTheme="minorHAnsi" w:hAnsiTheme="minorHAnsi" w:cstheme="minorHAnsi"/>
          <w:b/>
          <w:color w:val="auto"/>
          <w:sz w:val="28"/>
          <w:szCs w:val="28"/>
        </w:rPr>
        <w:t xml:space="preserve">usinesses </w:t>
      </w:r>
      <w:r>
        <w:rPr>
          <w:rFonts w:asciiTheme="minorHAnsi" w:hAnsiTheme="minorHAnsi" w:cstheme="minorHAnsi"/>
          <w:b/>
          <w:color w:val="auto"/>
          <w:sz w:val="28"/>
          <w:szCs w:val="28"/>
        </w:rPr>
        <w:t>to be exempted by this declaration</w:t>
      </w:r>
    </w:p>
    <w:p w14:paraId="6D181DD9" w14:textId="5E1027B1" w:rsidR="00E422DD" w:rsidRDefault="0050594A" w:rsidP="00E422DD">
      <w:pPr>
        <w:pStyle w:val="IntroParagraph"/>
        <w:spacing w:before="200"/>
        <w:rPr>
          <w:rFonts w:asciiTheme="minorHAnsi" w:hAnsiTheme="minorHAnsi" w:cstheme="minorHAnsi"/>
          <w:color w:val="auto"/>
          <w:sz w:val="24"/>
          <w:szCs w:val="24"/>
        </w:rPr>
      </w:pPr>
      <w:r>
        <w:rPr>
          <w:rFonts w:asciiTheme="minorHAnsi" w:hAnsiTheme="minorHAnsi" w:cstheme="minorHAnsi"/>
          <w:color w:val="auto"/>
          <w:sz w:val="24"/>
          <w:szCs w:val="24"/>
        </w:rPr>
        <w:t xml:space="preserve">As part of a broader reform package to support and enhance Canberra’s night-time economy, amendments have been made to the Act via the </w:t>
      </w:r>
      <w:r w:rsidRPr="0050594A">
        <w:rPr>
          <w:rFonts w:asciiTheme="minorHAnsi" w:hAnsiTheme="minorHAnsi" w:cstheme="minorHAnsi"/>
          <w:i/>
          <w:iCs/>
          <w:color w:val="auto"/>
          <w:sz w:val="24"/>
          <w:szCs w:val="24"/>
        </w:rPr>
        <w:t>Liquor (Night-Time Economy) Amendment Act 2024</w:t>
      </w:r>
      <w:r>
        <w:rPr>
          <w:rFonts w:asciiTheme="minorHAnsi" w:hAnsiTheme="minorHAnsi" w:cstheme="minorHAnsi"/>
          <w:color w:val="auto"/>
          <w:sz w:val="24"/>
          <w:szCs w:val="24"/>
        </w:rPr>
        <w:t>. This now includes a new provision u</w:t>
      </w:r>
      <w:r w:rsidR="00E422DD" w:rsidRPr="00E422DD">
        <w:rPr>
          <w:rFonts w:asciiTheme="minorHAnsi" w:hAnsiTheme="minorHAnsi" w:cstheme="minorHAnsi"/>
          <w:color w:val="auto"/>
          <w:sz w:val="24"/>
          <w:szCs w:val="24"/>
        </w:rPr>
        <w:t xml:space="preserve">nder </w:t>
      </w:r>
      <w:r w:rsidR="009A1715">
        <w:rPr>
          <w:rFonts w:asciiTheme="minorHAnsi" w:hAnsiTheme="minorHAnsi" w:cstheme="minorHAnsi"/>
          <w:color w:val="auto"/>
          <w:sz w:val="24"/>
          <w:szCs w:val="24"/>
        </w:rPr>
        <w:t xml:space="preserve">the Act, </w:t>
      </w:r>
      <w:r w:rsidR="00E422DD" w:rsidRPr="00E422DD">
        <w:rPr>
          <w:rFonts w:asciiTheme="minorHAnsi" w:hAnsiTheme="minorHAnsi" w:cstheme="minorHAnsi"/>
          <w:color w:val="auto"/>
          <w:sz w:val="24"/>
          <w:szCs w:val="24"/>
        </w:rPr>
        <w:t>section 8A (2)</w:t>
      </w:r>
      <w:r w:rsidR="009A1715">
        <w:rPr>
          <w:rFonts w:asciiTheme="minorHAnsi" w:hAnsiTheme="minorHAnsi" w:cstheme="minorHAnsi"/>
          <w:color w:val="auto"/>
          <w:sz w:val="24"/>
          <w:szCs w:val="24"/>
        </w:rPr>
        <w:t xml:space="preserve">, definition of </w:t>
      </w:r>
      <w:r w:rsidR="009A1715">
        <w:rPr>
          <w:rFonts w:asciiTheme="minorHAnsi" w:hAnsiTheme="minorHAnsi" w:cstheme="minorHAnsi"/>
          <w:b/>
          <w:bCs/>
          <w:i/>
          <w:iCs/>
          <w:color w:val="auto"/>
          <w:sz w:val="24"/>
          <w:szCs w:val="24"/>
        </w:rPr>
        <w:t>exempt business</w:t>
      </w:r>
      <w:r w:rsidR="009A1715">
        <w:rPr>
          <w:rFonts w:asciiTheme="minorHAnsi" w:hAnsiTheme="minorHAnsi" w:cstheme="minorHAnsi"/>
          <w:color w:val="auto"/>
          <w:sz w:val="24"/>
          <w:szCs w:val="24"/>
        </w:rPr>
        <w:t>, paragraph</w:t>
      </w:r>
      <w:r w:rsidR="00E422DD" w:rsidRPr="00E422DD">
        <w:rPr>
          <w:rFonts w:asciiTheme="minorHAnsi" w:hAnsiTheme="minorHAnsi" w:cstheme="minorHAnsi"/>
          <w:color w:val="auto"/>
          <w:sz w:val="24"/>
          <w:szCs w:val="24"/>
        </w:rPr>
        <w:t xml:space="preserve"> (f) </w:t>
      </w:r>
      <w:r>
        <w:rPr>
          <w:rFonts w:asciiTheme="minorHAnsi" w:hAnsiTheme="minorHAnsi" w:cstheme="minorHAnsi"/>
          <w:color w:val="auto"/>
          <w:sz w:val="24"/>
          <w:szCs w:val="24"/>
        </w:rPr>
        <w:t xml:space="preserve">to provide </w:t>
      </w:r>
      <w:r w:rsidR="00E422DD" w:rsidRPr="00E422DD">
        <w:rPr>
          <w:rFonts w:asciiTheme="minorHAnsi" w:hAnsiTheme="minorHAnsi" w:cstheme="minorHAnsi"/>
          <w:color w:val="auto"/>
          <w:sz w:val="24"/>
          <w:szCs w:val="24"/>
        </w:rPr>
        <w:t xml:space="preserve">the Minister with portfolio responsibility </w:t>
      </w:r>
      <w:r>
        <w:rPr>
          <w:rFonts w:asciiTheme="minorHAnsi" w:hAnsiTheme="minorHAnsi" w:cstheme="minorHAnsi"/>
          <w:color w:val="auto"/>
          <w:sz w:val="24"/>
          <w:szCs w:val="24"/>
        </w:rPr>
        <w:t xml:space="preserve">the power to </w:t>
      </w:r>
      <w:r w:rsidR="00E422DD" w:rsidRPr="00E422DD">
        <w:rPr>
          <w:rFonts w:asciiTheme="minorHAnsi" w:hAnsiTheme="minorHAnsi" w:cstheme="minorHAnsi"/>
          <w:color w:val="auto"/>
          <w:sz w:val="24"/>
          <w:szCs w:val="24"/>
        </w:rPr>
        <w:t>declare a business to be exempt from the provisions of the Act.</w:t>
      </w:r>
    </w:p>
    <w:p w14:paraId="18155259" w14:textId="6905058A" w:rsidR="004D03AC" w:rsidRDefault="009B0899" w:rsidP="00E422DD">
      <w:pPr>
        <w:pStyle w:val="IntroParagraph"/>
        <w:spacing w:before="200"/>
        <w:rPr>
          <w:rFonts w:asciiTheme="minorHAnsi" w:hAnsiTheme="minorHAnsi" w:cstheme="minorHAnsi"/>
          <w:color w:val="auto"/>
          <w:sz w:val="24"/>
          <w:szCs w:val="24"/>
        </w:rPr>
      </w:pPr>
      <w:r>
        <w:rPr>
          <w:rFonts w:asciiTheme="minorHAnsi" w:hAnsiTheme="minorHAnsi" w:cstheme="minorHAnsi"/>
          <w:color w:val="auto"/>
          <w:sz w:val="24"/>
          <w:szCs w:val="24"/>
        </w:rPr>
        <w:t>T</w:t>
      </w:r>
      <w:r w:rsidR="004D03AC">
        <w:rPr>
          <w:rFonts w:asciiTheme="minorHAnsi" w:hAnsiTheme="minorHAnsi" w:cstheme="minorHAnsi"/>
          <w:color w:val="auto"/>
          <w:sz w:val="24"/>
          <w:szCs w:val="24"/>
        </w:rPr>
        <w:t>he Minister</w:t>
      </w:r>
      <w:r>
        <w:rPr>
          <w:rFonts w:asciiTheme="minorHAnsi" w:hAnsiTheme="minorHAnsi" w:cstheme="minorHAnsi"/>
          <w:color w:val="auto"/>
          <w:sz w:val="24"/>
          <w:szCs w:val="24"/>
        </w:rPr>
        <w:t>’s power to declare a business exempt is to be made</w:t>
      </w:r>
      <w:r w:rsidR="004D03AC">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by </w:t>
      </w:r>
      <w:r w:rsidR="004D03AC">
        <w:rPr>
          <w:rFonts w:asciiTheme="minorHAnsi" w:hAnsiTheme="minorHAnsi" w:cstheme="minorHAnsi"/>
          <w:color w:val="auto"/>
          <w:sz w:val="24"/>
          <w:szCs w:val="24"/>
        </w:rPr>
        <w:t xml:space="preserve">a Disallowable Instrument to provide for additional scrutiny. </w:t>
      </w:r>
    </w:p>
    <w:p w14:paraId="1FBC7A0A" w14:textId="23D6E0C3" w:rsidR="00751F14" w:rsidRDefault="00751F14" w:rsidP="00E422DD">
      <w:pPr>
        <w:pStyle w:val="IntroParagraph"/>
        <w:spacing w:before="200"/>
        <w:rPr>
          <w:rFonts w:asciiTheme="minorHAnsi" w:hAnsiTheme="minorHAnsi" w:cstheme="minorHAnsi"/>
          <w:color w:val="auto"/>
          <w:sz w:val="24"/>
          <w:szCs w:val="24"/>
        </w:rPr>
      </w:pPr>
      <w:r>
        <w:rPr>
          <w:rFonts w:asciiTheme="minorHAnsi" w:hAnsiTheme="minorHAnsi" w:cstheme="minorHAnsi"/>
          <w:color w:val="auto"/>
          <w:sz w:val="24"/>
          <w:szCs w:val="24"/>
        </w:rPr>
        <w:t xml:space="preserve">This reform will support businesses offering a more boutique experience and is considered low risk as any supply of liquor is ancillary to the primary purpose of the business and will be complementary. </w:t>
      </w:r>
    </w:p>
    <w:p w14:paraId="0F507D74" w14:textId="651A8306" w:rsidR="00751F14" w:rsidRDefault="00751F14" w:rsidP="00E422DD">
      <w:pPr>
        <w:pStyle w:val="IntroParagraph"/>
        <w:spacing w:before="200"/>
        <w:rPr>
          <w:rFonts w:asciiTheme="minorHAnsi" w:hAnsiTheme="minorHAnsi" w:cstheme="minorHAnsi"/>
          <w:color w:val="auto"/>
          <w:sz w:val="24"/>
          <w:szCs w:val="24"/>
        </w:rPr>
      </w:pPr>
      <w:r>
        <w:rPr>
          <w:rFonts w:asciiTheme="minorHAnsi" w:hAnsiTheme="minorHAnsi" w:cstheme="minorHAnsi"/>
          <w:color w:val="auto"/>
          <w:sz w:val="24"/>
          <w:szCs w:val="24"/>
        </w:rPr>
        <w:t>If liquor is to be sold, a relevant liquor licence will still have to be obtained.</w:t>
      </w:r>
    </w:p>
    <w:p w14:paraId="25CE94FF" w14:textId="52183F94" w:rsidR="00751F14" w:rsidRPr="003F1047" w:rsidRDefault="00751F14" w:rsidP="00751F14">
      <w:pPr>
        <w:rPr>
          <w:rFonts w:asciiTheme="minorHAnsi" w:hAnsiTheme="minorHAnsi" w:cstheme="minorHAnsi"/>
          <w:spacing w:val="-2"/>
          <w:szCs w:val="24"/>
          <w:lang w:eastAsia="en-AU"/>
        </w:rPr>
      </w:pPr>
      <w:r>
        <w:rPr>
          <w:rFonts w:asciiTheme="minorHAnsi" w:hAnsiTheme="minorHAnsi" w:cstheme="minorHAnsi"/>
          <w:spacing w:val="-2"/>
          <w:szCs w:val="24"/>
          <w:lang w:eastAsia="en-AU"/>
        </w:rPr>
        <w:t>In addition to the businesses already exempted under section 8A (2), the following businesses are</w:t>
      </w:r>
      <w:r w:rsidR="004C4067">
        <w:rPr>
          <w:rFonts w:asciiTheme="minorHAnsi" w:hAnsiTheme="minorHAnsi" w:cstheme="minorHAnsi"/>
          <w:spacing w:val="-2"/>
          <w:szCs w:val="24"/>
          <w:lang w:eastAsia="en-AU"/>
        </w:rPr>
        <w:t xml:space="preserve"> now</w:t>
      </w:r>
      <w:r>
        <w:rPr>
          <w:rFonts w:asciiTheme="minorHAnsi" w:hAnsiTheme="minorHAnsi" w:cstheme="minorHAnsi"/>
          <w:spacing w:val="-2"/>
          <w:szCs w:val="24"/>
          <w:lang w:eastAsia="en-AU"/>
        </w:rPr>
        <w:t xml:space="preserve"> declared exempt:</w:t>
      </w:r>
    </w:p>
    <w:p w14:paraId="0136C8CB" w14:textId="77777777" w:rsidR="00751F14" w:rsidRPr="003F1047" w:rsidRDefault="00751F14" w:rsidP="00751F14">
      <w:pPr>
        <w:rPr>
          <w:rFonts w:asciiTheme="minorHAnsi" w:hAnsiTheme="minorHAnsi" w:cstheme="minorHAnsi"/>
          <w:spacing w:val="-2"/>
          <w:szCs w:val="24"/>
          <w:lang w:eastAsia="en-AU"/>
        </w:rPr>
      </w:pPr>
    </w:p>
    <w:p w14:paraId="2DC1B22B" w14:textId="77335694" w:rsidR="00751F14" w:rsidRPr="003F1047" w:rsidRDefault="00751F14" w:rsidP="00751F14">
      <w:pPr>
        <w:pStyle w:val="ListParagraph"/>
        <w:numPr>
          <w:ilvl w:val="0"/>
          <w:numId w:val="13"/>
        </w:numPr>
        <w:rPr>
          <w:rFonts w:asciiTheme="minorHAnsi" w:hAnsiTheme="minorHAnsi" w:cstheme="minorHAnsi"/>
          <w:spacing w:val="-2"/>
          <w:szCs w:val="24"/>
          <w:lang w:eastAsia="en-AU"/>
        </w:rPr>
      </w:pPr>
      <w:r w:rsidRPr="000D05CD">
        <w:rPr>
          <w:rFonts w:asciiTheme="minorHAnsi" w:hAnsiTheme="minorHAnsi" w:cstheme="minorHAnsi"/>
          <w:b/>
          <w:bCs/>
          <w:spacing w:val="-2"/>
          <w:szCs w:val="24"/>
          <w:lang w:eastAsia="en-AU"/>
        </w:rPr>
        <w:t>Nails salons</w:t>
      </w:r>
      <w:r>
        <w:rPr>
          <w:rFonts w:asciiTheme="minorHAnsi" w:hAnsiTheme="minorHAnsi" w:cstheme="minorHAnsi"/>
          <w:spacing w:val="-2"/>
          <w:szCs w:val="24"/>
          <w:lang w:eastAsia="en-AU"/>
        </w:rPr>
        <w:t xml:space="preserve"> that supply liquor without charge for consumption at the business’ premises where the supply is ancillary to the business’ services.</w:t>
      </w:r>
    </w:p>
    <w:p w14:paraId="7ADCEBB8" w14:textId="583FF1BB" w:rsidR="00751F14" w:rsidRPr="003F1047" w:rsidRDefault="00751F14" w:rsidP="00751F14">
      <w:pPr>
        <w:pStyle w:val="ListParagraph"/>
        <w:numPr>
          <w:ilvl w:val="0"/>
          <w:numId w:val="13"/>
        </w:numPr>
        <w:rPr>
          <w:rFonts w:asciiTheme="minorHAnsi" w:hAnsiTheme="minorHAnsi" w:cstheme="minorHAnsi"/>
          <w:spacing w:val="-2"/>
          <w:szCs w:val="24"/>
          <w:lang w:eastAsia="en-AU"/>
        </w:rPr>
      </w:pPr>
      <w:r w:rsidRPr="000D05CD">
        <w:rPr>
          <w:rFonts w:asciiTheme="minorHAnsi" w:hAnsiTheme="minorHAnsi" w:cstheme="minorHAnsi"/>
          <w:b/>
          <w:bCs/>
          <w:spacing w:val="-2"/>
          <w:szCs w:val="24"/>
          <w:lang w:eastAsia="en-AU"/>
        </w:rPr>
        <w:t>Beauty salons</w:t>
      </w:r>
      <w:r>
        <w:rPr>
          <w:rFonts w:asciiTheme="minorHAnsi" w:hAnsiTheme="minorHAnsi" w:cstheme="minorHAnsi"/>
          <w:spacing w:val="-2"/>
          <w:szCs w:val="24"/>
          <w:lang w:eastAsia="en-AU"/>
        </w:rPr>
        <w:t xml:space="preserve"> that supply liquor without charge for consumption at the business’ premises where the supply is ancillary to the business’ services.</w:t>
      </w:r>
    </w:p>
    <w:p w14:paraId="084BDDDB" w14:textId="5C69299F" w:rsidR="00751F14" w:rsidRPr="003F1047" w:rsidRDefault="00751F14" w:rsidP="00751F14">
      <w:pPr>
        <w:pStyle w:val="ListParagraph"/>
        <w:numPr>
          <w:ilvl w:val="0"/>
          <w:numId w:val="13"/>
        </w:numPr>
        <w:rPr>
          <w:rFonts w:asciiTheme="minorHAnsi" w:hAnsiTheme="minorHAnsi" w:cstheme="minorHAnsi"/>
          <w:spacing w:val="-2"/>
          <w:szCs w:val="24"/>
          <w:lang w:eastAsia="en-AU"/>
        </w:rPr>
      </w:pPr>
      <w:r w:rsidRPr="000D05CD">
        <w:rPr>
          <w:rFonts w:asciiTheme="minorHAnsi" w:hAnsiTheme="minorHAnsi" w:cstheme="minorHAnsi"/>
          <w:b/>
          <w:bCs/>
          <w:spacing w:val="-2"/>
          <w:szCs w:val="24"/>
          <w:lang w:eastAsia="en-AU"/>
        </w:rPr>
        <w:t xml:space="preserve">Raffles and lotteries for charitable fundraising </w:t>
      </w:r>
      <w:r w:rsidR="00856C74">
        <w:rPr>
          <w:rFonts w:asciiTheme="minorHAnsi" w:hAnsiTheme="minorHAnsi" w:cstheme="minorHAnsi"/>
          <w:spacing w:val="-2"/>
          <w:szCs w:val="24"/>
          <w:lang w:eastAsia="en-AU"/>
        </w:rPr>
        <w:t xml:space="preserve">that supply liquor as a prize, but </w:t>
      </w:r>
      <w:r w:rsidRPr="008E6448">
        <w:rPr>
          <w:rFonts w:asciiTheme="minorHAnsi" w:hAnsiTheme="minorHAnsi" w:cstheme="minorHAnsi"/>
          <w:spacing w:val="-2"/>
          <w:szCs w:val="24"/>
          <w:lang w:eastAsia="en-AU"/>
        </w:rPr>
        <w:t>only</w:t>
      </w:r>
      <w:r>
        <w:rPr>
          <w:rFonts w:asciiTheme="minorHAnsi" w:hAnsiTheme="minorHAnsi" w:cstheme="minorHAnsi"/>
          <w:spacing w:val="-2"/>
          <w:szCs w:val="24"/>
          <w:lang w:eastAsia="en-AU"/>
        </w:rPr>
        <w:t xml:space="preserve"> where the liquor supplied </w:t>
      </w:r>
      <w:r w:rsidR="00856C74">
        <w:rPr>
          <w:rFonts w:asciiTheme="minorHAnsi" w:hAnsiTheme="minorHAnsi" w:cstheme="minorHAnsi"/>
          <w:spacing w:val="-2"/>
          <w:szCs w:val="24"/>
          <w:lang w:eastAsia="en-AU"/>
        </w:rPr>
        <w:t xml:space="preserve"> to</w:t>
      </w:r>
      <w:r>
        <w:rPr>
          <w:rFonts w:asciiTheme="minorHAnsi" w:hAnsiTheme="minorHAnsi" w:cstheme="minorHAnsi"/>
          <w:spacing w:val="-2"/>
          <w:szCs w:val="24"/>
          <w:lang w:eastAsia="en-AU"/>
        </w:rPr>
        <w:t xml:space="preserve"> each individual winner of the raffle o</w:t>
      </w:r>
      <w:r w:rsidR="00856C74">
        <w:rPr>
          <w:rFonts w:asciiTheme="minorHAnsi" w:hAnsiTheme="minorHAnsi" w:cstheme="minorHAnsi"/>
          <w:spacing w:val="-2"/>
          <w:szCs w:val="24"/>
          <w:lang w:eastAsia="en-AU"/>
        </w:rPr>
        <w:t>r</w:t>
      </w:r>
      <w:r>
        <w:rPr>
          <w:rFonts w:asciiTheme="minorHAnsi" w:hAnsiTheme="minorHAnsi" w:cstheme="minorHAnsi"/>
          <w:spacing w:val="-2"/>
          <w:szCs w:val="24"/>
          <w:lang w:eastAsia="en-AU"/>
        </w:rPr>
        <w:t xml:space="preserve"> lottery does not exceed 1.5L.</w:t>
      </w:r>
    </w:p>
    <w:p w14:paraId="421AD4BF" w14:textId="139A9BFE" w:rsidR="00751F14" w:rsidRDefault="00751F14" w:rsidP="00E422DD">
      <w:pPr>
        <w:pStyle w:val="IntroParagraph"/>
        <w:spacing w:before="200"/>
        <w:rPr>
          <w:rFonts w:asciiTheme="minorHAnsi" w:hAnsiTheme="minorHAnsi" w:cstheme="minorHAnsi"/>
          <w:color w:val="auto"/>
          <w:sz w:val="24"/>
          <w:szCs w:val="24"/>
        </w:rPr>
      </w:pPr>
      <w:r>
        <w:rPr>
          <w:rFonts w:asciiTheme="minorHAnsi" w:hAnsiTheme="minorHAnsi" w:cstheme="minorHAnsi"/>
          <w:color w:val="auto"/>
          <w:sz w:val="24"/>
          <w:szCs w:val="24"/>
        </w:rPr>
        <w:lastRenderedPageBreak/>
        <w:t>The new exemptions for nail salons and beauty salons have the same criteria that already exists for hairdressing and barber businesses.</w:t>
      </w:r>
    </w:p>
    <w:p w14:paraId="75CFBDC2" w14:textId="226C976D" w:rsidR="00751F14" w:rsidRDefault="00751F14" w:rsidP="00E422DD">
      <w:pPr>
        <w:pStyle w:val="IntroParagraph"/>
        <w:spacing w:before="200"/>
        <w:rPr>
          <w:rFonts w:asciiTheme="minorHAnsi" w:hAnsiTheme="minorHAnsi" w:cstheme="minorHAnsi"/>
          <w:color w:val="auto"/>
          <w:sz w:val="24"/>
          <w:szCs w:val="24"/>
        </w:rPr>
      </w:pPr>
      <w:r>
        <w:rPr>
          <w:rFonts w:asciiTheme="minorHAnsi" w:hAnsiTheme="minorHAnsi" w:cstheme="minorHAnsi"/>
          <w:color w:val="auto"/>
          <w:sz w:val="24"/>
          <w:szCs w:val="24"/>
        </w:rPr>
        <w:t xml:space="preserve">The new exemption for raffles and lotteries for charitable fundraising </w:t>
      </w:r>
      <w:r w:rsidR="00856C74">
        <w:rPr>
          <w:rFonts w:asciiTheme="minorHAnsi" w:hAnsiTheme="minorHAnsi" w:cstheme="minorHAnsi"/>
          <w:color w:val="auto"/>
          <w:sz w:val="24"/>
          <w:szCs w:val="24"/>
        </w:rPr>
        <w:t xml:space="preserve"> </w:t>
      </w:r>
      <w:r w:rsidR="00BE169F">
        <w:rPr>
          <w:rFonts w:asciiTheme="minorHAnsi" w:hAnsiTheme="minorHAnsi" w:cstheme="minorHAnsi"/>
          <w:color w:val="auto"/>
          <w:sz w:val="24"/>
          <w:szCs w:val="24"/>
        </w:rPr>
        <w:t>is</w:t>
      </w:r>
      <w:r w:rsidR="00856C74">
        <w:rPr>
          <w:rFonts w:asciiTheme="minorHAnsi" w:hAnsiTheme="minorHAnsi" w:cstheme="minorHAnsi"/>
          <w:color w:val="auto"/>
          <w:sz w:val="24"/>
          <w:szCs w:val="24"/>
        </w:rPr>
        <w:t xml:space="preserve"> limited to supplying the same amount of liquor</w:t>
      </w:r>
      <w:r>
        <w:rPr>
          <w:rFonts w:asciiTheme="minorHAnsi" w:hAnsiTheme="minorHAnsi" w:cstheme="minorHAnsi"/>
          <w:color w:val="auto"/>
          <w:sz w:val="24"/>
          <w:szCs w:val="24"/>
        </w:rPr>
        <w:t xml:space="preserve"> as</w:t>
      </w:r>
      <w:r w:rsidR="004C4067">
        <w:rPr>
          <w:rFonts w:asciiTheme="minorHAnsi" w:hAnsiTheme="minorHAnsi" w:cstheme="minorHAnsi"/>
          <w:color w:val="auto"/>
          <w:sz w:val="24"/>
          <w:szCs w:val="24"/>
        </w:rPr>
        <w:t xml:space="preserve"> </w:t>
      </w:r>
      <w:r>
        <w:rPr>
          <w:rFonts w:asciiTheme="minorHAnsi" w:hAnsiTheme="minorHAnsi" w:cstheme="minorHAnsi"/>
          <w:color w:val="auto"/>
          <w:sz w:val="24"/>
          <w:szCs w:val="24"/>
        </w:rPr>
        <w:t>florist or gift maker businesses.</w:t>
      </w:r>
    </w:p>
    <w:p w14:paraId="03774BE7" w14:textId="4D1FDDE4" w:rsidR="00751F14" w:rsidRDefault="004C4067" w:rsidP="00E422DD">
      <w:pPr>
        <w:pStyle w:val="IntroParagraph"/>
        <w:spacing w:before="200"/>
        <w:rPr>
          <w:rFonts w:asciiTheme="minorHAnsi" w:hAnsiTheme="minorHAnsi" w:cstheme="minorHAnsi"/>
          <w:color w:val="auto"/>
          <w:sz w:val="24"/>
          <w:szCs w:val="24"/>
        </w:rPr>
      </w:pPr>
      <w:r>
        <w:rPr>
          <w:rFonts w:asciiTheme="minorHAnsi" w:hAnsiTheme="minorHAnsi" w:cstheme="minorHAnsi"/>
          <w:color w:val="auto"/>
          <w:sz w:val="24"/>
          <w:szCs w:val="24"/>
        </w:rPr>
        <w:t xml:space="preserve">These criteria are </w:t>
      </w:r>
      <w:r w:rsidR="00751F14">
        <w:rPr>
          <w:rFonts w:asciiTheme="minorHAnsi" w:hAnsiTheme="minorHAnsi" w:cstheme="minorHAnsi"/>
          <w:color w:val="auto"/>
          <w:sz w:val="24"/>
          <w:szCs w:val="24"/>
        </w:rPr>
        <w:t xml:space="preserve">to ensure the new exemptions remain consistent with the objects of the Act and the harm minimisation and community safety principles provided under sections 9 and 10 of the Act. </w:t>
      </w:r>
    </w:p>
    <w:p w14:paraId="28F6AB62" w14:textId="3B751D8D" w:rsidR="007F1534" w:rsidRPr="007F1534" w:rsidRDefault="007F1534" w:rsidP="007F1534">
      <w:pPr>
        <w:keepNext/>
        <w:spacing w:after="240"/>
        <w:jc w:val="both"/>
        <w:rPr>
          <w:rFonts w:asciiTheme="minorHAnsi" w:hAnsiTheme="minorHAnsi" w:cstheme="minorHAnsi"/>
          <w:b/>
          <w:sz w:val="28"/>
          <w:szCs w:val="28"/>
        </w:rPr>
      </w:pPr>
      <w:r>
        <w:rPr>
          <w:rFonts w:asciiTheme="minorHAnsi" w:hAnsiTheme="minorHAnsi" w:cstheme="minorHAnsi"/>
          <w:b/>
          <w:sz w:val="28"/>
          <w:szCs w:val="28"/>
        </w:rPr>
        <w:t xml:space="preserve">Consistency with </w:t>
      </w:r>
      <w:r w:rsidR="006D0371">
        <w:rPr>
          <w:rFonts w:asciiTheme="minorHAnsi" w:hAnsiTheme="minorHAnsi" w:cstheme="minorHAnsi"/>
          <w:b/>
          <w:sz w:val="28"/>
          <w:szCs w:val="28"/>
        </w:rPr>
        <w:t>h</w:t>
      </w:r>
      <w:r>
        <w:rPr>
          <w:rFonts w:asciiTheme="minorHAnsi" w:hAnsiTheme="minorHAnsi" w:cstheme="minorHAnsi"/>
          <w:b/>
          <w:sz w:val="28"/>
          <w:szCs w:val="28"/>
        </w:rPr>
        <w:t xml:space="preserve">uman </w:t>
      </w:r>
      <w:r w:rsidR="006D0371">
        <w:rPr>
          <w:rFonts w:asciiTheme="minorHAnsi" w:hAnsiTheme="minorHAnsi" w:cstheme="minorHAnsi"/>
          <w:b/>
          <w:sz w:val="28"/>
          <w:szCs w:val="28"/>
        </w:rPr>
        <w:t>r</w:t>
      </w:r>
      <w:r>
        <w:rPr>
          <w:rFonts w:asciiTheme="minorHAnsi" w:hAnsiTheme="minorHAnsi" w:cstheme="minorHAnsi"/>
          <w:b/>
          <w:sz w:val="28"/>
          <w:szCs w:val="28"/>
        </w:rPr>
        <w:t>ights</w:t>
      </w:r>
    </w:p>
    <w:p w14:paraId="41E53672" w14:textId="53922E14" w:rsidR="00E422DD" w:rsidRPr="008E6448" w:rsidRDefault="007F1534" w:rsidP="008E6448">
      <w:pPr>
        <w:pStyle w:val="IntroParagraph"/>
        <w:spacing w:before="200"/>
        <w:rPr>
          <w:rFonts w:asciiTheme="minorHAnsi" w:hAnsiTheme="minorHAnsi" w:cstheme="minorHAnsi"/>
          <w:color w:val="auto"/>
          <w:sz w:val="24"/>
          <w:szCs w:val="24"/>
        </w:rPr>
      </w:pPr>
      <w:r w:rsidRPr="008E6448">
        <w:rPr>
          <w:rFonts w:asciiTheme="minorHAnsi" w:hAnsiTheme="minorHAnsi" w:cstheme="minorHAnsi"/>
          <w:color w:val="auto"/>
          <w:sz w:val="24"/>
          <w:szCs w:val="24"/>
        </w:rPr>
        <w:t xml:space="preserve">The compatibility of the </w:t>
      </w:r>
      <w:r w:rsidR="00374F3A" w:rsidRPr="008E6448">
        <w:rPr>
          <w:rFonts w:asciiTheme="minorHAnsi" w:hAnsiTheme="minorHAnsi" w:cstheme="minorHAnsi"/>
          <w:i/>
          <w:iCs/>
          <w:color w:val="auto"/>
          <w:sz w:val="24"/>
          <w:szCs w:val="24"/>
        </w:rPr>
        <w:t>Liquor (Exempt Business) Declaration 2024 (No 1)</w:t>
      </w:r>
      <w:r w:rsidR="00374F3A" w:rsidRPr="008E6448">
        <w:rPr>
          <w:rFonts w:asciiTheme="minorHAnsi" w:hAnsiTheme="minorHAnsi" w:cstheme="minorHAnsi"/>
          <w:color w:val="auto"/>
          <w:sz w:val="24"/>
          <w:szCs w:val="24"/>
        </w:rPr>
        <w:t xml:space="preserve"> </w:t>
      </w:r>
      <w:r w:rsidRPr="008E6448">
        <w:rPr>
          <w:rFonts w:asciiTheme="minorHAnsi" w:hAnsiTheme="minorHAnsi" w:cstheme="minorHAnsi"/>
          <w:color w:val="auto"/>
          <w:sz w:val="24"/>
          <w:szCs w:val="24"/>
        </w:rPr>
        <w:t xml:space="preserve">with the </w:t>
      </w:r>
      <w:r w:rsidRPr="008E6448">
        <w:rPr>
          <w:rFonts w:asciiTheme="minorHAnsi" w:hAnsiTheme="minorHAnsi" w:cstheme="minorHAnsi"/>
          <w:i/>
          <w:iCs/>
          <w:color w:val="auto"/>
          <w:sz w:val="24"/>
          <w:szCs w:val="24"/>
        </w:rPr>
        <w:t>Human Rights Act 2004</w:t>
      </w:r>
      <w:r w:rsidRPr="008E6448">
        <w:rPr>
          <w:rFonts w:asciiTheme="minorHAnsi" w:hAnsiTheme="minorHAnsi" w:cstheme="minorHAnsi"/>
          <w:color w:val="auto"/>
          <w:sz w:val="24"/>
          <w:szCs w:val="24"/>
        </w:rPr>
        <w:t xml:space="preserve"> (HR Act) was considered during its development.</w:t>
      </w:r>
      <w:r w:rsidR="00A51271" w:rsidRPr="008E6448">
        <w:rPr>
          <w:rFonts w:asciiTheme="minorHAnsi" w:hAnsiTheme="minorHAnsi" w:cstheme="minorHAnsi"/>
          <w:color w:val="auto"/>
          <w:sz w:val="24"/>
          <w:szCs w:val="24"/>
        </w:rPr>
        <w:t xml:space="preserve"> </w:t>
      </w:r>
      <w:r w:rsidR="005F0F2D" w:rsidRPr="008E6448">
        <w:rPr>
          <w:rFonts w:asciiTheme="minorHAnsi" w:hAnsiTheme="minorHAnsi" w:cstheme="minorHAnsi"/>
          <w:color w:val="auto"/>
          <w:sz w:val="24"/>
          <w:szCs w:val="24"/>
        </w:rPr>
        <w:t xml:space="preserve">The declaration </w:t>
      </w:r>
      <w:r w:rsidR="00A51271" w:rsidRPr="008E6448">
        <w:rPr>
          <w:rFonts w:asciiTheme="minorHAnsi" w:hAnsiTheme="minorHAnsi" w:cstheme="minorHAnsi"/>
          <w:color w:val="auto"/>
          <w:sz w:val="24"/>
          <w:szCs w:val="24"/>
        </w:rPr>
        <w:t xml:space="preserve">does not </w:t>
      </w:r>
      <w:r w:rsidR="005F0F2D" w:rsidRPr="008E6448">
        <w:rPr>
          <w:rFonts w:asciiTheme="minorHAnsi" w:hAnsiTheme="minorHAnsi" w:cstheme="minorHAnsi"/>
          <w:color w:val="auto"/>
          <w:sz w:val="24"/>
          <w:szCs w:val="24"/>
        </w:rPr>
        <w:t xml:space="preserve"> engage</w:t>
      </w:r>
      <w:r w:rsidR="00A51271" w:rsidRPr="008E6448">
        <w:rPr>
          <w:rFonts w:asciiTheme="minorHAnsi" w:hAnsiTheme="minorHAnsi" w:cstheme="minorHAnsi"/>
          <w:color w:val="auto"/>
          <w:sz w:val="24"/>
          <w:szCs w:val="24"/>
        </w:rPr>
        <w:t xml:space="preserve"> any human rights </w:t>
      </w:r>
      <w:r w:rsidR="005F0F2D" w:rsidRPr="008E6448">
        <w:rPr>
          <w:rFonts w:asciiTheme="minorHAnsi" w:hAnsiTheme="minorHAnsi" w:cstheme="minorHAnsi"/>
          <w:color w:val="auto"/>
          <w:sz w:val="24"/>
          <w:szCs w:val="24"/>
        </w:rPr>
        <w:t>under the HR Act and therefore is consistent with the HR Act</w:t>
      </w:r>
      <w:r w:rsidR="00A51271" w:rsidRPr="008E6448">
        <w:rPr>
          <w:rFonts w:asciiTheme="minorHAnsi" w:hAnsiTheme="minorHAnsi" w:cstheme="minorHAnsi"/>
          <w:color w:val="auto"/>
          <w:sz w:val="24"/>
          <w:szCs w:val="24"/>
        </w:rPr>
        <w:t>.</w:t>
      </w:r>
    </w:p>
    <w:p w14:paraId="5B853790" w14:textId="11668670" w:rsidR="00C17FAB" w:rsidRPr="00E422DD" w:rsidRDefault="00C17FAB">
      <w:pPr>
        <w:rPr>
          <w:bCs/>
          <w:szCs w:val="24"/>
        </w:rPr>
      </w:pPr>
    </w:p>
    <w:sectPr w:rsidR="00C17FAB" w:rsidRPr="00E422DD"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675E" w14:textId="77777777" w:rsidR="00C17FAB" w:rsidRDefault="00C17FAB" w:rsidP="00C17FAB">
      <w:r>
        <w:separator/>
      </w:r>
    </w:p>
  </w:endnote>
  <w:endnote w:type="continuationSeparator" w:id="0">
    <w:p w14:paraId="425494D7"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2146" w14:textId="77777777" w:rsidR="00B068D4" w:rsidRDefault="00B06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4A3A" w14:textId="6CCC2FC4" w:rsidR="00B068D4" w:rsidRPr="00B068D4" w:rsidRDefault="00B068D4" w:rsidP="00B068D4">
    <w:pPr>
      <w:pStyle w:val="Footer"/>
      <w:jc w:val="center"/>
      <w:rPr>
        <w:rFonts w:cs="Arial"/>
        <w:sz w:val="14"/>
      </w:rPr>
    </w:pPr>
    <w:r w:rsidRPr="00B068D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0E38" w14:textId="77777777" w:rsidR="00B068D4" w:rsidRDefault="00B06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174B1" w14:textId="77777777" w:rsidR="00C17FAB" w:rsidRDefault="00C17FAB" w:rsidP="00C17FAB">
      <w:r>
        <w:separator/>
      </w:r>
    </w:p>
  </w:footnote>
  <w:footnote w:type="continuationSeparator" w:id="0">
    <w:p w14:paraId="09369AA9"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09D1" w14:textId="77777777" w:rsidR="00B068D4" w:rsidRDefault="00B06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D57E" w14:textId="77777777" w:rsidR="00B068D4" w:rsidRDefault="00B0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AB8" w14:textId="77777777" w:rsidR="00B068D4" w:rsidRDefault="00B0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246A6F"/>
    <w:multiLevelType w:val="hybridMultilevel"/>
    <w:tmpl w:val="3BBE36FC"/>
    <w:lvl w:ilvl="0" w:tplc="B9BA85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CB9570A"/>
    <w:multiLevelType w:val="hybridMultilevel"/>
    <w:tmpl w:val="72DAB34A"/>
    <w:lvl w:ilvl="0" w:tplc="B75CDE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F60CE3"/>
    <w:multiLevelType w:val="hybridMultilevel"/>
    <w:tmpl w:val="389622E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54A919A4"/>
    <w:multiLevelType w:val="hybridMultilevel"/>
    <w:tmpl w:val="A0EAA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3" w15:restartNumberingAfterBreak="0">
    <w:nsid w:val="7B2802B6"/>
    <w:multiLevelType w:val="hybridMultilevel"/>
    <w:tmpl w:val="3B106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9279831">
    <w:abstractNumId w:val="3"/>
  </w:num>
  <w:num w:numId="2" w16cid:durableId="2028941864">
    <w:abstractNumId w:val="0"/>
  </w:num>
  <w:num w:numId="3" w16cid:durableId="1012224300">
    <w:abstractNumId w:val="5"/>
  </w:num>
  <w:num w:numId="4" w16cid:durableId="1767385348">
    <w:abstractNumId w:val="9"/>
  </w:num>
  <w:num w:numId="5" w16cid:durableId="1189828677">
    <w:abstractNumId w:val="11"/>
  </w:num>
  <w:num w:numId="6" w16cid:durableId="55517270">
    <w:abstractNumId w:val="2"/>
  </w:num>
  <w:num w:numId="7" w16cid:durableId="2043096354">
    <w:abstractNumId w:val="7"/>
  </w:num>
  <w:num w:numId="8" w16cid:durableId="412050436">
    <w:abstractNumId w:val="8"/>
  </w:num>
  <w:num w:numId="9" w16cid:durableId="1122847130">
    <w:abstractNumId w:val="12"/>
  </w:num>
  <w:num w:numId="10" w16cid:durableId="33506988">
    <w:abstractNumId w:val="1"/>
  </w:num>
  <w:num w:numId="11" w16cid:durableId="821391089">
    <w:abstractNumId w:val="4"/>
  </w:num>
  <w:num w:numId="12" w16cid:durableId="950631413">
    <w:abstractNumId w:val="6"/>
  </w:num>
  <w:num w:numId="13" w16cid:durableId="2101677855">
    <w:abstractNumId w:val="10"/>
  </w:num>
  <w:num w:numId="14" w16cid:durableId="4415343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2D7C60"/>
    <w:rsid w:val="00374F3A"/>
    <w:rsid w:val="00400566"/>
    <w:rsid w:val="00463CFF"/>
    <w:rsid w:val="004A0EA7"/>
    <w:rsid w:val="004C4067"/>
    <w:rsid w:val="004D03AC"/>
    <w:rsid w:val="0050594A"/>
    <w:rsid w:val="00515BE0"/>
    <w:rsid w:val="00516327"/>
    <w:rsid w:val="00595DBE"/>
    <w:rsid w:val="005D2403"/>
    <w:rsid w:val="005F0F2D"/>
    <w:rsid w:val="00627854"/>
    <w:rsid w:val="006429EE"/>
    <w:rsid w:val="0069347A"/>
    <w:rsid w:val="006D0371"/>
    <w:rsid w:val="007346AC"/>
    <w:rsid w:val="00751F14"/>
    <w:rsid w:val="007F1534"/>
    <w:rsid w:val="00856C74"/>
    <w:rsid w:val="008E6448"/>
    <w:rsid w:val="009508A5"/>
    <w:rsid w:val="009A1715"/>
    <w:rsid w:val="009B0899"/>
    <w:rsid w:val="00A5091B"/>
    <w:rsid w:val="00A51271"/>
    <w:rsid w:val="00A80CE3"/>
    <w:rsid w:val="00B068D4"/>
    <w:rsid w:val="00BD4081"/>
    <w:rsid w:val="00BE169F"/>
    <w:rsid w:val="00BE2D9C"/>
    <w:rsid w:val="00C17FAB"/>
    <w:rsid w:val="00C25225"/>
    <w:rsid w:val="00C6749D"/>
    <w:rsid w:val="00CE599C"/>
    <w:rsid w:val="00DA3B00"/>
    <w:rsid w:val="00E422DD"/>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440AE"/>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IntroParagraph">
    <w:name w:val="Intro Paragraph"/>
    <w:basedOn w:val="Normal"/>
    <w:link w:val="IntroParagraphChar"/>
    <w:qFormat/>
    <w:rsid w:val="00E422DD"/>
    <w:pPr>
      <w:spacing w:before="120" w:after="60" w:line="312" w:lineRule="auto"/>
      <w:ind w:right="-142"/>
    </w:pPr>
    <w:rPr>
      <w:rFonts w:ascii="Montserrat" w:hAnsi="Montserrat"/>
      <w:color w:val="482D8C"/>
      <w:spacing w:val="-2"/>
      <w:sz w:val="22"/>
      <w:lang w:eastAsia="en-AU"/>
    </w:rPr>
  </w:style>
  <w:style w:type="character" w:customStyle="1" w:styleId="IntroParagraphChar">
    <w:name w:val="Intro Paragraph Char"/>
    <w:basedOn w:val="DefaultParagraphFont"/>
    <w:link w:val="IntroParagraph"/>
    <w:rsid w:val="00E422DD"/>
    <w:rPr>
      <w:rFonts w:ascii="Montserrat" w:hAnsi="Montserrat"/>
      <w:color w:val="482D8C"/>
      <w:spacing w:val="-2"/>
      <w:sz w:val="22"/>
    </w:rPr>
  </w:style>
  <w:style w:type="character" w:styleId="CommentReference">
    <w:name w:val="annotation reference"/>
    <w:basedOn w:val="DefaultParagraphFont"/>
    <w:uiPriority w:val="99"/>
    <w:semiHidden/>
    <w:unhideWhenUsed/>
    <w:rsid w:val="00751F14"/>
    <w:rPr>
      <w:sz w:val="16"/>
      <w:szCs w:val="16"/>
    </w:rPr>
  </w:style>
  <w:style w:type="paragraph" w:styleId="CommentText">
    <w:name w:val="annotation text"/>
    <w:basedOn w:val="Normal"/>
    <w:link w:val="CommentTextChar"/>
    <w:uiPriority w:val="99"/>
    <w:unhideWhenUsed/>
    <w:rsid w:val="00751F14"/>
    <w:rPr>
      <w:sz w:val="20"/>
    </w:rPr>
  </w:style>
  <w:style w:type="character" w:customStyle="1" w:styleId="CommentTextChar">
    <w:name w:val="Comment Text Char"/>
    <w:basedOn w:val="DefaultParagraphFont"/>
    <w:link w:val="CommentText"/>
    <w:uiPriority w:val="99"/>
    <w:rsid w:val="00751F14"/>
    <w:rPr>
      <w:lang w:eastAsia="en-US"/>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751F14"/>
    <w:pPr>
      <w:ind w:left="720"/>
      <w:contextualSpacing/>
    </w:p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7F1534"/>
    <w:rPr>
      <w:sz w:val="24"/>
      <w:lang w:eastAsia="en-US"/>
    </w:rPr>
  </w:style>
  <w:style w:type="paragraph" w:customStyle="1" w:styleId="CS-Paragraphnumbering">
    <w:name w:val="CS - Paragraph numbering"/>
    <w:basedOn w:val="Normal"/>
    <w:rsid w:val="007F1534"/>
    <w:pPr>
      <w:spacing w:after="120" w:line="276" w:lineRule="auto"/>
      <w:ind w:left="567" w:right="-45" w:hanging="567"/>
    </w:pPr>
    <w:rPr>
      <w:rFonts w:ascii="Calibri" w:eastAsia="Calibri" w:hAnsi="Calibri"/>
      <w:szCs w:val="24"/>
    </w:rPr>
  </w:style>
  <w:style w:type="paragraph" w:styleId="Revision">
    <w:name w:val="Revision"/>
    <w:hidden/>
    <w:uiPriority w:val="99"/>
    <w:semiHidden/>
    <w:rsid w:val="00374F3A"/>
    <w:rPr>
      <w:sz w:val="24"/>
      <w:lang w:eastAsia="en-US"/>
    </w:rPr>
  </w:style>
  <w:style w:type="paragraph" w:styleId="CommentSubject">
    <w:name w:val="annotation subject"/>
    <w:basedOn w:val="CommentText"/>
    <w:next w:val="CommentText"/>
    <w:link w:val="CommentSubjectChar"/>
    <w:uiPriority w:val="99"/>
    <w:semiHidden/>
    <w:unhideWhenUsed/>
    <w:rsid w:val="009A1715"/>
    <w:rPr>
      <w:b/>
      <w:bCs/>
    </w:rPr>
  </w:style>
  <w:style w:type="character" w:customStyle="1" w:styleId="CommentSubjectChar">
    <w:name w:val="Comment Subject Char"/>
    <w:basedOn w:val="CommentTextChar"/>
    <w:link w:val="CommentSubject"/>
    <w:uiPriority w:val="99"/>
    <w:semiHidden/>
    <w:rsid w:val="009A171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3539</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Stonham, Joshua</cp:lastModifiedBy>
  <cp:revision>4</cp:revision>
  <cp:lastPrinted>2006-03-31T04:28:00Z</cp:lastPrinted>
  <dcterms:created xsi:type="dcterms:W3CDTF">2024-04-24T05:12:00Z</dcterms:created>
  <dcterms:modified xsi:type="dcterms:W3CDTF">2024-04-24T05:12:00Z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2024-04-11T22:22:45Z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5abbb470-7bba-418d-9db5-37c40574290e</vt:lpwstr>
  </property>
  <property fmtid="{D5CDD505-2E9C-101B-9397-08002B2CF9AE}" pid="8" name="MSIP_Label_69af8531-eb46-4968-8cb3-105d2f5ea87e_ContentBits">
    <vt:lpwstr>0</vt:lpwstr>
  </property>
</Properties>
</file>