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FE3C6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27699B7" w14:textId="361979A6" w:rsidR="00BF435A" w:rsidRDefault="00BF435A" w:rsidP="00BF435A">
      <w:pPr>
        <w:pStyle w:val="Billname"/>
        <w:spacing w:before="700"/>
      </w:pPr>
      <w:r>
        <w:t xml:space="preserve">Building (Ministerial </w:t>
      </w:r>
      <w:r w:rsidR="00145DE7">
        <w:t>e</w:t>
      </w:r>
      <w:r>
        <w:t xml:space="preserve">xemptions for regulated </w:t>
      </w:r>
      <w:r w:rsidR="002E6B4B">
        <w:t xml:space="preserve">swimming </w:t>
      </w:r>
      <w:r>
        <w:t xml:space="preserve">pools) </w:t>
      </w:r>
      <w:r w:rsidR="009454AC">
        <w:t>Guideline</w:t>
      </w:r>
      <w:r w:rsidR="007443FB">
        <w:t>s</w:t>
      </w:r>
      <w:r>
        <w:t xml:space="preserve"> 2024</w:t>
      </w:r>
    </w:p>
    <w:p w14:paraId="1C21469F" w14:textId="25BD9427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</w:t>
      </w:r>
      <w:r w:rsidR="00BF435A">
        <w:rPr>
          <w:rFonts w:ascii="Arial" w:hAnsi="Arial" w:cs="Arial"/>
          <w:b/>
          <w:bCs/>
        </w:rPr>
        <w:t>I2024</w:t>
      </w:r>
      <w:r w:rsidR="00C17FAB">
        <w:rPr>
          <w:rFonts w:ascii="Arial" w:hAnsi="Arial" w:cs="Arial"/>
          <w:b/>
          <w:bCs/>
        </w:rPr>
        <w:t>–</w:t>
      </w:r>
      <w:r w:rsidR="00B44F50">
        <w:rPr>
          <w:rFonts w:ascii="Arial" w:hAnsi="Arial" w:cs="Arial"/>
          <w:b/>
          <w:bCs/>
        </w:rPr>
        <w:t>82</w:t>
      </w:r>
    </w:p>
    <w:p w14:paraId="439EF384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B001AF8" w14:textId="77777777" w:rsidR="00BF435A" w:rsidRDefault="00BF435A" w:rsidP="00BF435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Building Act 2004, s 83G (</w:t>
      </w:r>
      <w:r w:rsidRPr="008D51B0">
        <w:rPr>
          <w:rFonts w:cs="Arial"/>
          <w:sz w:val="20"/>
        </w:rPr>
        <w:t>Minister may make guidelines</w:t>
      </w:r>
      <w:r>
        <w:rPr>
          <w:rFonts w:cs="Arial"/>
          <w:sz w:val="20"/>
        </w:rPr>
        <w:t>)</w:t>
      </w:r>
    </w:p>
    <w:p w14:paraId="09E09F49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094B7922" w14:textId="77777777" w:rsidR="00C17FAB" w:rsidRDefault="00C17FAB">
      <w:pPr>
        <w:pStyle w:val="N-line3"/>
        <w:pBdr>
          <w:bottom w:val="none" w:sz="0" w:space="0" w:color="auto"/>
        </w:pBdr>
      </w:pPr>
    </w:p>
    <w:p w14:paraId="2F72B70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65F8DE11" w14:textId="7E2DBDF3" w:rsidR="00E06953" w:rsidRDefault="00785812" w:rsidP="008320C9">
      <w:r>
        <w:t xml:space="preserve">This instrument is made under section 83G of the </w:t>
      </w:r>
      <w:r w:rsidRPr="00785812">
        <w:rPr>
          <w:i/>
          <w:iCs/>
        </w:rPr>
        <w:t>Building Act 2004</w:t>
      </w:r>
      <w:r>
        <w:t xml:space="preserve"> (the Act).</w:t>
      </w:r>
    </w:p>
    <w:p w14:paraId="58907A06" w14:textId="77777777" w:rsidR="008320C9" w:rsidRDefault="008320C9" w:rsidP="008320C9"/>
    <w:p w14:paraId="6BCEB5E7" w14:textId="14D862CF" w:rsidR="003879A0" w:rsidRDefault="003879A0" w:rsidP="003879A0">
      <w:pPr>
        <w:pStyle w:val="LongTitle"/>
        <w:spacing w:before="0" w:after="0"/>
        <w:jc w:val="left"/>
      </w:pPr>
      <w:r>
        <w:rPr>
          <w:lang w:eastAsia="en-AU"/>
        </w:rPr>
        <w:t xml:space="preserve">The </w:t>
      </w:r>
      <w:r w:rsidRPr="006736C1">
        <w:rPr>
          <w:i/>
          <w:iCs/>
          <w:lang w:eastAsia="en-AU"/>
        </w:rPr>
        <w:t xml:space="preserve">Building (Swimming Pool Safety) </w:t>
      </w:r>
      <w:r w:rsidR="00D70438">
        <w:rPr>
          <w:i/>
          <w:iCs/>
          <w:lang w:eastAsia="en-AU"/>
        </w:rPr>
        <w:t xml:space="preserve">Legislation </w:t>
      </w:r>
      <w:r w:rsidRPr="006736C1">
        <w:rPr>
          <w:i/>
          <w:iCs/>
          <w:lang w:eastAsia="en-AU"/>
        </w:rPr>
        <w:t>Amendment Act 2023</w:t>
      </w:r>
      <w:r>
        <w:rPr>
          <w:lang w:eastAsia="en-AU"/>
        </w:rPr>
        <w:t xml:space="preserve"> (the </w:t>
      </w:r>
      <w:r w:rsidRPr="00032093">
        <w:rPr>
          <w:b/>
          <w:bCs/>
          <w:lang w:eastAsia="en-AU"/>
        </w:rPr>
        <w:t>Act</w:t>
      </w:r>
      <w:r>
        <w:rPr>
          <w:lang w:eastAsia="en-AU"/>
        </w:rPr>
        <w:t>) establishes new rules for regulated swimming pools in the ACT. The Act commences on 1 May 2024, with a four-year transition period, before compliance with the prescribed safety standards becomes mandatory on 1 May 2028.</w:t>
      </w:r>
    </w:p>
    <w:p w14:paraId="7AD7AC25" w14:textId="77777777" w:rsidR="003879A0" w:rsidRDefault="003879A0" w:rsidP="008320C9"/>
    <w:p w14:paraId="01A860FF" w14:textId="4C534F4E" w:rsidR="00B23D6C" w:rsidRDefault="008320C9" w:rsidP="008320C9">
      <w:r>
        <w:t>Th</w:t>
      </w:r>
      <w:r w:rsidR="005630C6">
        <w:t>is</w:t>
      </w:r>
      <w:r>
        <w:t xml:space="preserve"> instrument</w:t>
      </w:r>
      <w:r w:rsidR="002E6B4B">
        <w:t xml:space="preserve"> makes</w:t>
      </w:r>
      <w:r>
        <w:t xml:space="preserve"> </w:t>
      </w:r>
      <w:r w:rsidR="002E6B4B" w:rsidRPr="002E6B4B">
        <w:t>guideline</w:t>
      </w:r>
      <w:r w:rsidR="005630C6">
        <w:t>s</w:t>
      </w:r>
      <w:r w:rsidR="002E6B4B" w:rsidRPr="002E6B4B">
        <w:t xml:space="preserve"> </w:t>
      </w:r>
      <w:r w:rsidR="002E6B4B" w:rsidRPr="008320C9">
        <w:t xml:space="preserve">about </w:t>
      </w:r>
      <w:r w:rsidR="002E6B4B" w:rsidRPr="002E6B4B">
        <w:t>applications for</w:t>
      </w:r>
      <w:r w:rsidR="005630C6">
        <w:t>,</w:t>
      </w:r>
      <w:r w:rsidR="002E6B4B" w:rsidRPr="002E6B4B">
        <w:t xml:space="preserve"> and granting of</w:t>
      </w:r>
      <w:r w:rsidR="005630C6">
        <w:t>,</w:t>
      </w:r>
      <w:r w:rsidR="002E6B4B" w:rsidRPr="002E6B4B">
        <w:t xml:space="preserve"> Ministerial exemptions for regulated swimming pools.</w:t>
      </w:r>
      <w:r w:rsidR="002E6B4B">
        <w:t xml:space="preserve"> The guideline</w:t>
      </w:r>
      <w:r w:rsidR="005630C6">
        <w:t>s</w:t>
      </w:r>
      <w:r w:rsidR="002E6B4B">
        <w:t xml:space="preserve"> </w:t>
      </w:r>
      <w:r w:rsidR="002E6B4B" w:rsidRPr="002E6B4B">
        <w:t>outline the matters that will be considered when assessing an application for a Ministerial exemption for regulated swimming pools and sets out the documentation required to be submitted with an application.</w:t>
      </w:r>
    </w:p>
    <w:p w14:paraId="6CDA0F8A" w14:textId="77777777" w:rsidR="008320C9" w:rsidRDefault="008320C9" w:rsidP="008320C9"/>
    <w:p w14:paraId="04931041" w14:textId="55E56FE3" w:rsidR="008320C9" w:rsidRDefault="008320C9" w:rsidP="008320C9">
      <w:r>
        <w:t xml:space="preserve">This </w:t>
      </w:r>
      <w:r w:rsidR="005630C6">
        <w:t xml:space="preserve">guideline </w:t>
      </w:r>
      <w:r>
        <w:t xml:space="preserve">is a disallowable instrument and must be presented to the Legislative Assembly within 6 sitting days after its notification pursuant to section 64 of the </w:t>
      </w:r>
      <w:r w:rsidRPr="00EC1967">
        <w:rPr>
          <w:i/>
          <w:iCs/>
        </w:rPr>
        <w:t>Legislation Act 2001</w:t>
      </w:r>
      <w:r w:rsidR="005630C6">
        <w:t xml:space="preserve"> (the </w:t>
      </w:r>
      <w:r w:rsidR="005630C6" w:rsidRPr="003879A0">
        <w:rPr>
          <w:i/>
          <w:iCs/>
        </w:rPr>
        <w:t>Legislation Act</w:t>
      </w:r>
      <w:r w:rsidR="005630C6">
        <w:t>)</w:t>
      </w:r>
      <w:r>
        <w:t>.</w:t>
      </w:r>
    </w:p>
    <w:p w14:paraId="7A0CF3DC" w14:textId="77777777" w:rsidR="003879A0" w:rsidRDefault="003879A0" w:rsidP="008320C9"/>
    <w:p w14:paraId="5F490DF0" w14:textId="77777777" w:rsidR="008320C9" w:rsidRPr="00EC1967" w:rsidRDefault="008320C9" w:rsidP="008320C9">
      <w:pPr>
        <w:rPr>
          <w:b/>
          <w:bCs/>
        </w:rPr>
      </w:pPr>
      <w:r w:rsidRPr="00EC1967">
        <w:rPr>
          <w:b/>
          <w:bCs/>
        </w:rPr>
        <w:t>Regulatory Impact Statement (RIS)</w:t>
      </w:r>
    </w:p>
    <w:p w14:paraId="0245A2C0" w14:textId="43475583" w:rsidR="00376588" w:rsidRDefault="00376588" w:rsidP="00376588">
      <w:pPr>
        <w:autoSpaceDE w:val="0"/>
        <w:autoSpaceDN w:val="0"/>
        <w:adjustRightInd w:val="0"/>
        <w:ind w:right="-334"/>
        <w:rPr>
          <w:lang w:eastAsia="en-AU"/>
        </w:rPr>
      </w:pPr>
      <w:r>
        <w:rPr>
          <w:lang w:eastAsia="en-AU"/>
        </w:rPr>
        <w:t xml:space="preserve">Section 34 of the </w:t>
      </w:r>
      <w:r w:rsidRPr="00032093">
        <w:rPr>
          <w:b/>
          <w:bCs/>
          <w:i/>
          <w:lang w:eastAsia="en-AU"/>
        </w:rPr>
        <w:t>Legislation Act</w:t>
      </w:r>
      <w:r>
        <w:rPr>
          <w:iCs/>
          <w:lang w:eastAsia="en-AU"/>
        </w:rPr>
        <w:t xml:space="preserve"> </w:t>
      </w:r>
      <w:r>
        <w:rPr>
          <w:lang w:eastAsia="en-AU"/>
        </w:rPr>
        <w:t xml:space="preserve">provides that if a proposed subordinate law or disallowable instrument (the </w:t>
      </w:r>
      <w:r w:rsidRPr="00032093">
        <w:rPr>
          <w:b/>
          <w:bCs/>
          <w:i/>
          <w:iCs/>
          <w:lang w:eastAsia="en-AU"/>
        </w:rPr>
        <w:t>proposed law</w:t>
      </w:r>
      <w:r>
        <w:rPr>
          <w:lang w:eastAsia="en-AU"/>
        </w:rPr>
        <w:t>) is likely to impose appreciable costs on the community, or a part of the community, then, before the proposed law is made, the Minister administering the authorising law must arrange for a regulatory impact statement to be prepared for the proposed law.</w:t>
      </w:r>
    </w:p>
    <w:p w14:paraId="3EED5548" w14:textId="77777777" w:rsidR="00376588" w:rsidRDefault="00376588" w:rsidP="009454AC"/>
    <w:p w14:paraId="300E3A53" w14:textId="26826C67" w:rsidR="008320C9" w:rsidRPr="00523276" w:rsidRDefault="008320C9" w:rsidP="009454AC">
      <w:r>
        <w:t>Section 3</w:t>
      </w:r>
      <w:r w:rsidR="009454AC">
        <w:t xml:space="preserve">6 (1) </w:t>
      </w:r>
      <w:r>
        <w:t xml:space="preserve">of the </w:t>
      </w:r>
      <w:r w:rsidRPr="003879A0">
        <w:rPr>
          <w:b/>
          <w:bCs/>
          <w:i/>
          <w:iCs/>
        </w:rPr>
        <w:t>Legislation Act</w:t>
      </w:r>
      <w:r>
        <w:t xml:space="preserve"> provides</w:t>
      </w:r>
      <w:r w:rsidR="009454AC">
        <w:t xml:space="preserve"> for when a regulatory impact statement is not required to be prepared for a proposed subordinate law or disallowable instrument. This includes when the matter is not of a legislative nature for example, it is administrative in nature. </w:t>
      </w:r>
      <w:bookmarkStart w:id="1" w:name="_Hlk163727003"/>
      <w:r w:rsidRPr="009C1D1A">
        <w:t>This instrument</w:t>
      </w:r>
      <w:r w:rsidR="009454AC">
        <w:t xml:space="preserve"> is administrative in nature as it provides guidance on the making of </w:t>
      </w:r>
      <w:r w:rsidR="009C1D1A" w:rsidRPr="009C1D1A">
        <w:t>applications for and granting of Ministerial exemptions for regulated swimming pools</w:t>
      </w:r>
      <w:bookmarkEnd w:id="1"/>
      <w:r w:rsidR="009454AC">
        <w:t>.</w:t>
      </w:r>
    </w:p>
    <w:p w14:paraId="2CE04956" w14:textId="77777777" w:rsidR="008320C9" w:rsidRDefault="008320C9" w:rsidP="008320C9"/>
    <w:p w14:paraId="336A3126" w14:textId="77777777" w:rsidR="008320C9" w:rsidRPr="00EC1967" w:rsidRDefault="008320C9" w:rsidP="008320C9">
      <w:pPr>
        <w:rPr>
          <w:b/>
          <w:bCs/>
        </w:rPr>
      </w:pPr>
      <w:r w:rsidRPr="00EC1967">
        <w:rPr>
          <w:b/>
          <w:bCs/>
        </w:rPr>
        <w:t>Human Rights</w:t>
      </w:r>
    </w:p>
    <w:p w14:paraId="0BEC4E88" w14:textId="77777777" w:rsidR="008320C9" w:rsidRDefault="008320C9" w:rsidP="008320C9">
      <w:pPr>
        <w:autoSpaceDE w:val="0"/>
        <w:autoSpaceDN w:val="0"/>
        <w:adjustRightInd w:val="0"/>
        <w:rPr>
          <w:rFonts w:ascii="TimesNewRomanPSMT" w:hAnsi="TimesNewRomanPSMT" w:cs="TimesNewRomanPSMT"/>
          <w:szCs w:val="24"/>
          <w:lang w:eastAsia="en-AU"/>
        </w:rPr>
      </w:pPr>
      <w:r>
        <w:rPr>
          <w:rFonts w:ascii="TimesNewRomanPSMT" w:hAnsi="TimesNewRomanPSMT" w:cs="TimesNewRomanPSMT"/>
          <w:szCs w:val="24"/>
          <w:lang w:eastAsia="en-AU"/>
        </w:rPr>
        <w:t>The Standing Committee on Justice and Community Safety (Legislative Scrutiny</w:t>
      </w:r>
    </w:p>
    <w:p w14:paraId="038D7514" w14:textId="77777777" w:rsidR="008320C9" w:rsidRDefault="008320C9" w:rsidP="008320C9">
      <w:r>
        <w:rPr>
          <w:rFonts w:ascii="TimesNewRomanPSMT" w:hAnsi="TimesNewRomanPSMT" w:cs="TimesNewRomanPSMT"/>
          <w:szCs w:val="24"/>
          <w:lang w:eastAsia="en-AU"/>
        </w:rPr>
        <w:t xml:space="preserve">Role) terms of reference require consideration of human rights impacts of subordinate legislation, among other matters. </w:t>
      </w:r>
      <w:r w:rsidRPr="00860D34">
        <w:t xml:space="preserve">There are no human rights impacts related to this instrument. </w:t>
      </w:r>
    </w:p>
    <w:p w14:paraId="7FB56B81" w14:textId="702210BB" w:rsidR="009454AC" w:rsidRDefault="009454AC">
      <w:pPr>
        <w:rPr>
          <w:color w:val="000000"/>
          <w:szCs w:val="24"/>
          <w:lang w:eastAsia="en-AU"/>
        </w:rPr>
      </w:pPr>
    </w:p>
    <w:p w14:paraId="6DEA2D78" w14:textId="77777777" w:rsidR="008320C9" w:rsidRPr="00FF2910" w:rsidRDefault="008320C9" w:rsidP="008320C9">
      <w:pPr>
        <w:rPr>
          <w:b/>
          <w:bCs/>
        </w:rPr>
      </w:pPr>
      <w:r w:rsidRPr="00FF2910">
        <w:rPr>
          <w:b/>
          <w:bCs/>
        </w:rPr>
        <w:t>Clause Notes</w:t>
      </w:r>
    </w:p>
    <w:p w14:paraId="4BDF4D4E" w14:textId="77777777" w:rsidR="008320C9" w:rsidRDefault="008320C9" w:rsidP="008320C9"/>
    <w:p w14:paraId="50A574CA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>
        <w:rPr>
          <w:b/>
          <w:bCs/>
          <w:szCs w:val="24"/>
          <w:lang w:eastAsia="en-AU"/>
        </w:rPr>
        <w:t>Clause 1</w:t>
      </w:r>
      <w:r>
        <w:rPr>
          <w:szCs w:val="24"/>
          <w:lang w:eastAsia="en-AU"/>
        </w:rPr>
        <w:t xml:space="preserve"> provides the name of the instrument. </w:t>
      </w:r>
    </w:p>
    <w:p w14:paraId="767E3FD9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64645932" w14:textId="3321DC8A" w:rsidR="008320C9" w:rsidRPr="00962EE6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 w:rsidRPr="001633DD">
        <w:rPr>
          <w:b/>
          <w:bCs/>
          <w:szCs w:val="24"/>
          <w:lang w:eastAsia="en-AU"/>
        </w:rPr>
        <w:t>Clause 2</w:t>
      </w:r>
      <w:r w:rsidRPr="001633DD">
        <w:rPr>
          <w:szCs w:val="24"/>
          <w:lang w:eastAsia="en-AU"/>
        </w:rPr>
        <w:t xml:space="preserve"> states the commencement of the instrument is </w:t>
      </w:r>
      <w:r w:rsidR="00B23D6C">
        <w:t>1 May 2024.</w:t>
      </w:r>
    </w:p>
    <w:p w14:paraId="78BECC9F" w14:textId="77777777" w:rsidR="008320C9" w:rsidRDefault="008320C9" w:rsidP="008320C9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5EE3C7A1" w14:textId="35AB3FDA" w:rsidR="00C17FAB" w:rsidRDefault="008320C9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>
        <w:rPr>
          <w:b/>
          <w:bCs/>
          <w:szCs w:val="24"/>
          <w:lang w:eastAsia="en-AU"/>
        </w:rPr>
        <w:t xml:space="preserve">Clause 3 </w:t>
      </w:r>
      <w:r w:rsidR="00A06D45">
        <w:rPr>
          <w:szCs w:val="24"/>
          <w:lang w:eastAsia="en-AU"/>
        </w:rPr>
        <w:t>states</w:t>
      </w:r>
      <w:r w:rsidR="009C1D1A">
        <w:rPr>
          <w:szCs w:val="24"/>
          <w:lang w:eastAsia="en-AU"/>
        </w:rPr>
        <w:t xml:space="preserve"> the</w:t>
      </w:r>
      <w:r w:rsidR="009C1D1A" w:rsidRPr="009C1D1A">
        <w:rPr>
          <w:szCs w:val="24"/>
          <w:lang w:eastAsia="en-AU"/>
        </w:rPr>
        <w:t xml:space="preserve"> guideline about applications for and granting of Ministerial exemptions for regulated swimming pools</w:t>
      </w:r>
      <w:r w:rsidR="009C1D1A">
        <w:rPr>
          <w:szCs w:val="24"/>
          <w:lang w:eastAsia="en-AU"/>
        </w:rPr>
        <w:t xml:space="preserve"> is at schedule 1 </w:t>
      </w:r>
      <w:r w:rsidR="000E64C1">
        <w:rPr>
          <w:szCs w:val="24"/>
          <w:lang w:eastAsia="en-AU"/>
        </w:rPr>
        <w:t>of</w:t>
      </w:r>
      <w:r w:rsidR="009C1D1A">
        <w:rPr>
          <w:szCs w:val="24"/>
          <w:lang w:eastAsia="en-AU"/>
        </w:rPr>
        <w:t xml:space="preserve"> the instrument. </w:t>
      </w:r>
    </w:p>
    <w:p w14:paraId="39585E86" w14:textId="77777777" w:rsidR="009454AC" w:rsidRDefault="009454AC" w:rsidP="00B23D6C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</w:p>
    <w:p w14:paraId="05C68DED" w14:textId="77777777" w:rsidR="003879A0" w:rsidRDefault="009454AC" w:rsidP="00793A65">
      <w:pPr>
        <w:tabs>
          <w:tab w:val="left" w:pos="2600"/>
        </w:tabs>
        <w:autoSpaceDE w:val="0"/>
        <w:autoSpaceDN w:val="0"/>
        <w:adjustRightInd w:val="0"/>
        <w:rPr>
          <w:szCs w:val="24"/>
          <w:lang w:eastAsia="en-AU"/>
        </w:rPr>
      </w:pPr>
      <w:r w:rsidRPr="009454AC">
        <w:rPr>
          <w:b/>
          <w:bCs/>
          <w:szCs w:val="24"/>
          <w:lang w:eastAsia="en-AU"/>
        </w:rPr>
        <w:t>Schedule 1</w:t>
      </w:r>
      <w:r>
        <w:rPr>
          <w:szCs w:val="24"/>
          <w:lang w:eastAsia="en-AU"/>
        </w:rPr>
        <w:t xml:space="preserve"> of the instrument </w:t>
      </w:r>
      <w:r w:rsidR="000E64C1">
        <w:rPr>
          <w:szCs w:val="24"/>
          <w:lang w:eastAsia="en-AU"/>
        </w:rPr>
        <w:t xml:space="preserve">is </w:t>
      </w:r>
      <w:r>
        <w:rPr>
          <w:szCs w:val="24"/>
          <w:lang w:eastAsia="en-AU"/>
        </w:rPr>
        <w:t>the guideline which sets out</w:t>
      </w:r>
      <w:r w:rsidR="00793A65" w:rsidRPr="00793A65">
        <w:rPr>
          <w:szCs w:val="24"/>
          <w:lang w:eastAsia="en-AU"/>
        </w:rPr>
        <w:t xml:space="preserve"> descriptions of the </w:t>
      </w:r>
      <w:r w:rsidR="003879A0">
        <w:rPr>
          <w:szCs w:val="24"/>
          <w:lang w:eastAsia="en-AU"/>
        </w:rPr>
        <w:t>grounds on which</w:t>
      </w:r>
      <w:r w:rsidR="00793A65" w:rsidRPr="00793A65">
        <w:rPr>
          <w:szCs w:val="24"/>
          <w:lang w:eastAsia="en-AU"/>
        </w:rPr>
        <w:t xml:space="preserve"> homeowners or owners corporations may</w:t>
      </w:r>
      <w:r w:rsidR="003879A0">
        <w:rPr>
          <w:szCs w:val="24"/>
          <w:lang w:eastAsia="en-AU"/>
        </w:rPr>
        <w:t xml:space="preserve"> seek a full or partial exemption from the requirement to have </w:t>
      </w:r>
      <w:r w:rsidR="00793A65" w:rsidRPr="00793A65">
        <w:rPr>
          <w:szCs w:val="24"/>
          <w:lang w:eastAsia="en-AU"/>
        </w:rPr>
        <w:t xml:space="preserve">a safety barrier compliant with </w:t>
      </w:r>
      <w:r w:rsidR="003879A0">
        <w:rPr>
          <w:szCs w:val="24"/>
          <w:lang w:eastAsia="en-AU"/>
        </w:rPr>
        <w:t xml:space="preserve">the </w:t>
      </w:r>
      <w:r w:rsidR="00793A65" w:rsidRPr="00793A65">
        <w:rPr>
          <w:szCs w:val="24"/>
          <w:lang w:eastAsia="en-AU"/>
        </w:rPr>
        <w:t>prescribed safety standards</w:t>
      </w:r>
      <w:r w:rsidR="003879A0">
        <w:rPr>
          <w:szCs w:val="24"/>
          <w:lang w:eastAsia="en-AU"/>
        </w:rPr>
        <w:t>. It sets out:</w:t>
      </w:r>
    </w:p>
    <w:p w14:paraId="2D3F63E9" w14:textId="6D6AC7D5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what regulated swimming pools are eligible for each exemption ground</w:t>
      </w:r>
    </w:p>
    <w:p w14:paraId="73E8BEED" w14:textId="77777777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examples of the circumstances that may give rise to an application (where applicable)</w:t>
      </w:r>
    </w:p>
    <w:p w14:paraId="42F18FC5" w14:textId="77777777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the documentation required to be submitted with an application </w:t>
      </w:r>
    </w:p>
    <w:p w14:paraId="48255434" w14:textId="13A6C8FC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conditions that apply or may apply to </w:t>
      </w:r>
      <w:r>
        <w:rPr>
          <w:rFonts w:ascii="Times New Roman" w:hAnsi="Times New Roman"/>
          <w:sz w:val="24"/>
          <w:szCs w:val="24"/>
        </w:rPr>
        <w:t>each</w:t>
      </w:r>
      <w:r w:rsidRPr="003879A0">
        <w:rPr>
          <w:rFonts w:ascii="Times New Roman" w:hAnsi="Times New Roman"/>
          <w:sz w:val="24"/>
          <w:szCs w:val="24"/>
        </w:rPr>
        <w:t xml:space="preserve"> exemption ground</w:t>
      </w:r>
    </w:p>
    <w:p w14:paraId="5C14E414" w14:textId="032B105F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process for making an application</w:t>
      </w:r>
    </w:p>
    <w:p w14:paraId="2AB922B9" w14:textId="3409C72A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 xml:space="preserve">notification of decision process </w:t>
      </w:r>
    </w:p>
    <w:p w14:paraId="538BB2BB" w14:textId="2D3AD1A0" w:rsidR="003879A0" w:rsidRPr="003879A0" w:rsidRDefault="003879A0" w:rsidP="003879A0">
      <w:pPr>
        <w:pStyle w:val="ListParagraph"/>
        <w:numPr>
          <w:ilvl w:val="0"/>
          <w:numId w:val="11"/>
        </w:numPr>
        <w:spacing w:after="160"/>
        <w:rPr>
          <w:rFonts w:ascii="Times New Roman" w:hAnsi="Times New Roman"/>
          <w:sz w:val="24"/>
          <w:szCs w:val="24"/>
        </w:rPr>
      </w:pPr>
      <w:r w:rsidRPr="003879A0">
        <w:rPr>
          <w:rFonts w:ascii="Times New Roman" w:hAnsi="Times New Roman"/>
          <w:sz w:val="24"/>
          <w:szCs w:val="24"/>
        </w:rPr>
        <w:t>review rights</w:t>
      </w:r>
    </w:p>
    <w:sectPr w:rsidR="003879A0" w:rsidRPr="003879A0" w:rsidSect="00A579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45B16" w14:textId="77777777" w:rsidR="00A579F9" w:rsidRDefault="00A579F9" w:rsidP="00C17FAB">
      <w:r>
        <w:separator/>
      </w:r>
    </w:p>
  </w:endnote>
  <w:endnote w:type="continuationSeparator" w:id="0">
    <w:p w14:paraId="35960EF4" w14:textId="77777777" w:rsidR="00A579F9" w:rsidRDefault="00A579F9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9FA98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397DD" w14:textId="20C40245" w:rsidR="00DA3B00" w:rsidRPr="00AA045A" w:rsidRDefault="00AA045A" w:rsidP="00AA045A">
    <w:pPr>
      <w:pStyle w:val="Footer"/>
      <w:jc w:val="center"/>
      <w:rPr>
        <w:rFonts w:cs="Arial"/>
        <w:sz w:val="14"/>
      </w:rPr>
    </w:pPr>
    <w:r w:rsidRPr="00AA045A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C372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90AF" w14:textId="77777777" w:rsidR="00A579F9" w:rsidRDefault="00A579F9" w:rsidP="00C17FAB">
      <w:r>
        <w:separator/>
      </w:r>
    </w:p>
  </w:footnote>
  <w:footnote w:type="continuationSeparator" w:id="0">
    <w:p w14:paraId="3373E942" w14:textId="77777777" w:rsidR="00A579F9" w:rsidRDefault="00A579F9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11FC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3D7B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D34C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156600"/>
    <w:multiLevelType w:val="hybridMultilevel"/>
    <w:tmpl w:val="2A66CF34"/>
    <w:lvl w:ilvl="0" w:tplc="86D03D3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Calibri" w:hAnsi="Calibri"/>
      </w:rPr>
    </w:lvl>
    <w:lvl w:ilvl="1" w:tplc="A4EEB896" w:tentative="1">
      <w:start w:val="1"/>
      <w:numFmt w:val="lowerLetter"/>
      <w:lvlText w:val="%2."/>
      <w:lvlJc w:val="left"/>
      <w:pPr>
        <w:ind w:left="1440" w:hanging="360"/>
      </w:pPr>
    </w:lvl>
    <w:lvl w:ilvl="2" w:tplc="E14010C6" w:tentative="1">
      <w:start w:val="1"/>
      <w:numFmt w:val="lowerRoman"/>
      <w:lvlText w:val="%3."/>
      <w:lvlJc w:val="right"/>
      <w:pPr>
        <w:ind w:left="2160" w:hanging="180"/>
      </w:pPr>
    </w:lvl>
    <w:lvl w:ilvl="3" w:tplc="D7EE67C2" w:tentative="1">
      <w:start w:val="1"/>
      <w:numFmt w:val="decimal"/>
      <w:lvlText w:val="%4."/>
      <w:lvlJc w:val="left"/>
      <w:pPr>
        <w:ind w:left="2880" w:hanging="360"/>
      </w:pPr>
    </w:lvl>
    <w:lvl w:ilvl="4" w:tplc="1D1C1BE0" w:tentative="1">
      <w:start w:val="1"/>
      <w:numFmt w:val="lowerLetter"/>
      <w:lvlText w:val="%5."/>
      <w:lvlJc w:val="left"/>
      <w:pPr>
        <w:ind w:left="3600" w:hanging="360"/>
      </w:pPr>
    </w:lvl>
    <w:lvl w:ilvl="5" w:tplc="B5E815C8" w:tentative="1">
      <w:start w:val="1"/>
      <w:numFmt w:val="lowerRoman"/>
      <w:lvlText w:val="%6."/>
      <w:lvlJc w:val="right"/>
      <w:pPr>
        <w:ind w:left="4320" w:hanging="180"/>
      </w:pPr>
    </w:lvl>
    <w:lvl w:ilvl="6" w:tplc="DB447B10" w:tentative="1">
      <w:start w:val="1"/>
      <w:numFmt w:val="decimal"/>
      <w:lvlText w:val="%7."/>
      <w:lvlJc w:val="left"/>
      <w:pPr>
        <w:ind w:left="5040" w:hanging="360"/>
      </w:pPr>
    </w:lvl>
    <w:lvl w:ilvl="7" w:tplc="A8D0A8E0" w:tentative="1">
      <w:start w:val="1"/>
      <w:numFmt w:val="lowerLetter"/>
      <w:lvlText w:val="%8."/>
      <w:lvlJc w:val="left"/>
      <w:pPr>
        <w:ind w:left="5760" w:hanging="360"/>
      </w:pPr>
    </w:lvl>
    <w:lvl w:ilvl="8" w:tplc="1898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4FA26BD"/>
    <w:multiLevelType w:val="hybridMultilevel"/>
    <w:tmpl w:val="BC9C3D28"/>
    <w:lvl w:ilvl="0" w:tplc="0C09000F">
      <w:start w:val="1"/>
      <w:numFmt w:val="decimal"/>
      <w:lvlText w:val="%1."/>
      <w:lvlJc w:val="left"/>
      <w:pPr>
        <w:ind w:left="773" w:hanging="360"/>
      </w:pPr>
    </w:lvl>
    <w:lvl w:ilvl="1" w:tplc="0C090019" w:tentative="1">
      <w:start w:val="1"/>
      <w:numFmt w:val="lowerLetter"/>
      <w:lvlText w:val="%2."/>
      <w:lvlJc w:val="left"/>
      <w:pPr>
        <w:ind w:left="1493" w:hanging="360"/>
      </w:pPr>
    </w:lvl>
    <w:lvl w:ilvl="2" w:tplc="0C09001B" w:tentative="1">
      <w:start w:val="1"/>
      <w:numFmt w:val="lowerRoman"/>
      <w:lvlText w:val="%3."/>
      <w:lvlJc w:val="right"/>
      <w:pPr>
        <w:ind w:left="2213" w:hanging="180"/>
      </w:pPr>
    </w:lvl>
    <w:lvl w:ilvl="3" w:tplc="0C09000F" w:tentative="1">
      <w:start w:val="1"/>
      <w:numFmt w:val="decimal"/>
      <w:lvlText w:val="%4."/>
      <w:lvlJc w:val="left"/>
      <w:pPr>
        <w:ind w:left="2933" w:hanging="360"/>
      </w:pPr>
    </w:lvl>
    <w:lvl w:ilvl="4" w:tplc="0C090019" w:tentative="1">
      <w:start w:val="1"/>
      <w:numFmt w:val="lowerLetter"/>
      <w:lvlText w:val="%5."/>
      <w:lvlJc w:val="left"/>
      <w:pPr>
        <w:ind w:left="3653" w:hanging="360"/>
      </w:pPr>
    </w:lvl>
    <w:lvl w:ilvl="5" w:tplc="0C09001B" w:tentative="1">
      <w:start w:val="1"/>
      <w:numFmt w:val="lowerRoman"/>
      <w:lvlText w:val="%6."/>
      <w:lvlJc w:val="right"/>
      <w:pPr>
        <w:ind w:left="4373" w:hanging="180"/>
      </w:pPr>
    </w:lvl>
    <w:lvl w:ilvl="6" w:tplc="0C09000F" w:tentative="1">
      <w:start w:val="1"/>
      <w:numFmt w:val="decimal"/>
      <w:lvlText w:val="%7."/>
      <w:lvlJc w:val="left"/>
      <w:pPr>
        <w:ind w:left="5093" w:hanging="360"/>
      </w:pPr>
    </w:lvl>
    <w:lvl w:ilvl="7" w:tplc="0C090019" w:tentative="1">
      <w:start w:val="1"/>
      <w:numFmt w:val="lowerLetter"/>
      <w:lvlText w:val="%8."/>
      <w:lvlJc w:val="left"/>
      <w:pPr>
        <w:ind w:left="5813" w:hanging="360"/>
      </w:pPr>
    </w:lvl>
    <w:lvl w:ilvl="8" w:tplc="0C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06813568">
    <w:abstractNumId w:val="2"/>
  </w:num>
  <w:num w:numId="2" w16cid:durableId="169106617">
    <w:abstractNumId w:val="0"/>
  </w:num>
  <w:num w:numId="3" w16cid:durableId="1786466496">
    <w:abstractNumId w:val="3"/>
  </w:num>
  <w:num w:numId="4" w16cid:durableId="1720284100">
    <w:abstractNumId w:val="7"/>
  </w:num>
  <w:num w:numId="5" w16cid:durableId="642198843">
    <w:abstractNumId w:val="9"/>
  </w:num>
  <w:num w:numId="6" w16cid:durableId="1427917912">
    <w:abstractNumId w:val="1"/>
  </w:num>
  <w:num w:numId="7" w16cid:durableId="815998134">
    <w:abstractNumId w:val="5"/>
  </w:num>
  <w:num w:numId="8" w16cid:durableId="566500411">
    <w:abstractNumId w:val="6"/>
  </w:num>
  <w:num w:numId="9" w16cid:durableId="1531527751">
    <w:abstractNumId w:val="10"/>
  </w:num>
  <w:num w:numId="10" w16cid:durableId="1376849461">
    <w:abstractNumId w:val="4"/>
  </w:num>
  <w:num w:numId="11" w16cid:durableId="10708821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C60"/>
    <w:rsid w:val="000E64C1"/>
    <w:rsid w:val="00145DE7"/>
    <w:rsid w:val="002D7C60"/>
    <w:rsid w:val="002E6B4B"/>
    <w:rsid w:val="00376588"/>
    <w:rsid w:val="003879A0"/>
    <w:rsid w:val="003C0414"/>
    <w:rsid w:val="005630C6"/>
    <w:rsid w:val="006B463A"/>
    <w:rsid w:val="00702EB5"/>
    <w:rsid w:val="007346AC"/>
    <w:rsid w:val="007443FB"/>
    <w:rsid w:val="00785812"/>
    <w:rsid w:val="00793A65"/>
    <w:rsid w:val="008320C9"/>
    <w:rsid w:val="009454AC"/>
    <w:rsid w:val="009508A5"/>
    <w:rsid w:val="009C1D1A"/>
    <w:rsid w:val="009C5996"/>
    <w:rsid w:val="00A06D45"/>
    <w:rsid w:val="00A579F9"/>
    <w:rsid w:val="00AA045A"/>
    <w:rsid w:val="00B07051"/>
    <w:rsid w:val="00B23D6C"/>
    <w:rsid w:val="00B44F50"/>
    <w:rsid w:val="00BF435A"/>
    <w:rsid w:val="00BF76F9"/>
    <w:rsid w:val="00C17FAB"/>
    <w:rsid w:val="00CE599C"/>
    <w:rsid w:val="00D70438"/>
    <w:rsid w:val="00D915D6"/>
    <w:rsid w:val="00DA3B00"/>
    <w:rsid w:val="00DB1171"/>
    <w:rsid w:val="00E0237D"/>
    <w:rsid w:val="00E06953"/>
    <w:rsid w:val="00E270B4"/>
    <w:rsid w:val="00F122F8"/>
    <w:rsid w:val="00F97172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389C3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NormalWeb">
    <w:name w:val="Normal (Web)"/>
    <w:basedOn w:val="Normal"/>
    <w:uiPriority w:val="99"/>
    <w:semiHidden/>
    <w:unhideWhenUsed/>
    <w:rsid w:val="008320C9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Hyperlink1">
    <w:name w:val="Hyperlink1"/>
    <w:basedOn w:val="DefaultParagraphFont"/>
    <w:rsid w:val="008320C9"/>
  </w:style>
  <w:style w:type="paragraph" w:styleId="Revision">
    <w:name w:val="Revision"/>
    <w:hidden/>
    <w:uiPriority w:val="99"/>
    <w:semiHidden/>
    <w:rsid w:val="007443FB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069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695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95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9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953"/>
    <w:rPr>
      <w:b/>
      <w:bCs/>
      <w:lang w:eastAsia="en-US"/>
    </w:rPr>
  </w:style>
  <w:style w:type="paragraph" w:customStyle="1" w:styleId="LongTitle">
    <w:name w:val="LongTitle"/>
    <w:basedOn w:val="Normal"/>
    <w:rsid w:val="003879A0"/>
    <w:pPr>
      <w:spacing w:before="240" w:after="60"/>
      <w:jc w:val="both"/>
    </w:pPr>
    <w:rPr>
      <w:szCs w:val="24"/>
    </w:rPr>
  </w:style>
  <w:style w:type="paragraph" w:styleId="ListParagraph">
    <w:name w:val="List Paragraph"/>
    <w:aliases w:val="Bullet List,Bulletr List Paragraph,Equipment,FooterText,List Paragraph1,List Paragraph2,List Paragraph21,Listeafsnit1,Numbering,Paragraphe de liste1,Parágrafo da Lista1,Párrafo de lista1,Recommendation,lp1,numbered,リスト段落1,列出段落,列出段落1,L,列出段"/>
    <w:basedOn w:val="Normal"/>
    <w:link w:val="ListParagraphChar"/>
    <w:uiPriority w:val="34"/>
    <w:qFormat/>
    <w:rsid w:val="003879A0"/>
    <w:pPr>
      <w:numPr>
        <w:numId w:val="10"/>
      </w:numPr>
      <w:spacing w:before="120" w:after="120"/>
    </w:pPr>
    <w:rPr>
      <w:rFonts w:asciiTheme="minorHAnsi" w:eastAsia="Calibri" w:hAnsiTheme="minorHAnsi"/>
      <w:color w:val="000000" w:themeColor="text1"/>
      <w:sz w:val="22"/>
      <w:szCs w:val="22"/>
    </w:rPr>
  </w:style>
  <w:style w:type="character" w:customStyle="1" w:styleId="ListParagraphChar">
    <w:name w:val="List Paragraph Char"/>
    <w:aliases w:val="Bullet List Char,Bulletr List Paragraph Char,Equipment Char,FooterText Char,List Paragraph1 Char,List Paragraph2 Char,List Paragraph21 Char,Listeafsnit1 Char,Numbering Char,Paragraphe de liste1 Char,Parágrafo da Lista1 Char,lp1 Char"/>
    <w:link w:val="ListParagraph"/>
    <w:uiPriority w:val="34"/>
    <w:locked/>
    <w:rsid w:val="003879A0"/>
    <w:rPr>
      <w:rFonts w:asciiTheme="minorHAnsi" w:eastAsia="Calibri" w:hAnsiTheme="minorHAnsi"/>
      <w:color w:val="000000" w:themeColor="tex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A46157113</value>
    </field>
    <field name="Objective-Title">
      <value order="0">ES - Building (Ministerial exemptions for regulated swimming pools) Guideline 2024</value>
    </field>
    <field name="Objective-Description">
      <value order="0"/>
    </field>
    <field name="Objective-CreationStamp">
      <value order="0">2024-04-09T22:57:31Z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2024-04-29T23:53:59Z</value>
    </field>
    <field name="Objective-Owner">
      <value order="0">Sarah Crisp</value>
    </field>
    <field name="Objective-Path">
      <value order="0">Whole of ACT Government:EPSDD - Environment Planning and Sustainable Development Directorate:DIVISION - Planning and Urban Policy:Branch - Building Reform:03. Focus Area - Building Quality and Safety:02. Swimming pool safety reforms:09. Implementation:03. Regulations / Instruments:02. Instruments:03. Guideline about exemptions (DI)</value>
    </field>
    <field name="Objective-Parent">
      <value order="0">03. Guideline about exemptions (DI)</value>
    </field>
    <field name="Objective-State">
      <value order="0">Being Edited</value>
    </field>
    <field name="Objective-VersionId">
      <value order="0">vA58208500</value>
    </field>
    <field name="Objective-Version">
      <value order="0">5.1</value>
    </field>
    <field name="Objective-VersionNumber">
      <value order="0">11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EPSDD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2752</Characters>
  <Application>Microsoft Office Word</Application>
  <DocSecurity>0</DocSecurity>
  <Lines>68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2006-03-31T04:28:00Z</cp:lastPrinted>
  <dcterms:created xsi:type="dcterms:W3CDTF">2024-04-30T00:56:00Z</dcterms:created>
  <dcterms:modified xsi:type="dcterms:W3CDTF">2024-04-30T00:56:00Z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A46157113</vt:lpwstr>
  </property>
  <property fmtid="{D5CDD505-2E9C-101B-9397-08002B2CF9AE}" pid="4" name="Objective-Title">
    <vt:lpwstr>ES - Building (Ministerial exemptions for regulated swimming pools) Guideline 2024</vt:lpwstr>
  </property>
  <property fmtid="{D5CDD505-2E9C-101B-9397-08002B2CF9AE}" pid="5" name="Objective-Description">
    <vt:lpwstr/>
  </property>
  <property fmtid="{D5CDD505-2E9C-101B-9397-08002B2CF9AE}" pid="6" name="Objective-CreationStamp">
    <vt:filetime>2024-04-09T22:57:31Z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2024-04-29T23:53:59Z</vt:filetime>
  </property>
  <property fmtid="{D5CDD505-2E9C-101B-9397-08002B2CF9AE}" pid="11" name="Objective-Owner">
    <vt:lpwstr>Sarah Crisp</vt:lpwstr>
  </property>
  <property fmtid="{D5CDD505-2E9C-101B-9397-08002B2CF9AE}" pid="12" name="Objective-Path">
    <vt:lpwstr>Whole of ACT Government:EPSDD - Environment Planning and Sustainable Development Directorate:DIVISION - Planning and Urban Policy:Branch - Building Reform:03. Focus Area - Building Quality and Safety:02. Swimming pool safety reforms:09. Implementation:03. Regulations / Instruments:02. Instruments:03. Guideline about exemptions (DI):</vt:lpwstr>
  </property>
  <property fmtid="{D5CDD505-2E9C-101B-9397-08002B2CF9AE}" pid="13" name="Objective-Parent">
    <vt:lpwstr>03. Guideline about exemptions (DI)</vt:lpwstr>
  </property>
  <property fmtid="{D5CDD505-2E9C-101B-9397-08002B2CF9AE}" pid="14" name="Objective-State">
    <vt:lpwstr>Being Edited</vt:lpwstr>
  </property>
  <property fmtid="{D5CDD505-2E9C-101B-9397-08002B2CF9AE}" pid="15" name="Objective-VersionId">
    <vt:lpwstr>vA58208500</vt:lpwstr>
  </property>
  <property fmtid="{D5CDD505-2E9C-101B-9397-08002B2CF9AE}" pid="16" name="Objective-Version">
    <vt:lpwstr>5.1</vt:lpwstr>
  </property>
  <property fmtid="{D5CDD505-2E9C-101B-9397-08002B2CF9AE}" pid="17" name="Objective-VersionNumber">
    <vt:r8>11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Owner Agency">
    <vt:lpwstr>EPSDD</vt:lpwstr>
  </property>
  <property fmtid="{D5CDD505-2E9C-101B-9397-08002B2CF9AE}" pid="23" name="Objective-Document Type">
    <vt:lpwstr>0-Document</vt:lpwstr>
  </property>
  <property fmtid="{D5CDD505-2E9C-101B-9397-08002B2CF9AE}" pid="24" name="Objective-Language">
    <vt:lpwstr>English (en)</vt:lpwstr>
  </property>
  <property fmtid="{D5CDD505-2E9C-101B-9397-08002B2CF9AE}" pid="25" name="Objective-Jurisdiction">
    <vt:lpwstr>ACT</vt:lpwstr>
  </property>
  <property fmtid="{D5CDD505-2E9C-101B-9397-08002B2CF9AE}" pid="26" name="Objective-Customers">
    <vt:lpwstr/>
  </property>
  <property fmtid="{D5CDD505-2E9C-101B-9397-08002B2CF9AE}" pid="27" name="Objective-Places">
    <vt:lpwstr/>
  </property>
  <property fmtid="{D5CDD505-2E9C-101B-9397-08002B2CF9AE}" pid="28" name="Objective-Transaction Reference">
    <vt:lpwstr/>
  </property>
  <property fmtid="{D5CDD505-2E9C-101B-9397-08002B2CF9AE}" pid="29" name="Objective-Document Created By">
    <vt:lpwstr/>
  </property>
  <property fmtid="{D5CDD505-2E9C-101B-9397-08002B2CF9AE}" pid="30" name="Objective-Document Created On">
    <vt:lpwstr/>
  </property>
  <property fmtid="{D5CDD505-2E9C-101B-9397-08002B2CF9AE}" pid="31" name="Objective-Covers Period From">
    <vt:lpwstr/>
  </property>
  <property fmtid="{D5CDD505-2E9C-101B-9397-08002B2CF9AE}" pid="32" name="Objective-Covers Period To">
    <vt:lpwstr/>
  </property>
  <property fmtid="{D5CDD505-2E9C-101B-9397-08002B2CF9AE}" pid="33" name="Objective-Comment">
    <vt:lpwstr/>
  </property>
  <property fmtid="{D5CDD505-2E9C-101B-9397-08002B2CF9AE}" pid="34" name="MSIP_Label_69af8531-eb46-4968-8cb3-105d2f5ea87e_Enabled">
    <vt:lpwstr>true</vt:lpwstr>
  </property>
  <property fmtid="{D5CDD505-2E9C-101B-9397-08002B2CF9AE}" pid="35" name="MSIP_Label_69af8531-eb46-4968-8cb3-105d2f5ea87e_SetDate">
    <vt:lpwstr>2024-04-11T01:15:00Z</vt:lpwstr>
  </property>
  <property fmtid="{D5CDD505-2E9C-101B-9397-08002B2CF9AE}" pid="36" name="MSIP_Label_69af8531-eb46-4968-8cb3-105d2f5ea87e_Method">
    <vt:lpwstr>Standard</vt:lpwstr>
  </property>
  <property fmtid="{D5CDD505-2E9C-101B-9397-08002B2CF9AE}" pid="37" name="MSIP_Label_69af8531-eb46-4968-8cb3-105d2f5ea87e_Name">
    <vt:lpwstr>Official - No Marking</vt:lpwstr>
  </property>
  <property fmtid="{D5CDD505-2E9C-101B-9397-08002B2CF9AE}" pid="38" name="MSIP_Label_69af8531-eb46-4968-8cb3-105d2f5ea87e_SiteId">
    <vt:lpwstr>b46c1908-0334-4236-b978-585ee88e4199</vt:lpwstr>
  </property>
  <property fmtid="{D5CDD505-2E9C-101B-9397-08002B2CF9AE}" pid="39" name="MSIP_Label_69af8531-eb46-4968-8cb3-105d2f5ea87e_ActionId">
    <vt:lpwstr>e4cb7b62-0daf-4cfb-b5bf-bfc6aa29489b</vt:lpwstr>
  </property>
  <property fmtid="{D5CDD505-2E9C-101B-9397-08002B2CF9AE}" pid="40" name="MSIP_Label_69af8531-eb46-4968-8cb3-105d2f5ea87e_ContentBits">
    <vt:lpwstr>0</vt:lpwstr>
  </property>
</Properties>
</file>