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cs="Arial"/>
          <w:b/>
          <w:bCs/>
          <w:szCs w:val="24"/>
        </w:rPr>
      </w:pPr>
    </w:p>
    <w:p w14:paraId="42440CF1" w14:textId="77777777" w:rsidR="00790FE4" w:rsidRPr="008C3B92" w:rsidRDefault="00790FE4" w:rsidP="007F3D56">
      <w:pPr>
        <w:spacing w:after="0"/>
        <w:rPr>
          <w:rFonts w:cs="Arial"/>
          <w:b/>
          <w:bCs/>
          <w:szCs w:val="24"/>
        </w:rPr>
      </w:pPr>
    </w:p>
    <w:p w14:paraId="47B146F4" w14:textId="552910E6" w:rsidR="00BB387E" w:rsidRPr="003D032B" w:rsidRDefault="00414BA9" w:rsidP="00BB387E">
      <w:pPr>
        <w:spacing w:after="0"/>
        <w:jc w:val="center"/>
        <w:rPr>
          <w:rFonts w:asciiTheme="minorHAnsi" w:hAnsiTheme="minorHAnsi" w:cstheme="minorHAnsi"/>
          <w:b/>
          <w:bCs/>
          <w:szCs w:val="24"/>
        </w:rPr>
      </w:pPr>
      <w:r w:rsidRPr="003D032B">
        <w:rPr>
          <w:rFonts w:asciiTheme="minorHAnsi" w:hAnsiTheme="minorHAnsi" w:cstheme="minorHAnsi"/>
          <w:b/>
          <w:bCs/>
          <w:szCs w:val="24"/>
        </w:rPr>
        <w:t>202</w:t>
      </w:r>
      <w:r w:rsidR="00244B02" w:rsidRPr="003D032B">
        <w:rPr>
          <w:rFonts w:asciiTheme="minorHAnsi" w:hAnsiTheme="minorHAnsi" w:cstheme="minorHAnsi"/>
          <w:b/>
          <w:bCs/>
          <w:szCs w:val="24"/>
        </w:rPr>
        <w:t>4</w:t>
      </w:r>
    </w:p>
    <w:p w14:paraId="76FBCA77" w14:textId="77777777" w:rsidR="00BB387E" w:rsidRPr="003D032B" w:rsidRDefault="00BB387E" w:rsidP="00BB387E">
      <w:pPr>
        <w:spacing w:after="0"/>
        <w:jc w:val="center"/>
        <w:rPr>
          <w:rFonts w:asciiTheme="minorHAnsi" w:hAnsiTheme="minorHAnsi" w:cstheme="minorHAnsi"/>
          <w:b/>
          <w:szCs w:val="24"/>
        </w:rPr>
      </w:pPr>
    </w:p>
    <w:p w14:paraId="3493308A" w14:textId="77777777" w:rsidR="00BB387E" w:rsidRPr="003D032B" w:rsidRDefault="00BB387E" w:rsidP="00BB387E">
      <w:pPr>
        <w:spacing w:after="0"/>
        <w:jc w:val="center"/>
        <w:rPr>
          <w:rFonts w:asciiTheme="minorHAnsi" w:hAnsiTheme="minorHAnsi" w:cstheme="minorHAnsi"/>
          <w:b/>
          <w:szCs w:val="24"/>
        </w:rPr>
      </w:pPr>
    </w:p>
    <w:p w14:paraId="0DB9FAF9" w14:textId="77777777" w:rsidR="00BB387E" w:rsidRPr="003D032B" w:rsidRDefault="00BB387E" w:rsidP="00BB387E">
      <w:pPr>
        <w:spacing w:after="0"/>
        <w:jc w:val="center"/>
        <w:rPr>
          <w:rFonts w:asciiTheme="minorHAnsi" w:hAnsiTheme="minorHAnsi" w:cstheme="minorHAnsi"/>
          <w:b/>
          <w:szCs w:val="24"/>
        </w:rPr>
      </w:pPr>
    </w:p>
    <w:p w14:paraId="32DDD7F5" w14:textId="77777777" w:rsidR="00BB387E" w:rsidRPr="003D032B" w:rsidRDefault="00BB387E" w:rsidP="00BB387E">
      <w:pPr>
        <w:spacing w:after="0"/>
        <w:jc w:val="center"/>
        <w:rPr>
          <w:rFonts w:asciiTheme="minorHAnsi" w:hAnsiTheme="minorHAnsi" w:cstheme="minorHAnsi"/>
          <w:b/>
          <w:szCs w:val="24"/>
        </w:rPr>
      </w:pPr>
    </w:p>
    <w:p w14:paraId="03B2A002" w14:textId="77777777" w:rsidR="00BB387E" w:rsidRPr="003D032B" w:rsidRDefault="00BB387E" w:rsidP="00BB387E">
      <w:pPr>
        <w:spacing w:after="0"/>
        <w:jc w:val="center"/>
        <w:rPr>
          <w:rFonts w:asciiTheme="minorHAnsi" w:hAnsiTheme="minorHAnsi" w:cstheme="minorHAnsi"/>
          <w:b/>
          <w:bCs/>
          <w:szCs w:val="24"/>
        </w:rPr>
      </w:pPr>
    </w:p>
    <w:p w14:paraId="76B12392" w14:textId="77777777" w:rsidR="00BB387E" w:rsidRPr="003D032B" w:rsidRDefault="00BB387E" w:rsidP="00BB387E">
      <w:pPr>
        <w:spacing w:after="0"/>
        <w:jc w:val="center"/>
        <w:rPr>
          <w:rFonts w:asciiTheme="minorHAnsi" w:hAnsiTheme="minorHAnsi" w:cstheme="minorHAnsi"/>
          <w:b/>
          <w:bCs/>
          <w:szCs w:val="24"/>
        </w:rPr>
      </w:pPr>
    </w:p>
    <w:p w14:paraId="04AE96BF" w14:textId="77777777" w:rsidR="00BB387E" w:rsidRPr="003D032B" w:rsidRDefault="00BB387E" w:rsidP="00BB387E">
      <w:pPr>
        <w:spacing w:after="0"/>
        <w:jc w:val="center"/>
        <w:rPr>
          <w:rFonts w:asciiTheme="minorHAnsi" w:hAnsiTheme="minorHAnsi" w:cstheme="minorHAnsi"/>
          <w:b/>
          <w:bCs/>
          <w:szCs w:val="24"/>
        </w:rPr>
      </w:pPr>
      <w:r w:rsidRPr="003D032B">
        <w:rPr>
          <w:rFonts w:asciiTheme="minorHAnsi" w:hAnsiTheme="minorHAnsi" w:cstheme="minorHAnsi"/>
          <w:b/>
          <w:bCs/>
          <w:szCs w:val="24"/>
        </w:rPr>
        <w:t>THE LEGISLATIVE ASSEMBLY FOR THE</w:t>
      </w:r>
    </w:p>
    <w:p w14:paraId="38D9D6DC" w14:textId="77777777" w:rsidR="00BB387E" w:rsidRPr="003D032B" w:rsidRDefault="00BB387E" w:rsidP="00BB387E">
      <w:pPr>
        <w:spacing w:after="0"/>
        <w:jc w:val="center"/>
        <w:rPr>
          <w:rFonts w:asciiTheme="minorHAnsi" w:hAnsiTheme="minorHAnsi" w:cstheme="minorHAnsi"/>
          <w:b/>
          <w:szCs w:val="24"/>
        </w:rPr>
      </w:pPr>
      <w:r w:rsidRPr="003D032B">
        <w:rPr>
          <w:rFonts w:asciiTheme="minorHAnsi" w:hAnsiTheme="minorHAnsi" w:cstheme="minorHAnsi"/>
          <w:b/>
          <w:bCs/>
          <w:szCs w:val="24"/>
        </w:rPr>
        <w:t>AUSTRALIAN CAPITAL TERRITORY</w:t>
      </w:r>
    </w:p>
    <w:p w14:paraId="1814759D" w14:textId="77777777" w:rsidR="00BB387E" w:rsidRPr="003D032B" w:rsidRDefault="00BB387E" w:rsidP="00BB387E">
      <w:pPr>
        <w:spacing w:after="0"/>
        <w:jc w:val="center"/>
        <w:rPr>
          <w:rFonts w:asciiTheme="minorHAnsi" w:hAnsiTheme="minorHAnsi" w:cstheme="minorHAnsi"/>
          <w:b/>
          <w:szCs w:val="24"/>
        </w:rPr>
      </w:pPr>
    </w:p>
    <w:p w14:paraId="63F0CAA5" w14:textId="77777777" w:rsidR="00BB387E" w:rsidRPr="003D032B" w:rsidRDefault="00BB387E" w:rsidP="00BB387E">
      <w:pPr>
        <w:spacing w:after="0"/>
        <w:jc w:val="center"/>
        <w:rPr>
          <w:rFonts w:asciiTheme="minorHAnsi" w:hAnsiTheme="minorHAnsi" w:cstheme="minorHAnsi"/>
          <w:b/>
          <w:szCs w:val="24"/>
        </w:rPr>
      </w:pPr>
    </w:p>
    <w:p w14:paraId="279B0824" w14:textId="77777777" w:rsidR="00BB387E" w:rsidRPr="003D032B" w:rsidRDefault="00BB387E" w:rsidP="00BB387E">
      <w:pPr>
        <w:spacing w:after="0"/>
        <w:jc w:val="center"/>
        <w:rPr>
          <w:rFonts w:asciiTheme="minorHAnsi" w:hAnsiTheme="minorHAnsi" w:cstheme="minorHAnsi"/>
          <w:b/>
          <w:szCs w:val="24"/>
        </w:rPr>
      </w:pPr>
    </w:p>
    <w:p w14:paraId="01940BA6" w14:textId="77777777" w:rsidR="00BB387E" w:rsidRPr="003D032B" w:rsidRDefault="00BB387E" w:rsidP="00BB387E">
      <w:pPr>
        <w:spacing w:after="0"/>
        <w:jc w:val="center"/>
        <w:rPr>
          <w:rFonts w:asciiTheme="minorHAnsi" w:hAnsiTheme="minorHAnsi" w:cstheme="minorHAnsi"/>
          <w:b/>
          <w:szCs w:val="24"/>
        </w:rPr>
      </w:pPr>
    </w:p>
    <w:p w14:paraId="278F861F" w14:textId="77777777" w:rsidR="00BB387E" w:rsidRPr="003D032B" w:rsidRDefault="00BB387E" w:rsidP="00BB387E">
      <w:pPr>
        <w:spacing w:after="0"/>
        <w:jc w:val="center"/>
        <w:rPr>
          <w:rFonts w:asciiTheme="minorHAnsi" w:hAnsiTheme="minorHAnsi" w:cstheme="minorHAnsi"/>
          <w:b/>
          <w:szCs w:val="24"/>
        </w:rPr>
      </w:pPr>
    </w:p>
    <w:p w14:paraId="48190A2F" w14:textId="77777777" w:rsidR="00BB387E" w:rsidRPr="003D032B" w:rsidRDefault="00BB387E" w:rsidP="00BB387E">
      <w:pPr>
        <w:spacing w:after="0"/>
        <w:jc w:val="center"/>
        <w:rPr>
          <w:rFonts w:asciiTheme="minorHAnsi" w:hAnsiTheme="minorHAnsi" w:cstheme="minorHAnsi"/>
          <w:b/>
          <w:szCs w:val="24"/>
        </w:rPr>
      </w:pPr>
    </w:p>
    <w:p w14:paraId="03A897E3" w14:textId="77777777" w:rsidR="00BB387E" w:rsidRPr="003D032B" w:rsidRDefault="00BB387E" w:rsidP="00BB387E">
      <w:pPr>
        <w:spacing w:after="0"/>
        <w:jc w:val="center"/>
        <w:rPr>
          <w:rFonts w:asciiTheme="minorHAnsi" w:hAnsiTheme="minorHAnsi" w:cstheme="minorHAnsi"/>
          <w:b/>
          <w:szCs w:val="24"/>
        </w:rPr>
      </w:pPr>
    </w:p>
    <w:p w14:paraId="75D7A359" w14:textId="77777777" w:rsidR="00BB387E" w:rsidRPr="003D032B" w:rsidRDefault="00BB387E" w:rsidP="00BB387E">
      <w:pPr>
        <w:spacing w:after="0"/>
        <w:jc w:val="center"/>
        <w:rPr>
          <w:rFonts w:asciiTheme="minorHAnsi" w:hAnsiTheme="minorHAnsi" w:cstheme="minorHAnsi"/>
          <w:b/>
          <w:szCs w:val="24"/>
        </w:rPr>
      </w:pPr>
    </w:p>
    <w:p w14:paraId="6CA27CE6" w14:textId="77777777" w:rsidR="00BB387E" w:rsidRPr="003D032B" w:rsidRDefault="00BB387E" w:rsidP="00BB387E">
      <w:pPr>
        <w:spacing w:after="0"/>
        <w:jc w:val="center"/>
        <w:rPr>
          <w:rFonts w:asciiTheme="minorHAnsi" w:hAnsiTheme="minorHAnsi" w:cstheme="minorHAnsi"/>
          <w:b/>
          <w:szCs w:val="24"/>
        </w:rPr>
      </w:pPr>
    </w:p>
    <w:p w14:paraId="309E6F3A" w14:textId="77777777" w:rsidR="00BB387E" w:rsidRPr="003D032B" w:rsidRDefault="00BB387E" w:rsidP="00BB387E">
      <w:pPr>
        <w:spacing w:after="0"/>
        <w:jc w:val="center"/>
        <w:rPr>
          <w:rFonts w:asciiTheme="minorHAnsi" w:hAnsiTheme="minorHAnsi" w:cstheme="minorHAnsi"/>
          <w:b/>
          <w:szCs w:val="24"/>
        </w:rPr>
      </w:pPr>
    </w:p>
    <w:p w14:paraId="69918477" w14:textId="2082444E" w:rsidR="00741C4A" w:rsidRPr="003D032B" w:rsidRDefault="00CC1A4A" w:rsidP="00741C4A">
      <w:pPr>
        <w:spacing w:after="0"/>
        <w:jc w:val="center"/>
        <w:rPr>
          <w:rFonts w:asciiTheme="minorHAnsi" w:hAnsiTheme="minorHAnsi" w:cstheme="minorHAnsi"/>
          <w:b/>
          <w:bCs/>
          <w:szCs w:val="24"/>
        </w:rPr>
      </w:pPr>
      <w:r w:rsidRPr="003D032B">
        <w:rPr>
          <w:rFonts w:asciiTheme="minorHAnsi" w:hAnsiTheme="minorHAnsi" w:cstheme="minorHAnsi"/>
          <w:b/>
          <w:bCs/>
          <w:szCs w:val="24"/>
        </w:rPr>
        <w:t xml:space="preserve"> </w:t>
      </w:r>
      <w:r w:rsidR="00990240" w:rsidRPr="003D032B">
        <w:rPr>
          <w:rFonts w:asciiTheme="minorHAnsi" w:hAnsiTheme="minorHAnsi" w:cstheme="minorHAnsi"/>
          <w:b/>
          <w:bCs/>
          <w:szCs w:val="24"/>
        </w:rPr>
        <w:t>JUSTICE AND COMMUNITY SAFETY LEGISLATION AMENDMENT BILL 202</w:t>
      </w:r>
      <w:r w:rsidR="00244B02" w:rsidRPr="003D032B">
        <w:rPr>
          <w:rFonts w:asciiTheme="minorHAnsi" w:hAnsiTheme="minorHAnsi" w:cstheme="minorHAnsi"/>
          <w:b/>
          <w:bCs/>
          <w:szCs w:val="24"/>
        </w:rPr>
        <w:t>4</w:t>
      </w:r>
    </w:p>
    <w:p w14:paraId="19F3C407" w14:textId="77777777" w:rsidR="00BB387E" w:rsidRPr="003D032B" w:rsidRDefault="00BB387E" w:rsidP="00BB387E">
      <w:pPr>
        <w:spacing w:after="0"/>
        <w:jc w:val="center"/>
        <w:rPr>
          <w:rFonts w:asciiTheme="minorHAnsi" w:hAnsiTheme="minorHAnsi" w:cstheme="minorHAnsi"/>
          <w:b/>
          <w:bCs/>
          <w:szCs w:val="24"/>
        </w:rPr>
      </w:pPr>
    </w:p>
    <w:p w14:paraId="37B3F0B9" w14:textId="77777777" w:rsidR="00BB387E" w:rsidRPr="003D032B" w:rsidRDefault="00BB387E" w:rsidP="00BB387E">
      <w:pPr>
        <w:spacing w:after="0"/>
        <w:jc w:val="center"/>
        <w:rPr>
          <w:rFonts w:asciiTheme="minorHAnsi" w:hAnsiTheme="minorHAnsi" w:cstheme="minorHAnsi"/>
          <w:b/>
          <w:szCs w:val="24"/>
        </w:rPr>
      </w:pPr>
    </w:p>
    <w:p w14:paraId="0D26BB2F" w14:textId="77777777" w:rsidR="00BB387E" w:rsidRPr="003D032B" w:rsidRDefault="00BB387E" w:rsidP="00BB387E">
      <w:pPr>
        <w:spacing w:after="0"/>
        <w:jc w:val="center"/>
        <w:rPr>
          <w:rFonts w:asciiTheme="minorHAnsi" w:hAnsiTheme="minorHAnsi" w:cstheme="minorHAnsi"/>
          <w:b/>
          <w:bCs/>
          <w:szCs w:val="24"/>
        </w:rPr>
      </w:pPr>
    </w:p>
    <w:p w14:paraId="00B32D69" w14:textId="0D75D4CC" w:rsidR="00BC3EF0" w:rsidRPr="003D032B" w:rsidRDefault="00BB387E" w:rsidP="00BB387E">
      <w:pPr>
        <w:spacing w:after="0"/>
        <w:jc w:val="center"/>
        <w:rPr>
          <w:rFonts w:asciiTheme="minorHAnsi" w:hAnsiTheme="minorHAnsi" w:cstheme="minorHAnsi"/>
          <w:b/>
          <w:szCs w:val="24"/>
        </w:rPr>
      </w:pPr>
      <w:r w:rsidRPr="003D032B">
        <w:rPr>
          <w:rFonts w:asciiTheme="minorHAnsi" w:hAnsiTheme="minorHAnsi" w:cstheme="minorHAnsi"/>
          <w:b/>
          <w:bCs/>
          <w:szCs w:val="24"/>
        </w:rPr>
        <w:t>EXPLANATORY STATEMENT</w:t>
      </w:r>
      <w:r w:rsidR="00BC3EF0" w:rsidRPr="003D032B">
        <w:rPr>
          <w:rFonts w:asciiTheme="minorHAnsi" w:hAnsiTheme="minorHAnsi" w:cstheme="minorHAnsi"/>
          <w:b/>
          <w:bCs/>
          <w:szCs w:val="24"/>
        </w:rPr>
        <w:t xml:space="preserve"> </w:t>
      </w:r>
    </w:p>
    <w:p w14:paraId="6DC1AFAD" w14:textId="77777777" w:rsidR="00CB7CFC" w:rsidRPr="003D032B" w:rsidRDefault="00CB7CFC" w:rsidP="00CB7CFC">
      <w:pPr>
        <w:spacing w:after="0"/>
        <w:jc w:val="center"/>
        <w:rPr>
          <w:rFonts w:asciiTheme="minorHAnsi" w:hAnsiTheme="minorHAnsi" w:cstheme="minorHAnsi"/>
          <w:b/>
          <w:bCs/>
          <w:szCs w:val="24"/>
        </w:rPr>
      </w:pPr>
      <w:r w:rsidRPr="003D032B">
        <w:rPr>
          <w:rFonts w:asciiTheme="minorHAnsi" w:hAnsiTheme="minorHAnsi" w:cstheme="minorHAnsi"/>
          <w:b/>
          <w:bCs/>
          <w:szCs w:val="24"/>
        </w:rPr>
        <w:t>and</w:t>
      </w:r>
    </w:p>
    <w:p w14:paraId="3A7D6707" w14:textId="77777777" w:rsidR="00CB7CFC" w:rsidRPr="003D032B" w:rsidRDefault="00CB7CFC" w:rsidP="00CB7CFC">
      <w:pPr>
        <w:spacing w:after="0"/>
        <w:jc w:val="center"/>
        <w:rPr>
          <w:rFonts w:asciiTheme="minorHAnsi" w:hAnsiTheme="minorHAnsi" w:cstheme="minorHAnsi"/>
          <w:b/>
          <w:bCs/>
          <w:szCs w:val="24"/>
        </w:rPr>
      </w:pPr>
      <w:r w:rsidRPr="003D032B">
        <w:rPr>
          <w:rFonts w:asciiTheme="minorHAnsi" w:hAnsiTheme="minorHAnsi" w:cstheme="minorHAnsi"/>
          <w:b/>
          <w:bCs/>
          <w:szCs w:val="24"/>
        </w:rPr>
        <w:t xml:space="preserve"> HUMAN RIGHTS COMPATIBILITY STATEMENT</w:t>
      </w:r>
    </w:p>
    <w:p w14:paraId="77E64697" w14:textId="77777777" w:rsidR="00CB7CFC" w:rsidRPr="003D032B" w:rsidRDefault="00CB7CFC" w:rsidP="00CB7CFC">
      <w:pPr>
        <w:spacing w:after="0"/>
        <w:jc w:val="center"/>
        <w:rPr>
          <w:rFonts w:asciiTheme="minorHAnsi" w:hAnsiTheme="minorHAnsi" w:cstheme="minorHAnsi"/>
          <w:b/>
          <w:szCs w:val="24"/>
        </w:rPr>
      </w:pPr>
      <w:r w:rsidRPr="003D032B">
        <w:rPr>
          <w:rFonts w:asciiTheme="minorHAnsi" w:hAnsiTheme="minorHAnsi" w:cstheme="minorHAnsi"/>
          <w:b/>
          <w:bCs/>
          <w:szCs w:val="24"/>
        </w:rPr>
        <w:t>(</w:t>
      </w:r>
      <w:r w:rsidRPr="003D032B">
        <w:rPr>
          <w:rFonts w:asciiTheme="minorHAnsi" w:hAnsiTheme="minorHAnsi" w:cstheme="minorHAnsi"/>
          <w:b/>
          <w:bCs/>
          <w:i/>
          <w:iCs/>
          <w:szCs w:val="24"/>
        </w:rPr>
        <w:t>Human Rights Act 2004</w:t>
      </w:r>
      <w:r w:rsidRPr="003D032B">
        <w:rPr>
          <w:rFonts w:asciiTheme="minorHAnsi" w:hAnsiTheme="minorHAnsi" w:cstheme="minorHAnsi"/>
          <w:b/>
          <w:bCs/>
          <w:szCs w:val="24"/>
        </w:rPr>
        <w:t>, s 37)</w:t>
      </w:r>
    </w:p>
    <w:p w14:paraId="4E561EC7" w14:textId="77777777" w:rsidR="00BB387E" w:rsidRPr="003D032B" w:rsidRDefault="00BB387E" w:rsidP="00BB387E">
      <w:pPr>
        <w:spacing w:after="0"/>
        <w:jc w:val="center"/>
        <w:rPr>
          <w:rFonts w:asciiTheme="minorHAnsi" w:hAnsiTheme="minorHAnsi" w:cstheme="minorHAnsi"/>
          <w:b/>
          <w:szCs w:val="24"/>
        </w:rPr>
      </w:pPr>
    </w:p>
    <w:p w14:paraId="58E7858B" w14:textId="77777777" w:rsidR="00BB387E" w:rsidRPr="003D032B" w:rsidRDefault="00BB387E" w:rsidP="00BB387E">
      <w:pPr>
        <w:spacing w:after="0"/>
        <w:jc w:val="center"/>
        <w:rPr>
          <w:rFonts w:asciiTheme="minorHAnsi" w:hAnsiTheme="minorHAnsi" w:cstheme="minorHAnsi"/>
          <w:b/>
          <w:szCs w:val="24"/>
        </w:rPr>
      </w:pPr>
    </w:p>
    <w:p w14:paraId="44FB09C0" w14:textId="77777777" w:rsidR="00BB387E" w:rsidRPr="003D032B" w:rsidRDefault="00BB387E" w:rsidP="00BB387E">
      <w:pPr>
        <w:spacing w:after="0"/>
        <w:jc w:val="center"/>
        <w:rPr>
          <w:rFonts w:asciiTheme="minorHAnsi" w:hAnsiTheme="minorHAnsi" w:cstheme="minorHAnsi"/>
          <w:b/>
          <w:szCs w:val="24"/>
        </w:rPr>
      </w:pPr>
    </w:p>
    <w:p w14:paraId="6DB1E5EF" w14:textId="77777777" w:rsidR="00BB387E" w:rsidRPr="003D032B" w:rsidRDefault="00BB387E" w:rsidP="00BB387E">
      <w:pPr>
        <w:spacing w:after="0"/>
        <w:jc w:val="center"/>
        <w:rPr>
          <w:rFonts w:asciiTheme="minorHAnsi" w:hAnsiTheme="minorHAnsi" w:cstheme="minorHAnsi"/>
          <w:b/>
          <w:szCs w:val="24"/>
        </w:rPr>
      </w:pPr>
    </w:p>
    <w:p w14:paraId="5CCF0433" w14:textId="77777777" w:rsidR="00BB387E" w:rsidRPr="003D032B" w:rsidRDefault="00BB387E" w:rsidP="00BB387E">
      <w:pPr>
        <w:keepNext/>
        <w:widowControl w:val="0"/>
        <w:spacing w:after="0"/>
        <w:jc w:val="center"/>
        <w:outlineLvl w:val="7"/>
        <w:rPr>
          <w:rFonts w:asciiTheme="minorHAnsi" w:hAnsiTheme="minorHAnsi" w:cstheme="minorHAnsi"/>
          <w:b/>
          <w:bCs/>
          <w:szCs w:val="24"/>
        </w:rPr>
      </w:pPr>
    </w:p>
    <w:p w14:paraId="0CE0F478" w14:textId="77777777" w:rsidR="00BB387E" w:rsidRPr="003D032B" w:rsidRDefault="00BB387E" w:rsidP="00BB387E">
      <w:pPr>
        <w:keepNext/>
        <w:widowControl w:val="0"/>
        <w:spacing w:after="0"/>
        <w:jc w:val="center"/>
        <w:outlineLvl w:val="7"/>
        <w:rPr>
          <w:rFonts w:asciiTheme="minorHAnsi" w:hAnsiTheme="minorHAnsi" w:cstheme="minorHAnsi"/>
          <w:b/>
          <w:bCs/>
          <w:szCs w:val="24"/>
        </w:rPr>
      </w:pPr>
    </w:p>
    <w:p w14:paraId="389DC9D3" w14:textId="77777777" w:rsidR="00990240" w:rsidRPr="003D032B" w:rsidRDefault="00990240" w:rsidP="00990240">
      <w:pPr>
        <w:keepNext/>
        <w:widowControl w:val="0"/>
        <w:spacing w:after="0"/>
        <w:ind w:right="686"/>
        <w:jc w:val="right"/>
        <w:outlineLvl w:val="7"/>
        <w:rPr>
          <w:rFonts w:asciiTheme="minorHAnsi" w:hAnsiTheme="minorHAnsi" w:cstheme="minorHAnsi"/>
          <w:b/>
          <w:bCs/>
          <w:szCs w:val="24"/>
        </w:rPr>
      </w:pPr>
      <w:r w:rsidRPr="003D032B">
        <w:rPr>
          <w:rFonts w:asciiTheme="minorHAnsi" w:hAnsiTheme="minorHAnsi" w:cstheme="minorHAnsi"/>
          <w:b/>
          <w:bCs/>
          <w:szCs w:val="24"/>
        </w:rPr>
        <w:t>Presented by</w:t>
      </w:r>
    </w:p>
    <w:p w14:paraId="18548570" w14:textId="77777777" w:rsidR="00990240" w:rsidRPr="003D032B" w:rsidRDefault="00990240" w:rsidP="00990240">
      <w:pPr>
        <w:spacing w:after="0"/>
        <w:ind w:right="686"/>
        <w:jc w:val="right"/>
        <w:rPr>
          <w:rFonts w:asciiTheme="minorHAnsi" w:hAnsiTheme="minorHAnsi" w:cstheme="minorHAnsi"/>
          <w:b/>
          <w:bCs/>
          <w:szCs w:val="24"/>
        </w:rPr>
      </w:pPr>
      <w:r w:rsidRPr="003D032B">
        <w:rPr>
          <w:rFonts w:asciiTheme="minorHAnsi" w:hAnsiTheme="minorHAnsi" w:cstheme="minorHAnsi"/>
          <w:b/>
          <w:bCs/>
          <w:szCs w:val="24"/>
        </w:rPr>
        <w:t>Shane Rattenbury MLA</w:t>
      </w:r>
    </w:p>
    <w:p w14:paraId="7D8FCEBC" w14:textId="77777777" w:rsidR="00990240" w:rsidRPr="003D032B" w:rsidRDefault="00990240" w:rsidP="00990240">
      <w:pPr>
        <w:spacing w:after="0"/>
        <w:ind w:right="686"/>
        <w:jc w:val="right"/>
        <w:rPr>
          <w:rFonts w:asciiTheme="minorHAnsi" w:hAnsiTheme="minorHAnsi" w:cstheme="minorHAnsi"/>
          <w:b/>
          <w:bCs/>
          <w:szCs w:val="24"/>
        </w:rPr>
      </w:pPr>
      <w:r w:rsidRPr="003D032B">
        <w:rPr>
          <w:rFonts w:asciiTheme="minorHAnsi" w:hAnsiTheme="minorHAnsi" w:cstheme="minorHAnsi"/>
          <w:b/>
          <w:bCs/>
          <w:szCs w:val="24"/>
        </w:rPr>
        <w:t>Attorney-General</w:t>
      </w:r>
    </w:p>
    <w:p w14:paraId="29D58DC6" w14:textId="77777777" w:rsidR="00DC5912" w:rsidRPr="008C3B92" w:rsidRDefault="00DC5912">
      <w:pPr>
        <w:spacing w:after="0" w:line="240" w:lineRule="auto"/>
        <w:rPr>
          <w:rFonts w:cs="Arial"/>
          <w:b/>
          <w:bCs/>
          <w:szCs w:val="24"/>
          <w:u w:val="single"/>
        </w:rPr>
        <w:sectPr w:rsidR="00DC5912" w:rsidRPr="008C3B92" w:rsidSect="00DA675F">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cs="Arial"/>
          <w:b/>
          <w:bCs/>
          <w:szCs w:val="24"/>
          <w:u w:val="single"/>
        </w:rPr>
        <w:br w:type="page"/>
      </w:r>
    </w:p>
    <w:p w14:paraId="5AF6D3C7" w14:textId="072F658D" w:rsidR="00990240" w:rsidRPr="00990240" w:rsidRDefault="00990240" w:rsidP="00990240">
      <w:pPr>
        <w:spacing w:after="0"/>
        <w:contextualSpacing/>
        <w:rPr>
          <w:rFonts w:eastAsiaTheme="majorEastAsia"/>
          <w:b/>
          <w:bCs/>
          <w:sz w:val="28"/>
          <w:szCs w:val="28"/>
        </w:rPr>
      </w:pPr>
      <w:r w:rsidRPr="00990240">
        <w:rPr>
          <w:rFonts w:eastAsiaTheme="majorEastAsia"/>
          <w:b/>
          <w:bCs/>
          <w:sz w:val="28"/>
          <w:szCs w:val="28"/>
        </w:rPr>
        <w:lastRenderedPageBreak/>
        <w:t>JUSTICE AND COMMUNITY SAFETY LEGISLATION AMENDMENT BILL 202</w:t>
      </w:r>
      <w:r w:rsidR="00244B02">
        <w:rPr>
          <w:rFonts w:eastAsiaTheme="majorEastAsia"/>
          <w:b/>
          <w:bCs/>
          <w:sz w:val="28"/>
          <w:szCs w:val="28"/>
        </w:rPr>
        <w:t>4</w:t>
      </w:r>
    </w:p>
    <w:p w14:paraId="2612AE1F" w14:textId="77777777" w:rsidR="00834FC9" w:rsidRDefault="00834FC9" w:rsidP="007F3D56">
      <w:pPr>
        <w:spacing w:after="0"/>
        <w:contextualSpacing/>
        <w:rPr>
          <w:rFonts w:cs="Arial"/>
          <w:bCs/>
          <w:szCs w:val="24"/>
        </w:rPr>
      </w:pPr>
    </w:p>
    <w:p w14:paraId="1C55190C" w14:textId="34139382" w:rsidR="00790FE4" w:rsidRDefault="00834FC9" w:rsidP="007F3D56">
      <w:pPr>
        <w:spacing w:after="0"/>
        <w:contextualSpacing/>
        <w:rPr>
          <w:rFonts w:cs="Arial"/>
          <w:bCs/>
          <w:szCs w:val="24"/>
        </w:rPr>
      </w:pPr>
      <w:r w:rsidRPr="00834FC9">
        <w:rPr>
          <w:rFonts w:cs="Arial"/>
          <w:bCs/>
          <w:szCs w:val="24"/>
        </w:rPr>
        <w:t xml:space="preserve">The Bill </w:t>
      </w:r>
      <w:r w:rsidRPr="00834FC9">
        <w:rPr>
          <w:rFonts w:cs="Arial"/>
          <w:b/>
          <w:szCs w:val="24"/>
        </w:rPr>
        <w:t>is</w:t>
      </w:r>
      <w:r w:rsidR="004A549C">
        <w:rPr>
          <w:rFonts w:cs="Arial"/>
          <w:b/>
          <w:szCs w:val="24"/>
        </w:rPr>
        <w:t xml:space="preserve"> not</w:t>
      </w:r>
      <w:r w:rsidR="00990240">
        <w:rPr>
          <w:rFonts w:cs="Arial"/>
          <w:b/>
          <w:szCs w:val="24"/>
        </w:rPr>
        <w:t xml:space="preserve"> </w:t>
      </w:r>
      <w:r w:rsidRPr="00834FC9">
        <w:rPr>
          <w:rFonts w:cs="Arial"/>
          <w:bCs/>
          <w:szCs w:val="24"/>
        </w:rPr>
        <w:t xml:space="preserve">a Significant Bill. Significant Bills are bills that </w:t>
      </w:r>
      <w:r>
        <w:rPr>
          <w:rFonts w:cs="Arial"/>
          <w:bCs/>
          <w:szCs w:val="24"/>
        </w:rPr>
        <w:t>have been assessed</w:t>
      </w:r>
      <w:r w:rsidRPr="00834FC9">
        <w:rPr>
          <w:rFonts w:cs="Arial"/>
          <w:bCs/>
          <w:szCs w:val="24"/>
        </w:rPr>
        <w:t xml:space="preserve"> as </w:t>
      </w:r>
      <w:r>
        <w:rPr>
          <w:rFonts w:cs="Arial"/>
          <w:bCs/>
          <w:szCs w:val="24"/>
        </w:rPr>
        <w:t>likely to have</w:t>
      </w:r>
      <w:r w:rsidRPr="00834FC9">
        <w:rPr>
          <w:rFonts w:cs="Arial"/>
          <w:bCs/>
          <w:szCs w:val="24"/>
        </w:rPr>
        <w:t xml:space="preserve"> significant </w:t>
      </w:r>
      <w:r>
        <w:rPr>
          <w:rFonts w:cs="Arial"/>
          <w:bCs/>
          <w:szCs w:val="24"/>
        </w:rPr>
        <w:t>engagement of human rights</w:t>
      </w:r>
      <w:r w:rsidRPr="00834FC9">
        <w:rPr>
          <w:rFonts w:cs="Arial"/>
          <w:bCs/>
          <w:szCs w:val="24"/>
        </w:rPr>
        <w:t xml:space="preserve"> and require more detailed reasoning in relation to </w:t>
      </w:r>
      <w:r>
        <w:rPr>
          <w:rFonts w:cs="Arial"/>
          <w:bCs/>
          <w:szCs w:val="24"/>
        </w:rPr>
        <w:t xml:space="preserve">compatibility with the </w:t>
      </w:r>
      <w:r w:rsidRPr="00834FC9">
        <w:rPr>
          <w:rFonts w:cs="Arial"/>
          <w:bCs/>
          <w:i/>
          <w:iCs/>
          <w:szCs w:val="24"/>
        </w:rPr>
        <w:t>Human Rights Act 2004</w:t>
      </w:r>
      <w:r w:rsidRPr="00834FC9">
        <w:rPr>
          <w:rFonts w:cs="Arial"/>
          <w:bCs/>
          <w:szCs w:val="24"/>
        </w:rPr>
        <w:t>.</w:t>
      </w:r>
    </w:p>
    <w:p w14:paraId="47E9DEA2" w14:textId="720EC751" w:rsidR="00990240" w:rsidRDefault="00990240" w:rsidP="007F3D56">
      <w:pPr>
        <w:spacing w:after="0"/>
        <w:contextualSpacing/>
        <w:rPr>
          <w:rFonts w:cs="Arial"/>
          <w:bCs/>
          <w:szCs w:val="24"/>
        </w:rPr>
      </w:pPr>
    </w:p>
    <w:p w14:paraId="4F7D2855" w14:textId="76890E87" w:rsidR="00990240" w:rsidRPr="00990240" w:rsidRDefault="00990240" w:rsidP="00990240">
      <w:pPr>
        <w:spacing w:after="0"/>
        <w:contextualSpacing/>
        <w:rPr>
          <w:rFonts w:cs="Arial"/>
          <w:bCs/>
          <w:szCs w:val="24"/>
        </w:rPr>
      </w:pPr>
      <w:r w:rsidRPr="00990240">
        <w:rPr>
          <w:rFonts w:cs="Arial"/>
          <w:bCs/>
          <w:szCs w:val="24"/>
        </w:rPr>
        <w:t xml:space="preserve">This explanatory statement relates to the </w:t>
      </w:r>
      <w:r w:rsidRPr="00990240">
        <w:rPr>
          <w:rFonts w:cs="Arial"/>
          <w:bCs/>
          <w:i/>
          <w:iCs/>
          <w:szCs w:val="24"/>
        </w:rPr>
        <w:t>Justice and Community Safety Legislation Amendment Bill 202</w:t>
      </w:r>
      <w:r w:rsidR="00244B02">
        <w:rPr>
          <w:rFonts w:cs="Arial"/>
          <w:bCs/>
          <w:i/>
          <w:iCs/>
          <w:szCs w:val="24"/>
        </w:rPr>
        <w:t>4</w:t>
      </w:r>
      <w:r w:rsidRPr="00990240">
        <w:rPr>
          <w:rFonts w:cs="Arial"/>
          <w:bCs/>
          <w:i/>
          <w:iCs/>
          <w:szCs w:val="24"/>
        </w:rPr>
        <w:t xml:space="preserve"> </w:t>
      </w:r>
      <w:r w:rsidRPr="00990240">
        <w:rPr>
          <w:rFonts w:cs="Arial"/>
          <w:bCs/>
          <w:szCs w:val="24"/>
        </w:rPr>
        <w:t xml:space="preserve">as presented to the Legislative Assembly. 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 </w:t>
      </w:r>
    </w:p>
    <w:p w14:paraId="3F20865D" w14:textId="77777777" w:rsidR="0052127F" w:rsidRPr="00834FC9" w:rsidRDefault="0052127F" w:rsidP="007F3D56">
      <w:pPr>
        <w:spacing w:after="0"/>
        <w:rPr>
          <w:rFonts w:cs="Arial"/>
          <w:bCs/>
          <w:szCs w:val="24"/>
          <w:highlight w:val="yellow"/>
        </w:rPr>
      </w:pPr>
    </w:p>
    <w:p w14:paraId="29C29316" w14:textId="56470B09" w:rsidR="007B6A78" w:rsidRDefault="003323FA" w:rsidP="008C225D">
      <w:pPr>
        <w:pStyle w:val="Heading2"/>
      </w:pPr>
      <w:r>
        <w:t>OVERVIEW OF THE BILL</w:t>
      </w:r>
    </w:p>
    <w:p w14:paraId="621B8932" w14:textId="64B753DF" w:rsidR="00990240" w:rsidRPr="00990240" w:rsidRDefault="00990240" w:rsidP="00414921">
      <w:pPr>
        <w:rPr>
          <w:rFonts w:cs="Arial"/>
          <w:bCs/>
          <w:szCs w:val="24"/>
        </w:rPr>
      </w:pPr>
      <w:r w:rsidRPr="00990240">
        <w:rPr>
          <w:rFonts w:cs="Arial"/>
          <w:bCs/>
          <w:szCs w:val="24"/>
        </w:rPr>
        <w:t xml:space="preserve">The Bill is an omnibus bill which amends a range of legislation, primarily in the Attorney-General’s portfolio, including: </w:t>
      </w:r>
    </w:p>
    <w:p w14:paraId="6C406893" w14:textId="49E48D5F" w:rsidR="00990240" w:rsidRPr="00DF2A42" w:rsidRDefault="07522C00" w:rsidP="01A5810D">
      <w:pPr>
        <w:pStyle w:val="ListParagraph"/>
        <w:numPr>
          <w:ilvl w:val="0"/>
          <w:numId w:val="21"/>
        </w:numPr>
        <w:rPr>
          <w:rFonts w:cs="Arial"/>
        </w:rPr>
      </w:pPr>
      <w:r w:rsidRPr="01A5810D">
        <w:rPr>
          <w:rFonts w:cs="Arial"/>
          <w:i/>
          <w:iCs/>
        </w:rPr>
        <w:t>Civil Law (Wrongs) Act 2002</w:t>
      </w:r>
      <w:r w:rsidR="00E95F49">
        <w:rPr>
          <w:rFonts w:cs="Arial"/>
          <w:i/>
          <w:iCs/>
        </w:rPr>
        <w:t>;</w:t>
      </w:r>
    </w:p>
    <w:p w14:paraId="1D8C0136" w14:textId="6D287CB6" w:rsidR="00990240" w:rsidRPr="00DF2A42" w:rsidRDefault="07522C00" w:rsidP="01A5810D">
      <w:pPr>
        <w:pStyle w:val="ListParagraph"/>
        <w:numPr>
          <w:ilvl w:val="0"/>
          <w:numId w:val="21"/>
        </w:numPr>
        <w:rPr>
          <w:rFonts w:cs="Arial"/>
          <w:szCs w:val="24"/>
        </w:rPr>
      </w:pPr>
      <w:r w:rsidRPr="01A5810D">
        <w:rPr>
          <w:rFonts w:cs="Arial"/>
          <w:i/>
          <w:iCs/>
        </w:rPr>
        <w:t>Civil Law (Wrongs) Regulation 2003</w:t>
      </w:r>
      <w:r w:rsidR="00E95F49">
        <w:rPr>
          <w:rFonts w:cs="Arial"/>
          <w:i/>
          <w:iCs/>
        </w:rPr>
        <w:t>;</w:t>
      </w:r>
    </w:p>
    <w:p w14:paraId="68198CF8" w14:textId="4545309A" w:rsidR="00990240" w:rsidRPr="00DF2A42" w:rsidRDefault="4ED8602C" w:rsidP="01A5810D">
      <w:pPr>
        <w:pStyle w:val="ListParagraph"/>
        <w:numPr>
          <w:ilvl w:val="0"/>
          <w:numId w:val="21"/>
        </w:numPr>
        <w:rPr>
          <w:rFonts w:cs="Arial"/>
        </w:rPr>
      </w:pPr>
      <w:bookmarkStart w:id="0" w:name="_Hlk130984905"/>
      <w:r w:rsidRPr="01A5810D">
        <w:rPr>
          <w:rFonts w:cs="Arial"/>
          <w:i/>
          <w:iCs/>
        </w:rPr>
        <w:t>Court Procedures Act 2004</w:t>
      </w:r>
      <w:r w:rsidR="00E95F49">
        <w:rPr>
          <w:rFonts w:cs="Arial"/>
          <w:i/>
          <w:iCs/>
        </w:rPr>
        <w:t>;</w:t>
      </w:r>
    </w:p>
    <w:p w14:paraId="2B89EAC9" w14:textId="0A665FBC" w:rsidR="00985C6A" w:rsidRPr="00E03FD1" w:rsidRDefault="6573B3E5" w:rsidP="00FC4545">
      <w:pPr>
        <w:pStyle w:val="ListParagraph"/>
        <w:numPr>
          <w:ilvl w:val="0"/>
          <w:numId w:val="21"/>
        </w:numPr>
        <w:rPr>
          <w:rFonts w:cs="Arial"/>
          <w:iCs/>
          <w:szCs w:val="24"/>
        </w:rPr>
      </w:pPr>
      <w:r w:rsidRPr="00660EF3">
        <w:rPr>
          <w:rFonts w:cs="Arial"/>
          <w:i/>
          <w:iCs/>
        </w:rPr>
        <w:t>Domestic Violence Agencies Act 1986</w:t>
      </w:r>
      <w:r w:rsidR="00E95F49" w:rsidRPr="00660EF3">
        <w:rPr>
          <w:rFonts w:cs="Arial"/>
          <w:i/>
          <w:iCs/>
        </w:rPr>
        <w:t>;</w:t>
      </w:r>
    </w:p>
    <w:p w14:paraId="793011A6" w14:textId="711532DF" w:rsidR="00660EF3" w:rsidRPr="00E03FD1" w:rsidRDefault="00660EF3" w:rsidP="00660EF3">
      <w:pPr>
        <w:pStyle w:val="ListParagraph"/>
        <w:numPr>
          <w:ilvl w:val="0"/>
          <w:numId w:val="21"/>
        </w:numPr>
        <w:rPr>
          <w:rFonts w:cs="Arial"/>
          <w:szCs w:val="24"/>
        </w:rPr>
      </w:pPr>
      <w:r w:rsidRPr="00E03FD1">
        <w:rPr>
          <w:rFonts w:cs="Arial"/>
          <w:i/>
          <w:iCs/>
          <w:szCs w:val="24"/>
        </w:rPr>
        <w:t>Human Rights Act 2004;</w:t>
      </w:r>
    </w:p>
    <w:p w14:paraId="3EA6394A" w14:textId="0027251D" w:rsidR="00660EF3" w:rsidRPr="00660EF3" w:rsidRDefault="00660EF3" w:rsidP="00660EF3">
      <w:pPr>
        <w:pStyle w:val="ListParagraph"/>
        <w:numPr>
          <w:ilvl w:val="0"/>
          <w:numId w:val="21"/>
        </w:numPr>
        <w:rPr>
          <w:rFonts w:cs="Arial"/>
          <w:szCs w:val="24"/>
        </w:rPr>
      </w:pPr>
      <w:r w:rsidRPr="00E03FD1">
        <w:rPr>
          <w:rFonts w:cs="Arial"/>
          <w:szCs w:val="24"/>
        </w:rPr>
        <w:t xml:space="preserve"> </w:t>
      </w:r>
      <w:r w:rsidRPr="00E03FD1">
        <w:rPr>
          <w:rFonts w:cs="Arial"/>
          <w:i/>
          <w:iCs/>
          <w:szCs w:val="24"/>
        </w:rPr>
        <w:t>Human Rights Commission Act 2005;</w:t>
      </w:r>
    </w:p>
    <w:p w14:paraId="5635DCE1" w14:textId="14737655" w:rsidR="00B41583" w:rsidRPr="00B41583" w:rsidRDefault="6573B3E5" w:rsidP="00FC4545">
      <w:pPr>
        <w:pStyle w:val="ListParagraph"/>
        <w:numPr>
          <w:ilvl w:val="0"/>
          <w:numId w:val="21"/>
        </w:numPr>
        <w:rPr>
          <w:rFonts w:cs="Arial"/>
          <w:i/>
          <w:szCs w:val="24"/>
        </w:rPr>
      </w:pPr>
      <w:r w:rsidRPr="01A5810D">
        <w:rPr>
          <w:rFonts w:cs="Arial"/>
          <w:i/>
          <w:iCs/>
        </w:rPr>
        <w:t>Security Industry Act 2003</w:t>
      </w:r>
      <w:r w:rsidR="00E95F49">
        <w:rPr>
          <w:rFonts w:cs="Arial"/>
          <w:i/>
          <w:iCs/>
        </w:rPr>
        <w:t>;</w:t>
      </w:r>
    </w:p>
    <w:p w14:paraId="4E36A952" w14:textId="42DDAE94" w:rsidR="00B41583" w:rsidRPr="00B41583" w:rsidRDefault="072D5A88" w:rsidP="00FC4545">
      <w:pPr>
        <w:pStyle w:val="ListParagraph"/>
        <w:numPr>
          <w:ilvl w:val="0"/>
          <w:numId w:val="21"/>
        </w:numPr>
        <w:rPr>
          <w:rFonts w:cs="Arial"/>
          <w:i/>
          <w:color w:val="FF0000"/>
          <w:szCs w:val="24"/>
        </w:rPr>
      </w:pPr>
      <w:r w:rsidRPr="01A5810D">
        <w:rPr>
          <w:rFonts w:cs="Arial"/>
          <w:i/>
          <w:iCs/>
        </w:rPr>
        <w:t>Urban Forest Act 2023</w:t>
      </w:r>
      <w:bookmarkEnd w:id="0"/>
      <w:r w:rsidR="00E95F49">
        <w:rPr>
          <w:rFonts w:cs="Arial"/>
          <w:i/>
          <w:iCs/>
        </w:rPr>
        <w:t>; and</w:t>
      </w:r>
    </w:p>
    <w:p w14:paraId="2E4B26BF" w14:textId="4D7F3C2F" w:rsidR="00990240" w:rsidRPr="00B41583" w:rsidRDefault="072D5A88" w:rsidP="00FC4545">
      <w:pPr>
        <w:pStyle w:val="ListParagraph"/>
        <w:numPr>
          <w:ilvl w:val="0"/>
          <w:numId w:val="21"/>
        </w:numPr>
        <w:rPr>
          <w:rFonts w:cs="Arial"/>
          <w:iCs/>
          <w:color w:val="FF0000"/>
          <w:szCs w:val="24"/>
        </w:rPr>
      </w:pPr>
      <w:r w:rsidRPr="01A5810D">
        <w:rPr>
          <w:rFonts w:cs="Arial"/>
          <w:i/>
          <w:iCs/>
        </w:rPr>
        <w:t>Discrimination Act 1991</w:t>
      </w:r>
      <w:r w:rsidR="00E95F49">
        <w:rPr>
          <w:rFonts w:cs="Arial"/>
          <w:i/>
          <w:iCs/>
        </w:rPr>
        <w:t>.</w:t>
      </w:r>
    </w:p>
    <w:p w14:paraId="2E23C313" w14:textId="77777777" w:rsidR="00B41583" w:rsidRDefault="00B41583" w:rsidP="00990240">
      <w:pPr>
        <w:rPr>
          <w:rFonts w:cs="Arial"/>
          <w:iCs/>
          <w:szCs w:val="24"/>
        </w:rPr>
      </w:pPr>
    </w:p>
    <w:p w14:paraId="5D5C6C0D" w14:textId="1E23E52C" w:rsidR="00E65AA5" w:rsidRDefault="0E4B7DB2" w:rsidP="00414921">
      <w:pPr>
        <w:rPr>
          <w:rFonts w:cs="Arial"/>
          <w:b/>
          <w:szCs w:val="24"/>
        </w:rPr>
      </w:pPr>
      <w:r w:rsidRPr="01A5810D">
        <w:rPr>
          <w:rFonts w:cs="Arial"/>
          <w:b/>
          <w:bCs/>
        </w:rPr>
        <w:t>CONSULTATION ON THE PROPOSED APPROACH</w:t>
      </w:r>
    </w:p>
    <w:p w14:paraId="7AB6538E" w14:textId="5C5567A1" w:rsidR="00CB7CFC" w:rsidRDefault="00CB7CFC" w:rsidP="00D242D8">
      <w:pPr>
        <w:rPr>
          <w:rFonts w:cs="Arial"/>
          <w:iCs/>
          <w:szCs w:val="24"/>
        </w:rPr>
      </w:pPr>
      <w:r w:rsidRPr="00373688">
        <w:rPr>
          <w:rFonts w:cs="Arial"/>
          <w:iCs/>
          <w:szCs w:val="24"/>
        </w:rPr>
        <w:t>The amendments in the Bill were developed in targeted consultation within Government and with relevant stakeholders</w:t>
      </w:r>
      <w:r w:rsidR="00A63344">
        <w:rPr>
          <w:rFonts w:cs="Arial"/>
          <w:iCs/>
          <w:szCs w:val="24"/>
        </w:rPr>
        <w:t>,</w:t>
      </w:r>
      <w:r w:rsidRPr="00373688">
        <w:rPr>
          <w:rFonts w:cs="Arial"/>
          <w:iCs/>
          <w:szCs w:val="24"/>
        </w:rPr>
        <w:t xml:space="preserve"> where appropriate. In some cases, minor and technical amendments were identified by the Government agency that administers or operates under the relevant Act, or by the Parliamentary Counsel’s Office.</w:t>
      </w:r>
      <w:r>
        <w:rPr>
          <w:rFonts w:cs="Arial"/>
          <w:iCs/>
          <w:szCs w:val="24"/>
        </w:rPr>
        <w:t xml:space="preserve"> </w:t>
      </w:r>
    </w:p>
    <w:p w14:paraId="1D62FFDB" w14:textId="2B01AF7F" w:rsidR="0001681A" w:rsidRPr="0001681A" w:rsidRDefault="21C382FC" w:rsidP="00D242D8">
      <w:pPr>
        <w:rPr>
          <w:rFonts w:cs="Arial"/>
        </w:rPr>
      </w:pPr>
      <w:r w:rsidRPr="1701E8FA">
        <w:rPr>
          <w:rFonts w:cs="Arial"/>
        </w:rPr>
        <w:t xml:space="preserve">The ACT Domestic and Family Violence Review (the Death Review) was consulted for the </w:t>
      </w:r>
      <w:r w:rsidRPr="1701E8FA">
        <w:rPr>
          <w:rFonts w:cs="Arial"/>
          <w:i/>
          <w:iCs/>
        </w:rPr>
        <w:t>Domestic Violence Agencies Act 1986</w:t>
      </w:r>
      <w:r w:rsidRPr="1701E8FA">
        <w:rPr>
          <w:rFonts w:cs="Arial"/>
        </w:rPr>
        <w:t xml:space="preserve"> (DVA Act) amendments and were supportive of the reform to the DVA Act.</w:t>
      </w:r>
    </w:p>
    <w:p w14:paraId="124F9335" w14:textId="72F1E598" w:rsidR="7C5F3007" w:rsidRDefault="5583E1D4" w:rsidP="3FA559F0">
      <w:pPr>
        <w:rPr>
          <w:rFonts w:cs="Arial"/>
        </w:rPr>
      </w:pPr>
      <w:r w:rsidRPr="01A5810D">
        <w:rPr>
          <w:rFonts w:cs="Arial"/>
        </w:rPr>
        <w:t>Access Canberra, ACT Policing, the Australian Secu</w:t>
      </w:r>
      <w:r w:rsidR="58C0E6C1" w:rsidRPr="01A5810D">
        <w:rPr>
          <w:rFonts w:cs="Arial"/>
        </w:rPr>
        <w:t xml:space="preserve">rity </w:t>
      </w:r>
      <w:r w:rsidRPr="01A5810D">
        <w:rPr>
          <w:rFonts w:cs="Arial"/>
        </w:rPr>
        <w:t>Industry Association (ASIAL),</w:t>
      </w:r>
      <w:r w:rsidR="01EAA9E9" w:rsidRPr="01A5810D">
        <w:rPr>
          <w:rFonts w:cs="Arial"/>
        </w:rPr>
        <w:t xml:space="preserve"> </w:t>
      </w:r>
      <w:r w:rsidR="6815F26E" w:rsidRPr="01A5810D">
        <w:rPr>
          <w:rFonts w:cs="Arial"/>
        </w:rPr>
        <w:t xml:space="preserve">and </w:t>
      </w:r>
      <w:r w:rsidR="01929654" w:rsidRPr="01A5810D">
        <w:rPr>
          <w:rFonts w:cs="Arial"/>
        </w:rPr>
        <w:t xml:space="preserve">the Australian Security Education and Consulting Pty Ltd (ASEC) </w:t>
      </w:r>
      <w:r w:rsidR="532466E7" w:rsidRPr="01A5810D">
        <w:rPr>
          <w:rFonts w:cs="Arial"/>
        </w:rPr>
        <w:t>were consulted on the reform</w:t>
      </w:r>
      <w:r w:rsidR="707B67CF" w:rsidRPr="01A5810D">
        <w:rPr>
          <w:rFonts w:cs="Arial"/>
        </w:rPr>
        <w:t>s</w:t>
      </w:r>
      <w:r w:rsidR="532466E7" w:rsidRPr="01A5810D">
        <w:rPr>
          <w:rFonts w:cs="Arial"/>
        </w:rPr>
        <w:t xml:space="preserve"> to</w:t>
      </w:r>
      <w:r w:rsidR="2B2987B9" w:rsidRPr="01A5810D">
        <w:rPr>
          <w:rFonts w:cs="Arial"/>
        </w:rPr>
        <w:t xml:space="preserve"> </w:t>
      </w:r>
      <w:r w:rsidR="532466E7" w:rsidRPr="01A5810D">
        <w:rPr>
          <w:rFonts w:cs="Arial"/>
        </w:rPr>
        <w:t xml:space="preserve">the </w:t>
      </w:r>
      <w:r w:rsidR="532466E7" w:rsidRPr="01A5810D">
        <w:rPr>
          <w:rFonts w:cs="Arial"/>
          <w:i/>
          <w:iCs/>
        </w:rPr>
        <w:t>Security Industry Act 2003</w:t>
      </w:r>
      <w:r w:rsidR="532466E7" w:rsidRPr="01A5810D">
        <w:rPr>
          <w:rFonts w:cs="Arial"/>
        </w:rPr>
        <w:t xml:space="preserve"> (SI Act).</w:t>
      </w:r>
    </w:p>
    <w:p w14:paraId="34082B33" w14:textId="27F2F1E8" w:rsidR="26AB1CC8" w:rsidRDefault="44415176" w:rsidP="3FA559F0">
      <w:pPr>
        <w:rPr>
          <w:rFonts w:cs="Arial"/>
          <w:i/>
          <w:iCs/>
        </w:rPr>
      </w:pPr>
      <w:r w:rsidRPr="3FA559F0">
        <w:rPr>
          <w:rFonts w:cs="Arial"/>
        </w:rPr>
        <w:lastRenderedPageBreak/>
        <w:t xml:space="preserve">ACT Courts and Tribunal were consulted on the amendments to the </w:t>
      </w:r>
      <w:r w:rsidR="00EE402E" w:rsidRPr="00EE402E">
        <w:rPr>
          <w:rFonts w:cs="Arial"/>
          <w:i/>
          <w:iCs/>
        </w:rPr>
        <w:t>Court Procedures Act 2004</w:t>
      </w:r>
      <w:r w:rsidR="00EE402E">
        <w:rPr>
          <w:rFonts w:cs="Arial"/>
        </w:rPr>
        <w:t xml:space="preserve">, </w:t>
      </w:r>
      <w:r w:rsidRPr="3FA559F0">
        <w:rPr>
          <w:rFonts w:cs="Arial"/>
          <w:i/>
          <w:iCs/>
        </w:rPr>
        <w:t xml:space="preserve">Civil Law (Wrongs) Act 2002 </w:t>
      </w:r>
      <w:r w:rsidRPr="3FA559F0">
        <w:rPr>
          <w:rFonts w:cs="Arial"/>
        </w:rPr>
        <w:t xml:space="preserve">and the </w:t>
      </w:r>
      <w:r w:rsidRPr="3FA559F0">
        <w:rPr>
          <w:rFonts w:cs="Arial"/>
          <w:i/>
          <w:iCs/>
        </w:rPr>
        <w:t>C</w:t>
      </w:r>
      <w:r w:rsidR="2F754923" w:rsidRPr="3FA559F0">
        <w:rPr>
          <w:rFonts w:cs="Arial"/>
          <w:i/>
          <w:iCs/>
        </w:rPr>
        <w:t xml:space="preserve">ivil Law (Wrongs) Regulation 2003. </w:t>
      </w:r>
    </w:p>
    <w:p w14:paraId="6EEF7F61" w14:textId="7F4AEEAC" w:rsidR="00D242D8" w:rsidRDefault="00D242D8" w:rsidP="008C225D">
      <w:pPr>
        <w:pStyle w:val="Heading2"/>
      </w:pPr>
      <w:r>
        <w:t>SUMMARY OF AMENDMENTS</w:t>
      </w:r>
    </w:p>
    <w:p w14:paraId="0CE077AB" w14:textId="6FA23B7A" w:rsidR="1E2BCE54" w:rsidRDefault="57F834F5" w:rsidP="0B0577A4">
      <w:pPr>
        <w:rPr>
          <w:rFonts w:cs="Arial"/>
          <w:b/>
          <w:bCs/>
          <w:i/>
          <w:iCs/>
        </w:rPr>
      </w:pPr>
      <w:r w:rsidRPr="0B0577A4">
        <w:rPr>
          <w:rFonts w:cs="Arial"/>
          <w:b/>
          <w:bCs/>
          <w:i/>
          <w:iCs/>
        </w:rPr>
        <w:t xml:space="preserve">Civil Law (Wrongs) Act 2002 </w:t>
      </w:r>
      <w:r w:rsidRPr="0B0577A4">
        <w:rPr>
          <w:rFonts w:cs="Arial"/>
          <w:b/>
          <w:bCs/>
        </w:rPr>
        <w:t xml:space="preserve">and </w:t>
      </w:r>
      <w:r w:rsidRPr="0B0577A4">
        <w:rPr>
          <w:rFonts w:cs="Arial"/>
          <w:b/>
          <w:bCs/>
          <w:i/>
          <w:iCs/>
        </w:rPr>
        <w:t>Civil Law (Wrongs) Regulation 2003</w:t>
      </w:r>
    </w:p>
    <w:p w14:paraId="6391C5E6" w14:textId="42B0FEC8" w:rsidR="409A97D6" w:rsidRDefault="00D93CDE" w:rsidP="3FA559F0">
      <w:pPr>
        <w:rPr>
          <w:rFonts w:eastAsia="Arial" w:cs="Arial"/>
        </w:rPr>
      </w:pPr>
      <w:r w:rsidRPr="3FA559F0">
        <w:rPr>
          <w:rFonts w:eastAsia="Arial" w:cs="Arial"/>
        </w:rPr>
        <w:t xml:space="preserve">This Bill makes minor, technical amendments to the </w:t>
      </w:r>
      <w:r w:rsidRPr="3FA559F0">
        <w:rPr>
          <w:rFonts w:eastAsia="Arial" w:cs="Arial"/>
          <w:i/>
          <w:iCs/>
        </w:rPr>
        <w:t xml:space="preserve">Civil Law (Wrongs) </w:t>
      </w:r>
      <w:r w:rsidR="12C62D4E" w:rsidRPr="3FA559F0">
        <w:rPr>
          <w:rFonts w:eastAsia="Arial" w:cs="Arial"/>
          <w:i/>
          <w:iCs/>
        </w:rPr>
        <w:t xml:space="preserve">Act 2002 </w:t>
      </w:r>
      <w:r w:rsidR="12C62D4E" w:rsidRPr="3FA559F0">
        <w:rPr>
          <w:rFonts w:eastAsia="Arial" w:cs="Arial"/>
        </w:rPr>
        <w:t xml:space="preserve">and the </w:t>
      </w:r>
      <w:r w:rsidR="12C62D4E" w:rsidRPr="3FA559F0">
        <w:rPr>
          <w:rFonts w:eastAsia="Arial" w:cs="Arial"/>
          <w:i/>
          <w:iCs/>
        </w:rPr>
        <w:t>Civil Law (Wrongs) Regulations 2003</w:t>
      </w:r>
      <w:r w:rsidR="3E6BBEF0" w:rsidRPr="3FA559F0">
        <w:rPr>
          <w:rFonts w:eastAsia="Arial" w:cs="Arial"/>
          <w:i/>
          <w:iCs/>
        </w:rPr>
        <w:t xml:space="preserve"> </w:t>
      </w:r>
      <w:r w:rsidR="3E6BBEF0" w:rsidRPr="3FA559F0">
        <w:rPr>
          <w:rFonts w:eastAsia="Arial" w:cs="Arial"/>
        </w:rPr>
        <w:t>(CLW Regulation)</w:t>
      </w:r>
      <w:r w:rsidR="12C62D4E" w:rsidRPr="3FA559F0">
        <w:rPr>
          <w:rFonts w:eastAsia="Arial" w:cs="Arial"/>
        </w:rPr>
        <w:t>. The Bill omits two</w:t>
      </w:r>
      <w:r w:rsidR="59486B4A" w:rsidRPr="3FA559F0">
        <w:rPr>
          <w:rFonts w:eastAsia="Arial" w:cs="Arial"/>
        </w:rPr>
        <w:t xml:space="preserve"> time limits in sections 7 (1) and 8 (1) of the </w:t>
      </w:r>
      <w:r w:rsidR="3DB472B7" w:rsidRPr="3FA559F0">
        <w:rPr>
          <w:rFonts w:eastAsia="Arial" w:cs="Arial"/>
        </w:rPr>
        <w:t>CLW Regulation. Previously the Act provided that, certain parties (a later respondent or contributor) could only be added to a proceeding before a specific stage in the court process fixed by the CLW Regulation. The CLW Regulation prescribed that time as the point at which a “certificate of readiness” was filed. However, the requirement to file a certificate of readiness was removed in 2015.  This meant, in effect, the CLW Regulation</w:t>
      </w:r>
      <w:r w:rsidR="3DB472B7" w:rsidRPr="3FA559F0">
        <w:rPr>
          <w:rFonts w:eastAsia="Arial" w:cs="Arial"/>
          <w:i/>
          <w:iCs/>
        </w:rPr>
        <w:t xml:space="preserve"> </w:t>
      </w:r>
      <w:r w:rsidR="3DB472B7" w:rsidRPr="3FA559F0">
        <w:rPr>
          <w:rFonts w:eastAsia="Arial" w:cs="Arial"/>
        </w:rPr>
        <w:t xml:space="preserve">no longer prescribed a time by which a later respondent or contributor could be added, rendering sections 7 (1) and 8 (1) </w:t>
      </w:r>
      <w:r w:rsidR="76483369" w:rsidRPr="3FA559F0">
        <w:rPr>
          <w:rFonts w:eastAsia="Arial" w:cs="Arial"/>
        </w:rPr>
        <w:t xml:space="preserve">of the regulation </w:t>
      </w:r>
      <w:r w:rsidR="3DB472B7" w:rsidRPr="3FA559F0">
        <w:rPr>
          <w:rFonts w:eastAsia="Arial" w:cs="Arial"/>
        </w:rPr>
        <w:t>obsolete.</w:t>
      </w:r>
    </w:p>
    <w:p w14:paraId="4E420917" w14:textId="2A8A38AF" w:rsidR="0B0577A4" w:rsidRDefault="3DB472B7" w:rsidP="3FA559F0">
      <w:pPr>
        <w:rPr>
          <w:rFonts w:eastAsia="Arial" w:cs="Arial"/>
        </w:rPr>
      </w:pPr>
      <w:r w:rsidRPr="3FA559F0">
        <w:rPr>
          <w:rFonts w:eastAsia="Arial" w:cs="Arial"/>
        </w:rPr>
        <w:t xml:space="preserve">The Bill also makes minor, </w:t>
      </w:r>
      <w:r w:rsidR="00D93CDE" w:rsidRPr="3FA559F0">
        <w:rPr>
          <w:rFonts w:eastAsia="Arial" w:cs="Arial"/>
        </w:rPr>
        <w:t xml:space="preserve">consequential amendments to the enabling provisions of the </w:t>
      </w:r>
      <w:r w:rsidR="00D93CDE" w:rsidRPr="3FA559F0">
        <w:rPr>
          <w:rFonts w:eastAsia="Arial" w:cs="Arial"/>
          <w:i/>
          <w:iCs/>
        </w:rPr>
        <w:t>Civil Law (Wrongs) Act 2002</w:t>
      </w:r>
      <w:r w:rsidR="00D93CDE" w:rsidRPr="3FA559F0">
        <w:rPr>
          <w:rFonts w:eastAsia="Arial" w:cs="Arial"/>
        </w:rPr>
        <w:t>, to improve the clarity and readability of the legislation.</w:t>
      </w:r>
    </w:p>
    <w:p w14:paraId="231F1FDF" w14:textId="3EFE94B7" w:rsidR="00D242D8" w:rsidRDefault="5EF2799F" w:rsidP="00D242D8">
      <w:pPr>
        <w:rPr>
          <w:rFonts w:cs="Arial"/>
          <w:b/>
          <w:bCs/>
          <w:i/>
          <w:iCs/>
          <w:szCs w:val="24"/>
        </w:rPr>
      </w:pPr>
      <w:r w:rsidRPr="1701E8FA">
        <w:rPr>
          <w:rFonts w:cs="Arial"/>
          <w:b/>
          <w:bCs/>
          <w:i/>
          <w:iCs/>
        </w:rPr>
        <w:t>Court Procedures Act 2004</w:t>
      </w:r>
    </w:p>
    <w:p w14:paraId="109E943B" w14:textId="6823FAED" w:rsidR="1EC3865D" w:rsidRDefault="1EC3865D" w:rsidP="1701E8FA">
      <w:pPr>
        <w:rPr>
          <w:rFonts w:cs="Arial"/>
        </w:rPr>
      </w:pPr>
      <w:r w:rsidRPr="1701E8FA">
        <w:rPr>
          <w:rFonts w:cs="Arial"/>
        </w:rPr>
        <w:t>Th</w:t>
      </w:r>
      <w:r w:rsidR="0CA07DC7" w:rsidRPr="1701E8FA">
        <w:rPr>
          <w:rFonts w:cs="Arial"/>
        </w:rPr>
        <w:t xml:space="preserve">e </w:t>
      </w:r>
      <w:r w:rsidR="0CA07DC7" w:rsidRPr="1701E8FA">
        <w:rPr>
          <w:rFonts w:cs="Arial"/>
          <w:i/>
          <w:iCs/>
        </w:rPr>
        <w:t>Aboriginal and Torres Strait Islander Children and Young People Commissioner Act 2022</w:t>
      </w:r>
      <w:r w:rsidR="0CA07DC7" w:rsidRPr="1701E8FA">
        <w:rPr>
          <w:rFonts w:cs="Arial"/>
        </w:rPr>
        <w:t xml:space="preserve"> established a new independent, statutory officer to promote and protect the rights of First Nations children and young people in the ACT. The Act amended the </w:t>
      </w:r>
      <w:r w:rsidR="0CA07DC7" w:rsidRPr="1701E8FA">
        <w:rPr>
          <w:rFonts w:cs="Arial"/>
          <w:i/>
          <w:iCs/>
        </w:rPr>
        <w:t>Court Procedures Act 2004</w:t>
      </w:r>
      <w:r w:rsidR="0CA07DC7" w:rsidRPr="1701E8FA">
        <w:rPr>
          <w:rFonts w:cs="Arial"/>
        </w:rPr>
        <w:t xml:space="preserve"> with the intent to give the Commissioner the same role in Children’s Court proceedings as the Public Advocate in relation to Aboriginal and Torres Strait Islander children and young people.</w:t>
      </w:r>
    </w:p>
    <w:p w14:paraId="5E1C05C8" w14:textId="15813EEA" w:rsidR="1EC3865D" w:rsidRDefault="1EC3865D" w:rsidP="1701E8FA">
      <w:pPr>
        <w:rPr>
          <w:rFonts w:cs="Arial"/>
        </w:rPr>
      </w:pPr>
      <w:r w:rsidRPr="1701E8FA">
        <w:rPr>
          <w:rFonts w:cs="Arial"/>
        </w:rPr>
        <w:t xml:space="preserve">This Bill clarifies the drafting of section 74 (2) (e) </w:t>
      </w:r>
      <w:r w:rsidRPr="1701E8FA">
        <w:rPr>
          <w:rFonts w:cs="Arial"/>
          <w:i/>
          <w:iCs/>
        </w:rPr>
        <w:t>Court Procedures Act 2004</w:t>
      </w:r>
      <w:r w:rsidRPr="1701E8FA">
        <w:rPr>
          <w:rFonts w:cs="Arial"/>
        </w:rPr>
        <w:t xml:space="preserve"> to confirm that the Commissioner is entitled to appear, be heard and may call witnesses if the proceeding is related to an Aboriginal and Torres Strait Islander child or young person, as well as where the proceed</w:t>
      </w:r>
      <w:r w:rsidR="52732B22" w:rsidRPr="1701E8FA">
        <w:rPr>
          <w:rFonts w:cs="Arial"/>
        </w:rPr>
        <w:t>ing is against an Aboriginal and Torres Strait Islander child or young person.</w:t>
      </w:r>
    </w:p>
    <w:p w14:paraId="768A8895" w14:textId="6BE220F1" w:rsidR="00985C6A" w:rsidRDefault="00B41583" w:rsidP="00D242D8">
      <w:pPr>
        <w:rPr>
          <w:rFonts w:cs="Arial"/>
          <w:b/>
          <w:bCs/>
          <w:szCs w:val="24"/>
        </w:rPr>
      </w:pPr>
      <w:r w:rsidRPr="00B41583">
        <w:rPr>
          <w:rFonts w:cs="Arial"/>
          <w:b/>
          <w:bCs/>
          <w:i/>
          <w:iCs/>
          <w:szCs w:val="24"/>
        </w:rPr>
        <w:t>Domestic Violence Agencies Act 1986</w:t>
      </w:r>
    </w:p>
    <w:p w14:paraId="0D0282A3" w14:textId="7A5734C4" w:rsidR="00131DB4" w:rsidRPr="003D032B" w:rsidRDefault="00131DB4" w:rsidP="620028E2">
      <w:pPr>
        <w:rPr>
          <w:rFonts w:eastAsia="Arial" w:cs="Arial"/>
        </w:rPr>
      </w:pPr>
      <w:r w:rsidRPr="003D032B">
        <w:rPr>
          <w:rFonts w:cs="Arial"/>
        </w:rPr>
        <w:t xml:space="preserve">In 2021, the ACT Government established the </w:t>
      </w:r>
      <w:r w:rsidR="11C5B2F9" w:rsidRPr="003D032B">
        <w:rPr>
          <w:rFonts w:cs="Arial"/>
        </w:rPr>
        <w:t xml:space="preserve">Domestic and Family Violence Review (the </w:t>
      </w:r>
      <w:r w:rsidRPr="003D032B">
        <w:rPr>
          <w:rFonts w:cs="Arial"/>
        </w:rPr>
        <w:t>Death Review</w:t>
      </w:r>
      <w:r w:rsidR="55CAED18" w:rsidRPr="003D032B">
        <w:rPr>
          <w:rFonts w:cs="Arial"/>
        </w:rPr>
        <w:t>)</w:t>
      </w:r>
      <w:r w:rsidRPr="003D032B">
        <w:rPr>
          <w:rFonts w:cs="Arial"/>
        </w:rPr>
        <w:t xml:space="preserve"> mechanism, including a Domestic and Family Violence Review Coordinator. </w:t>
      </w:r>
      <w:r w:rsidR="4BA949B9" w:rsidRPr="003D032B">
        <w:rPr>
          <w:rFonts w:cs="Arial"/>
        </w:rPr>
        <w:t xml:space="preserve">The </w:t>
      </w:r>
      <w:r w:rsidR="3572F2F4" w:rsidRPr="003D032B">
        <w:rPr>
          <w:rFonts w:cs="Arial"/>
        </w:rPr>
        <w:t>D</w:t>
      </w:r>
      <w:r w:rsidR="34D1CCF2" w:rsidRPr="003D032B">
        <w:rPr>
          <w:rFonts w:cs="Arial"/>
        </w:rPr>
        <w:t>eath Review was</w:t>
      </w:r>
      <w:r w:rsidR="3EAE12DB" w:rsidRPr="003D032B">
        <w:rPr>
          <w:rFonts w:cs="Arial"/>
        </w:rPr>
        <w:t xml:space="preserve"> established to</w:t>
      </w:r>
      <w:r w:rsidR="381950C5" w:rsidRPr="003D032B">
        <w:rPr>
          <w:rFonts w:cs="Arial"/>
        </w:rPr>
        <w:t xml:space="preserve"> </w:t>
      </w:r>
      <w:r w:rsidR="5A13F5E2" w:rsidRPr="003D032B">
        <w:rPr>
          <w:rFonts w:cs="Arial"/>
        </w:rPr>
        <w:t xml:space="preserve">examine deaths involving domestic and family violence from </w:t>
      </w:r>
      <w:r w:rsidR="5A13F5E2" w:rsidRPr="003D032B">
        <w:rPr>
          <w:rFonts w:eastAsia="Arial" w:cs="Arial"/>
          <w:color w:val="000000" w:themeColor="text1"/>
        </w:rPr>
        <w:t xml:space="preserve">a system-wide perspective </w:t>
      </w:r>
      <w:r w:rsidR="75976BF5" w:rsidRPr="003D032B">
        <w:rPr>
          <w:rFonts w:cs="Arial"/>
        </w:rPr>
        <w:t xml:space="preserve">and </w:t>
      </w:r>
      <w:r w:rsidR="5A13F5E2" w:rsidRPr="003D032B">
        <w:rPr>
          <w:rFonts w:eastAsia="Arial" w:cs="Arial"/>
          <w:color w:val="000000" w:themeColor="text1"/>
        </w:rPr>
        <w:t xml:space="preserve">make recommendations </w:t>
      </w:r>
      <w:r w:rsidR="5A13F5E2" w:rsidRPr="003D032B">
        <w:rPr>
          <w:rFonts w:cs="Arial"/>
        </w:rPr>
        <w:t xml:space="preserve">to </w:t>
      </w:r>
      <w:r w:rsidR="6C8A8D81" w:rsidRPr="003D032B">
        <w:rPr>
          <w:rFonts w:cs="Arial"/>
        </w:rPr>
        <w:t>the Minister to identify preventativ</w:t>
      </w:r>
      <w:r w:rsidR="5A13F5E2" w:rsidRPr="003D032B">
        <w:rPr>
          <w:rFonts w:eastAsia="Arial" w:cs="Arial"/>
          <w:color w:val="000000" w:themeColor="text1"/>
        </w:rPr>
        <w:t xml:space="preserve">e </w:t>
      </w:r>
      <w:r w:rsidR="127AD7F1" w:rsidRPr="003D032B">
        <w:rPr>
          <w:rFonts w:eastAsia="Arial" w:cs="Arial"/>
          <w:color w:val="000000" w:themeColor="text1"/>
        </w:rPr>
        <w:t>measures to reduce domestic and family violence</w:t>
      </w:r>
      <w:r w:rsidR="6B445474" w:rsidRPr="003D032B">
        <w:rPr>
          <w:rFonts w:eastAsia="Arial" w:cs="Arial"/>
          <w:color w:val="000000" w:themeColor="text1"/>
        </w:rPr>
        <w:t xml:space="preserve"> and improve systemic responses</w:t>
      </w:r>
      <w:r w:rsidR="5A13F5E2" w:rsidRPr="003D032B">
        <w:rPr>
          <w:rFonts w:eastAsia="Arial" w:cs="Arial"/>
          <w:color w:val="000000" w:themeColor="text1"/>
        </w:rPr>
        <w:t>.</w:t>
      </w:r>
    </w:p>
    <w:p w14:paraId="4C511487" w14:textId="27E911EB" w:rsidR="00131DB4" w:rsidRPr="00E95F49" w:rsidRDefault="00131DB4" w:rsidP="00131DB4">
      <w:pPr>
        <w:pStyle w:val="CS-Paragraphnumbering"/>
        <w:numPr>
          <w:ilvl w:val="0"/>
          <w:numId w:val="0"/>
        </w:numPr>
        <w:rPr>
          <w:rFonts w:ascii="Arial" w:eastAsia="Times New Roman" w:hAnsi="Arial" w:cs="Arial"/>
        </w:rPr>
      </w:pPr>
      <w:r w:rsidRPr="003D032B">
        <w:rPr>
          <w:rFonts w:ascii="Arial" w:hAnsi="Arial" w:cs="Arial"/>
        </w:rPr>
        <w:lastRenderedPageBreak/>
        <w:t>This Bill makes a minor amendment to section 16Y of the Domestic Violence Agencies Act 1986 (DVA Act) to change the timeframes for the statutory review of the Death Review.</w:t>
      </w:r>
      <w:r w:rsidR="0043257D" w:rsidRPr="003D032B">
        <w:rPr>
          <w:rFonts w:ascii="Arial" w:hAnsi="Arial" w:cs="Arial"/>
        </w:rPr>
        <w:t xml:space="preserve"> </w:t>
      </w:r>
      <w:r w:rsidRPr="00E95F49">
        <w:rPr>
          <w:rFonts w:ascii="Arial" w:eastAsia="Times New Roman" w:hAnsi="Arial" w:cs="Arial"/>
        </w:rPr>
        <w:t>Currently, section 16Y of the DVA Act requires the Minister to review the operation of Part 3A as soon as practicable after the end of its third year of operation and requires the statutory review to be presented to the Legislative Assembly within 3 months of the review’s commencement. The statutory review provisions of the DVA Act will expire on 22 September 2025, 4 years after the day it commenced.</w:t>
      </w:r>
    </w:p>
    <w:p w14:paraId="5D8D567C" w14:textId="33613B84" w:rsidR="00131DB4" w:rsidRDefault="00131DB4" w:rsidP="00EE402E">
      <w:pPr>
        <w:pStyle w:val="CS-Paragraphnumbering"/>
        <w:numPr>
          <w:ilvl w:val="0"/>
          <w:numId w:val="0"/>
        </w:numPr>
        <w:rPr>
          <w:rFonts w:ascii="Arial" w:eastAsia="Times New Roman" w:hAnsi="Arial" w:cs="Arial"/>
        </w:rPr>
      </w:pPr>
      <w:r w:rsidRPr="0C97CB23">
        <w:rPr>
          <w:rFonts w:ascii="Arial" w:eastAsia="Times New Roman" w:hAnsi="Arial" w:cs="Arial"/>
        </w:rPr>
        <w:t xml:space="preserve">The Death Review was delayed due to the COVID19 pandemic and it became operational in early 2023. Despite this delay, the relevant DVA Act provisions commenced in September 2021. This means the planned review would occur after only one year of the </w:t>
      </w:r>
      <w:r w:rsidR="32130ADB" w:rsidRPr="0C97CB23">
        <w:rPr>
          <w:rFonts w:ascii="Arial" w:eastAsia="Times New Roman" w:hAnsi="Arial" w:cs="Arial"/>
        </w:rPr>
        <w:t xml:space="preserve">Death </w:t>
      </w:r>
      <w:r w:rsidR="1B6C3D60" w:rsidRPr="0C97CB23">
        <w:rPr>
          <w:rFonts w:ascii="Arial" w:eastAsia="Times New Roman" w:hAnsi="Arial" w:cs="Arial"/>
        </w:rPr>
        <w:t xml:space="preserve">Review’s </w:t>
      </w:r>
      <w:r w:rsidRPr="0C97CB23">
        <w:rPr>
          <w:rFonts w:ascii="Arial" w:eastAsia="Times New Roman" w:hAnsi="Arial" w:cs="Arial"/>
        </w:rPr>
        <w:t>operation instead of 3 years as originally intended. One year of operation does not provide sufficient time for a review to meaningfully assess operations and make useful findings.</w:t>
      </w:r>
    </w:p>
    <w:p w14:paraId="123BABEA" w14:textId="77777777" w:rsidR="00131DB4" w:rsidRDefault="00131DB4" w:rsidP="00131DB4">
      <w:pPr>
        <w:pStyle w:val="CS-Paragraphnumbering"/>
        <w:numPr>
          <w:ilvl w:val="0"/>
          <w:numId w:val="0"/>
        </w:numPr>
        <w:rPr>
          <w:rFonts w:ascii="Arial" w:eastAsia="Times New Roman" w:hAnsi="Arial" w:cs="Arial"/>
        </w:rPr>
      </w:pPr>
      <w:r>
        <w:rPr>
          <w:rFonts w:ascii="Arial" w:eastAsia="Times New Roman" w:hAnsi="Arial" w:cs="Arial"/>
        </w:rPr>
        <w:t xml:space="preserve">Accordingly, the purpose of this reform to the DVA Act is to enable the statutory review to take place in accordance with the original intention of the legislature, noting the delayed commencement of operations in practice. </w:t>
      </w:r>
    </w:p>
    <w:p w14:paraId="163EF3D2" w14:textId="057AAC08" w:rsidR="00131DB4" w:rsidRDefault="00131DB4" w:rsidP="00131DB4">
      <w:pPr>
        <w:rPr>
          <w:rFonts w:cs="Arial"/>
          <w:szCs w:val="24"/>
        </w:rPr>
      </w:pPr>
      <w:r>
        <w:rPr>
          <w:rFonts w:cs="Arial"/>
          <w:szCs w:val="24"/>
        </w:rPr>
        <w:t xml:space="preserve">Therefore, to better reflect the legislature’s original intention, an amendment is needed to delay the commencement of the statutory review. In this way, the review should start 3 years from the point the Death Review became operational, namely, 31 March 2026, not 3 years from when the statutory provisions </w:t>
      </w:r>
      <w:r w:rsidRPr="00125F3F">
        <w:rPr>
          <w:rFonts w:cs="Arial"/>
          <w:szCs w:val="24"/>
        </w:rPr>
        <w:t>commenced (ie in Sep</w:t>
      </w:r>
      <w:r w:rsidR="00EE402E">
        <w:rPr>
          <w:rFonts w:cs="Arial"/>
          <w:szCs w:val="24"/>
        </w:rPr>
        <w:t>tember</w:t>
      </w:r>
      <w:r w:rsidRPr="00125F3F">
        <w:rPr>
          <w:rFonts w:cs="Arial"/>
          <w:szCs w:val="24"/>
        </w:rPr>
        <w:t xml:space="preserve"> 2021).</w:t>
      </w:r>
    </w:p>
    <w:p w14:paraId="2F750390" w14:textId="3C27747D" w:rsidR="00B41583" w:rsidRDefault="00131DB4" w:rsidP="00B41583">
      <w:pPr>
        <w:rPr>
          <w:rFonts w:cs="Arial"/>
          <w:szCs w:val="24"/>
        </w:rPr>
      </w:pPr>
      <w:r>
        <w:rPr>
          <w:rFonts w:cs="Arial"/>
          <w:szCs w:val="24"/>
        </w:rPr>
        <w:t>Following on from this amendment, it is necessary to make a consequential amendment to section 16Y(3) so that it will expire on 31 March 2027. Otherwise, the review provisions will expire before the statutory review can take place.</w:t>
      </w:r>
    </w:p>
    <w:p w14:paraId="163BCBFD" w14:textId="0C23798D" w:rsidR="008A7F0E" w:rsidRDefault="008A7F0E" w:rsidP="00B41583">
      <w:pPr>
        <w:rPr>
          <w:rFonts w:cs="Arial"/>
          <w:b/>
          <w:bCs/>
          <w:szCs w:val="24"/>
        </w:rPr>
      </w:pPr>
      <w:r>
        <w:rPr>
          <w:rFonts w:cs="Arial"/>
          <w:b/>
          <w:bCs/>
          <w:i/>
          <w:iCs/>
          <w:szCs w:val="24"/>
        </w:rPr>
        <w:t xml:space="preserve">Human Rights Act 2004 </w:t>
      </w:r>
      <w:r w:rsidRPr="00E03FD1">
        <w:rPr>
          <w:rFonts w:cs="Arial"/>
          <w:b/>
          <w:bCs/>
          <w:szCs w:val="24"/>
        </w:rPr>
        <w:t xml:space="preserve">and </w:t>
      </w:r>
      <w:r>
        <w:rPr>
          <w:rFonts w:cs="Arial"/>
          <w:b/>
          <w:bCs/>
          <w:i/>
          <w:iCs/>
          <w:szCs w:val="24"/>
        </w:rPr>
        <w:t>Human Rights Commission Act 2005</w:t>
      </w:r>
    </w:p>
    <w:p w14:paraId="0C2981CA" w14:textId="77777777" w:rsidR="008121B6" w:rsidRPr="008121B6" w:rsidRDefault="008121B6" w:rsidP="008121B6">
      <w:pPr>
        <w:rPr>
          <w:rFonts w:cs="Arial"/>
          <w:szCs w:val="24"/>
        </w:rPr>
      </w:pPr>
      <w:r w:rsidRPr="008121B6">
        <w:rPr>
          <w:rFonts w:cs="Arial"/>
          <w:szCs w:val="24"/>
        </w:rPr>
        <w:t>The Bill clarifies that the mechanism for community members to make complaints to the Human Rights Commission about alleged breaches of section 40B, Human Rights Act does not apply to individual police officers.</w:t>
      </w:r>
    </w:p>
    <w:p w14:paraId="2F64E42C" w14:textId="77777777" w:rsidR="008121B6" w:rsidRPr="008121B6" w:rsidRDefault="008121B6" w:rsidP="008121B6">
      <w:pPr>
        <w:rPr>
          <w:rFonts w:cs="Arial"/>
          <w:szCs w:val="24"/>
        </w:rPr>
      </w:pPr>
      <w:r w:rsidRPr="008121B6">
        <w:rPr>
          <w:rFonts w:cs="Arial"/>
          <w:szCs w:val="24"/>
        </w:rPr>
        <w:t>This amendment aligns with the view of the Standing Committee on Justice and Community Safety communicated in their 2022 report on its inquiry into Petition 32-21 (No Rights Without Remedy). The Committee noted that there are already existing human rights complaints avenues available in respect of ACT Policing and that there is complexity involved in applying the new proposed human rights complaints mechanism in view of the interaction between the ACT and federal legal arrangements.</w:t>
      </w:r>
    </w:p>
    <w:p w14:paraId="1F90E3BA" w14:textId="37AA90BF" w:rsidR="008121B6" w:rsidRPr="008121B6" w:rsidRDefault="008121B6" w:rsidP="008121B6">
      <w:pPr>
        <w:rPr>
          <w:rFonts w:cs="Arial"/>
          <w:szCs w:val="24"/>
        </w:rPr>
      </w:pPr>
      <w:r>
        <w:rPr>
          <w:rFonts w:cs="Arial"/>
          <w:szCs w:val="24"/>
        </w:rPr>
        <w:t>T</w:t>
      </w:r>
      <w:r w:rsidRPr="008121B6">
        <w:rPr>
          <w:rFonts w:cs="Arial"/>
          <w:szCs w:val="24"/>
        </w:rPr>
        <w:t xml:space="preserve">he clarification seeks to avoid confusion and ensure that complainants do not lose an enforceable avenue for redress to the Australian Human Rights Commission in relation to a police complaint, due to provisions in a number of federal anti-discrimination laws that remove entitlement to make a complaint where the complaint </w:t>
      </w:r>
      <w:r w:rsidRPr="008121B6">
        <w:rPr>
          <w:rFonts w:cs="Arial"/>
          <w:szCs w:val="24"/>
        </w:rPr>
        <w:lastRenderedPageBreak/>
        <w:t>has been made at State or Territory level. Community members can raise concerns and make complaints about the actions of ACT Policing through other avenues including the Australian Human Rights Commission (in relation to alleged discrimination), the Commonwealth Ombudsman, and ACT Policing internal police complaint processes.</w:t>
      </w:r>
    </w:p>
    <w:p w14:paraId="768BD480" w14:textId="498709D3" w:rsidR="00B41583" w:rsidRPr="00B41583" w:rsidRDefault="343C70C1" w:rsidP="00B41583">
      <w:pPr>
        <w:rPr>
          <w:rFonts w:cs="Arial"/>
          <w:szCs w:val="24"/>
        </w:rPr>
      </w:pPr>
      <w:r w:rsidRPr="3FA559F0">
        <w:rPr>
          <w:rFonts w:cs="Arial"/>
          <w:b/>
          <w:bCs/>
          <w:i/>
          <w:iCs/>
          <w:lang w:eastAsia="en-AU"/>
        </w:rPr>
        <w:t>Security Industry Act 2003</w:t>
      </w:r>
    </w:p>
    <w:p w14:paraId="3B435B73" w14:textId="35E18980" w:rsidR="25AABDD4" w:rsidRDefault="6C2BC2FA" w:rsidP="01A5810D">
      <w:pPr>
        <w:spacing w:after="0"/>
        <w:ind w:right="-45"/>
        <w:rPr>
          <w:rFonts w:eastAsia="Arial" w:cs="Arial"/>
        </w:rPr>
      </w:pPr>
      <w:r w:rsidRPr="613AAF8D">
        <w:rPr>
          <w:rFonts w:eastAsia="Arial" w:cs="Arial"/>
        </w:rPr>
        <w:t xml:space="preserve">The Bill implements </w:t>
      </w:r>
      <w:r w:rsidR="008B5CF0">
        <w:rPr>
          <w:rFonts w:eastAsia="Arial" w:cs="Arial"/>
        </w:rPr>
        <w:t xml:space="preserve">a </w:t>
      </w:r>
      <w:r w:rsidRPr="613AAF8D">
        <w:rPr>
          <w:rFonts w:eastAsia="Arial" w:cs="Arial"/>
        </w:rPr>
        <w:t xml:space="preserve">minor amendment to the </w:t>
      </w:r>
      <w:r w:rsidRPr="613AAF8D">
        <w:rPr>
          <w:rFonts w:eastAsia="Arial" w:cs="Arial"/>
          <w:i/>
          <w:iCs/>
        </w:rPr>
        <w:t>Security Industry Act 2003</w:t>
      </w:r>
      <w:r w:rsidRPr="613AAF8D">
        <w:rPr>
          <w:rFonts w:eastAsia="Arial" w:cs="Arial"/>
        </w:rPr>
        <w:t xml:space="preserve"> (SI Act). The amendment introduces a positive disclosure duty. The new disclosure duty will place an obligation on licensees to notify </w:t>
      </w:r>
      <w:r w:rsidR="40C0B4D3" w:rsidRPr="613AAF8D">
        <w:rPr>
          <w:rFonts w:eastAsia="Arial" w:cs="Arial"/>
        </w:rPr>
        <w:t>the Commissioner for Fair Trading</w:t>
      </w:r>
      <w:r w:rsidRPr="613AAF8D">
        <w:rPr>
          <w:rFonts w:eastAsia="Arial" w:cs="Arial"/>
        </w:rPr>
        <w:t xml:space="preserve"> within 14 days of circumstances which would change their suitability to hold a licence under the Act</w:t>
      </w:r>
      <w:r w:rsidR="3DCDE892" w:rsidRPr="613AAF8D">
        <w:rPr>
          <w:rFonts w:eastAsia="Arial" w:cs="Arial"/>
        </w:rPr>
        <w:t>. Specifically, licence holders must notify the Commissioner for Fair Trading</w:t>
      </w:r>
      <w:r w:rsidR="2A740A25" w:rsidRPr="613AAF8D">
        <w:rPr>
          <w:rFonts w:eastAsia="Arial" w:cs="Arial"/>
        </w:rPr>
        <w:t xml:space="preserve"> </w:t>
      </w:r>
      <w:r w:rsidR="37B1C0F6" w:rsidRPr="613AAF8D">
        <w:rPr>
          <w:rFonts w:eastAsia="Arial" w:cs="Arial"/>
        </w:rPr>
        <w:t>when they have been convicted of or found guilty of a</w:t>
      </w:r>
      <w:r w:rsidR="347BE692" w:rsidRPr="613AAF8D">
        <w:rPr>
          <w:rFonts w:eastAsia="Arial" w:cs="Arial"/>
        </w:rPr>
        <w:t>n</w:t>
      </w:r>
      <w:r w:rsidR="37B1C0F6" w:rsidRPr="613AAF8D">
        <w:rPr>
          <w:rFonts w:eastAsia="Arial" w:cs="Arial"/>
        </w:rPr>
        <w:t xml:space="preserve"> offence</w:t>
      </w:r>
      <w:r w:rsidR="197972CD" w:rsidRPr="613AAF8D">
        <w:rPr>
          <w:rFonts w:eastAsia="Arial" w:cs="Arial"/>
        </w:rPr>
        <w:t xml:space="preserve"> </w:t>
      </w:r>
      <w:r w:rsidR="000D50DB">
        <w:rPr>
          <w:rFonts w:eastAsia="Arial" w:cs="Arial"/>
        </w:rPr>
        <w:t>mentioned</w:t>
      </w:r>
      <w:r w:rsidR="197972CD" w:rsidRPr="613AAF8D">
        <w:rPr>
          <w:rFonts w:eastAsia="Arial" w:cs="Arial"/>
        </w:rPr>
        <w:t xml:space="preserve"> under section 21 (3)</w:t>
      </w:r>
      <w:r w:rsidR="00F56BD1">
        <w:rPr>
          <w:rFonts w:eastAsia="Arial" w:cs="Arial"/>
        </w:rPr>
        <w:t xml:space="preserve"> (General suitability criteria) of the SI Act</w:t>
      </w:r>
      <w:r w:rsidRPr="613AAF8D">
        <w:rPr>
          <w:rFonts w:eastAsia="Arial" w:cs="Arial"/>
        </w:rPr>
        <w:t xml:space="preserve">. </w:t>
      </w:r>
    </w:p>
    <w:p w14:paraId="6472B378" w14:textId="7CBA0A46" w:rsidR="25AABDD4" w:rsidRDefault="25AABDD4" w:rsidP="3FA559F0">
      <w:pPr>
        <w:spacing w:after="0"/>
        <w:ind w:right="-45"/>
        <w:rPr>
          <w:rFonts w:eastAsia="Arial" w:cs="Arial"/>
          <w:szCs w:val="24"/>
        </w:rPr>
      </w:pPr>
    </w:p>
    <w:p w14:paraId="0F29AD08" w14:textId="40CBEC9B" w:rsidR="00B41583" w:rsidRDefault="00B41583" w:rsidP="00B41583">
      <w:pPr>
        <w:rPr>
          <w:rFonts w:cs="Arial"/>
          <w:b/>
          <w:bCs/>
          <w:i/>
          <w:szCs w:val="24"/>
          <w:lang w:eastAsia="en-AU"/>
        </w:rPr>
      </w:pPr>
      <w:bookmarkStart w:id="1" w:name="OLE_LINK1"/>
      <w:r w:rsidRPr="00B41583">
        <w:rPr>
          <w:rFonts w:cs="Arial"/>
          <w:b/>
          <w:bCs/>
          <w:i/>
          <w:szCs w:val="24"/>
          <w:lang w:eastAsia="en-AU"/>
        </w:rPr>
        <w:t>Urban Forest Act 2023</w:t>
      </w:r>
    </w:p>
    <w:p w14:paraId="5740630B" w14:textId="77777777" w:rsidR="003D032B" w:rsidRDefault="49226BC9" w:rsidP="1701E8FA">
      <w:pPr>
        <w:rPr>
          <w:rFonts w:cs="Arial"/>
        </w:rPr>
      </w:pPr>
      <w:r w:rsidRPr="1701E8FA">
        <w:rPr>
          <w:rFonts w:cs="Arial"/>
        </w:rPr>
        <w:t xml:space="preserve">The Bill makes minor amendments to the </w:t>
      </w:r>
      <w:r w:rsidRPr="1701E8FA">
        <w:rPr>
          <w:rFonts w:cs="Arial"/>
          <w:i/>
          <w:iCs/>
        </w:rPr>
        <w:t>Ur</w:t>
      </w:r>
      <w:r w:rsidR="177918A9" w:rsidRPr="1701E8FA">
        <w:rPr>
          <w:rFonts w:cs="Arial"/>
          <w:i/>
          <w:iCs/>
        </w:rPr>
        <w:t xml:space="preserve">ban Forest Act 2023 </w:t>
      </w:r>
      <w:r w:rsidR="177918A9" w:rsidRPr="1701E8FA">
        <w:rPr>
          <w:rFonts w:cs="Arial"/>
        </w:rPr>
        <w:t>to correct a drafting error to sectio</w:t>
      </w:r>
      <w:r w:rsidR="0FB1CB83" w:rsidRPr="1701E8FA">
        <w:rPr>
          <w:rFonts w:cs="Arial"/>
        </w:rPr>
        <w:t xml:space="preserve">n 21 of the Act. </w:t>
      </w:r>
      <w:r w:rsidR="5385BD64" w:rsidRPr="1701E8FA">
        <w:rPr>
          <w:rFonts w:cs="Arial"/>
        </w:rPr>
        <w:t xml:space="preserve">The Act was introduced to protect trees on private and public land in the ACT under a single piece of legislation. </w:t>
      </w:r>
    </w:p>
    <w:p w14:paraId="6D642823" w14:textId="38ACC64E" w:rsidR="00B41583" w:rsidRDefault="5385BD64" w:rsidP="1701E8FA">
      <w:pPr>
        <w:rPr>
          <w:rFonts w:cs="Arial"/>
        </w:rPr>
      </w:pPr>
      <w:r w:rsidRPr="1701E8FA">
        <w:rPr>
          <w:rFonts w:cs="Arial"/>
        </w:rPr>
        <w:t xml:space="preserve">The inclusion of the word ‘leased’ in section 21 </w:t>
      </w:r>
      <w:r w:rsidR="0FB1CB83" w:rsidRPr="1701E8FA">
        <w:rPr>
          <w:rFonts w:cs="Arial"/>
        </w:rPr>
        <w:t xml:space="preserve">resulted in there being no legislative mechanism to process an application to remove trees on public land outside of a development application under the </w:t>
      </w:r>
      <w:r w:rsidR="0FB1CB83" w:rsidRPr="1701E8FA">
        <w:rPr>
          <w:rFonts w:cs="Arial"/>
          <w:i/>
          <w:iCs/>
        </w:rPr>
        <w:t>Planning Act 2023</w:t>
      </w:r>
      <w:r w:rsidR="0FB1CB83" w:rsidRPr="1701E8FA">
        <w:rPr>
          <w:rFonts w:cs="Arial"/>
        </w:rPr>
        <w:t>.</w:t>
      </w:r>
      <w:r w:rsidR="37DBA2CB" w:rsidRPr="1701E8FA">
        <w:rPr>
          <w:rFonts w:cs="Arial"/>
        </w:rPr>
        <w:t xml:space="preserve"> This amendment will ensure the original intent of the Act is achieved.</w:t>
      </w:r>
    </w:p>
    <w:p w14:paraId="602BAF37" w14:textId="45E8A09B" w:rsidR="56A2F885" w:rsidRDefault="56A2F885" w:rsidP="1701E8FA">
      <w:pPr>
        <w:rPr>
          <w:rFonts w:cs="Arial"/>
        </w:rPr>
      </w:pPr>
      <w:r w:rsidRPr="1701E8FA">
        <w:rPr>
          <w:rFonts w:cs="Arial"/>
        </w:rPr>
        <w:t xml:space="preserve">The Bill makes </w:t>
      </w:r>
      <w:r w:rsidR="0FB1CB83" w:rsidRPr="1701E8FA">
        <w:rPr>
          <w:rFonts w:cs="Arial"/>
        </w:rPr>
        <w:t>minor amendments to section 34 to c</w:t>
      </w:r>
      <w:r w:rsidR="659BE6F2" w:rsidRPr="1701E8FA">
        <w:rPr>
          <w:rFonts w:cs="Arial"/>
        </w:rPr>
        <w:t>orrect</w:t>
      </w:r>
      <w:r w:rsidR="0FB1CB83" w:rsidRPr="1701E8FA">
        <w:rPr>
          <w:rFonts w:cs="Arial"/>
        </w:rPr>
        <w:t xml:space="preserve"> the definition of decision-maker by removing the word conservator and replacing with planning authority and amend</w:t>
      </w:r>
      <w:r w:rsidR="44D37352" w:rsidRPr="1701E8FA">
        <w:rPr>
          <w:rFonts w:cs="Arial"/>
        </w:rPr>
        <w:t>s</w:t>
      </w:r>
      <w:r w:rsidR="0FB1CB83" w:rsidRPr="1701E8FA">
        <w:rPr>
          <w:rFonts w:cs="Arial"/>
        </w:rPr>
        <w:t xml:space="preserve"> the Dictionary definition of decision-maker to reflect the amended section 34 definition.</w:t>
      </w:r>
    </w:p>
    <w:p w14:paraId="303C5975" w14:textId="2C88B6D5" w:rsidR="238A9E58" w:rsidRDefault="238A9E58" w:rsidP="1701E8FA">
      <w:pPr>
        <w:rPr>
          <w:rFonts w:cs="Arial"/>
        </w:rPr>
      </w:pPr>
      <w:r w:rsidRPr="1701E8FA">
        <w:rPr>
          <w:rFonts w:cs="Arial"/>
        </w:rPr>
        <w:t xml:space="preserve">The Bill also </w:t>
      </w:r>
      <w:r w:rsidR="7B52C7B1" w:rsidRPr="1701E8FA">
        <w:rPr>
          <w:rFonts w:cs="Arial"/>
        </w:rPr>
        <w:t xml:space="preserve">amends section 35 (4)(b) to provide greater clarity in relation to the circumstances </w:t>
      </w:r>
      <w:r w:rsidR="43E2CE9E" w:rsidRPr="1701E8FA">
        <w:rPr>
          <w:rFonts w:cs="Arial"/>
        </w:rPr>
        <w:t>in which a person need not enter into a canopy contribution agreement.</w:t>
      </w:r>
      <w:r w:rsidRPr="1701E8FA">
        <w:rPr>
          <w:rFonts w:cs="Arial"/>
        </w:rPr>
        <w:t xml:space="preserve"> </w:t>
      </w:r>
    </w:p>
    <w:p w14:paraId="3AEA08CE" w14:textId="79734601" w:rsidR="00B41583" w:rsidRPr="00B41583" w:rsidRDefault="00B41583" w:rsidP="386DF245">
      <w:pPr>
        <w:rPr>
          <w:rFonts w:ascii="Calibri" w:eastAsia="Calibri" w:hAnsi="Calibri" w:cs="Calibri"/>
          <w:szCs w:val="24"/>
        </w:rPr>
      </w:pPr>
      <w:r w:rsidRPr="386DF245">
        <w:rPr>
          <w:rFonts w:cs="Arial"/>
          <w:b/>
          <w:bCs/>
          <w:i/>
          <w:iCs/>
          <w:lang w:eastAsia="en-AU"/>
        </w:rPr>
        <w:t>Discrimination Act 1991</w:t>
      </w:r>
    </w:p>
    <w:p w14:paraId="2C2CD52D" w14:textId="2AC26B06" w:rsidR="00B41583" w:rsidRPr="00B41583" w:rsidRDefault="2E79FB45" w:rsidP="386DF245">
      <w:pPr>
        <w:rPr>
          <w:rFonts w:eastAsia="Arial" w:cs="Arial"/>
          <w:szCs w:val="24"/>
        </w:rPr>
      </w:pPr>
      <w:r w:rsidRPr="386DF245">
        <w:rPr>
          <w:rFonts w:eastAsia="Arial" w:cs="Arial"/>
          <w:szCs w:val="24"/>
        </w:rPr>
        <w:t xml:space="preserve">The Bill makes a technical amendment to the </w:t>
      </w:r>
      <w:r w:rsidRPr="386DF245">
        <w:rPr>
          <w:rFonts w:eastAsia="Arial" w:cs="Arial"/>
          <w:i/>
          <w:iCs/>
          <w:szCs w:val="24"/>
        </w:rPr>
        <w:t>Discrimination Act 1991</w:t>
      </w:r>
      <w:r w:rsidRPr="386DF245">
        <w:rPr>
          <w:rFonts w:eastAsia="Arial" w:cs="Arial"/>
          <w:szCs w:val="24"/>
        </w:rPr>
        <w:t xml:space="preserve"> to rectify an </w:t>
      </w:r>
      <w:r w:rsidR="5E9CB1F7" w:rsidRPr="386DF245">
        <w:rPr>
          <w:rFonts w:eastAsia="Arial" w:cs="Arial"/>
          <w:szCs w:val="24"/>
        </w:rPr>
        <w:t>oversight in</w:t>
      </w:r>
      <w:r w:rsidRPr="386DF245">
        <w:rPr>
          <w:rFonts w:eastAsia="Arial" w:cs="Arial"/>
          <w:szCs w:val="24"/>
        </w:rPr>
        <w:t xml:space="preserve"> the drafting of an amendment introduced in the </w:t>
      </w:r>
      <w:r w:rsidRPr="386DF245">
        <w:rPr>
          <w:rFonts w:eastAsia="Arial" w:cs="Arial"/>
          <w:i/>
          <w:iCs/>
          <w:szCs w:val="24"/>
        </w:rPr>
        <w:t>Justice and Community Safety Legislation Amendment Act 2023</w:t>
      </w:r>
      <w:r w:rsidRPr="386DF245">
        <w:rPr>
          <w:rFonts w:eastAsia="Arial" w:cs="Arial"/>
          <w:szCs w:val="24"/>
        </w:rPr>
        <w:t xml:space="preserve"> (JACS Act 2023 (No 3)).</w:t>
      </w:r>
    </w:p>
    <w:p w14:paraId="5563DD9F" w14:textId="7357EE9D" w:rsidR="00B41583" w:rsidRPr="00B41583" w:rsidRDefault="2E79FB45" w:rsidP="386DF245">
      <w:pPr>
        <w:rPr>
          <w:rFonts w:eastAsia="Arial" w:cs="Arial"/>
          <w:szCs w:val="24"/>
        </w:rPr>
      </w:pPr>
      <w:r w:rsidRPr="386DF245">
        <w:rPr>
          <w:rFonts w:eastAsia="Arial" w:cs="Arial"/>
          <w:szCs w:val="24"/>
        </w:rPr>
        <w:t xml:space="preserve">The </w:t>
      </w:r>
      <w:r w:rsidRPr="00D62802">
        <w:rPr>
          <w:rFonts w:eastAsia="Arial" w:cs="Arial"/>
          <w:i/>
          <w:iCs/>
          <w:szCs w:val="24"/>
        </w:rPr>
        <w:t>J</w:t>
      </w:r>
      <w:r w:rsidRPr="386DF245">
        <w:rPr>
          <w:rFonts w:eastAsia="Arial" w:cs="Arial"/>
          <w:i/>
          <w:iCs/>
          <w:szCs w:val="24"/>
        </w:rPr>
        <w:t>ACS Act 2023 (No 3)</w:t>
      </w:r>
      <w:r w:rsidRPr="386DF245">
        <w:rPr>
          <w:rFonts w:eastAsia="Arial" w:cs="Arial"/>
          <w:szCs w:val="24"/>
        </w:rPr>
        <w:t xml:space="preserve"> added section 32 (1) (ea) into the D</w:t>
      </w:r>
      <w:r w:rsidRPr="386DF245">
        <w:rPr>
          <w:rFonts w:eastAsia="Arial" w:cs="Arial"/>
          <w:i/>
          <w:iCs/>
          <w:szCs w:val="24"/>
        </w:rPr>
        <w:t>iscrimination Amendment Act 2023</w:t>
      </w:r>
      <w:r w:rsidRPr="386DF245">
        <w:rPr>
          <w:rFonts w:eastAsia="Arial" w:cs="Arial"/>
          <w:szCs w:val="24"/>
        </w:rPr>
        <w:t xml:space="preserve">, to ensure that the special measure exception from discrimination law for religious bodies who provide accommodation for members of a relevant class of people was subject to the qualification in section 32(3) that it does not apply to religious bodies whose sole or main purpose is commercial. In making </w:t>
      </w:r>
      <w:r w:rsidRPr="386DF245">
        <w:rPr>
          <w:rFonts w:eastAsia="Arial" w:cs="Arial"/>
          <w:szCs w:val="24"/>
        </w:rPr>
        <w:lastRenderedPageBreak/>
        <w:t xml:space="preserve">this amendment to move the accommodation exception to sit under section 32(1), the accommodation exception in section 32(4) should have been omitted, but this corresponding amendment was not made in the </w:t>
      </w:r>
      <w:r w:rsidRPr="386DF245">
        <w:rPr>
          <w:rFonts w:eastAsia="Arial" w:cs="Arial"/>
          <w:i/>
          <w:iCs/>
          <w:szCs w:val="24"/>
        </w:rPr>
        <w:t>JACS Act 2023 (No 3)</w:t>
      </w:r>
      <w:r w:rsidRPr="386DF245">
        <w:rPr>
          <w:rFonts w:eastAsia="Arial" w:cs="Arial"/>
          <w:szCs w:val="24"/>
        </w:rPr>
        <w:t>. Th</w:t>
      </w:r>
      <w:r w:rsidR="55FCE7BA" w:rsidRPr="386DF245">
        <w:rPr>
          <w:rFonts w:eastAsia="Arial" w:cs="Arial"/>
          <w:szCs w:val="24"/>
        </w:rPr>
        <w:t xml:space="preserve">e Bill </w:t>
      </w:r>
      <w:r w:rsidRPr="386DF245">
        <w:rPr>
          <w:rFonts w:eastAsia="Arial" w:cs="Arial"/>
          <w:szCs w:val="24"/>
        </w:rPr>
        <w:t xml:space="preserve">rectifies the drafting oversight in the </w:t>
      </w:r>
      <w:r w:rsidRPr="386DF245">
        <w:rPr>
          <w:rFonts w:eastAsia="Arial" w:cs="Arial"/>
          <w:i/>
          <w:iCs/>
          <w:szCs w:val="24"/>
        </w:rPr>
        <w:t>JACS Act 2023 (No 3)</w:t>
      </w:r>
      <w:r w:rsidRPr="386DF245">
        <w:rPr>
          <w:rFonts w:eastAsia="Arial" w:cs="Arial"/>
          <w:szCs w:val="24"/>
        </w:rPr>
        <w:t xml:space="preserve"> by omitting the duplicate provision in section 32(4).</w:t>
      </w:r>
    </w:p>
    <w:p w14:paraId="7A2DC4D4" w14:textId="77777777" w:rsidR="00956BD7" w:rsidRPr="00F106BB" w:rsidRDefault="28EB0095" w:rsidP="00956BD7">
      <w:pPr>
        <w:pStyle w:val="Heading2"/>
        <w:jc w:val="both"/>
        <w:rPr>
          <w:rFonts w:asciiTheme="minorHAnsi" w:hAnsiTheme="minorHAnsi" w:cstheme="minorHAnsi"/>
          <w:szCs w:val="24"/>
        </w:rPr>
      </w:pPr>
      <w:r w:rsidRPr="01A5810D">
        <w:rPr>
          <w:rFonts w:asciiTheme="minorHAnsi" w:hAnsiTheme="minorHAnsi" w:cstheme="minorBidi"/>
        </w:rPr>
        <w:t>CONSISTENCY WITH HUMAN RIGHTS</w:t>
      </w:r>
    </w:p>
    <w:bookmarkEnd w:id="1"/>
    <w:p w14:paraId="35615621" w14:textId="4D20D55E" w:rsidR="00AD2572" w:rsidRDefault="00AD2572" w:rsidP="1701E8FA">
      <w:pPr>
        <w:pStyle w:val="Heading2"/>
        <w:rPr>
          <w:rFonts w:eastAsia="Times New Roman" w:cs="Arial"/>
          <w:bCs/>
          <w:i/>
          <w:iCs/>
        </w:rPr>
      </w:pPr>
      <w:r>
        <w:rPr>
          <w:rFonts w:eastAsia="Times New Roman" w:cs="Arial"/>
          <w:bCs/>
          <w:i/>
          <w:iCs/>
        </w:rPr>
        <w:t>Rights engaged</w:t>
      </w:r>
    </w:p>
    <w:p w14:paraId="170E6461" w14:textId="77777777" w:rsidR="008121B6" w:rsidRDefault="008121B6" w:rsidP="008121B6">
      <w:r>
        <w:t xml:space="preserve">The amendments to the </w:t>
      </w:r>
      <w:r w:rsidRPr="00E03FD1">
        <w:rPr>
          <w:i/>
          <w:iCs/>
        </w:rPr>
        <w:t>Human Rights Act 2004</w:t>
      </w:r>
      <w:r>
        <w:t xml:space="preserve"> and </w:t>
      </w:r>
      <w:r w:rsidRPr="00E03FD1">
        <w:rPr>
          <w:i/>
          <w:iCs/>
        </w:rPr>
        <w:t>Human Rights Commission Act 2005</w:t>
      </w:r>
      <w:r>
        <w:t xml:space="preserve"> potentially engage rights, including the right to fair hearing, by clarifying that the human rights complaints mechanism will not apply to complaints about ACT police officers.</w:t>
      </w:r>
    </w:p>
    <w:p w14:paraId="50127E48" w14:textId="4C79E711" w:rsidR="008121B6" w:rsidRPr="00E03FD1" w:rsidRDefault="008121B6" w:rsidP="00E03FD1">
      <w:r>
        <w:t>However, this amendment does not substantively limit rights because the ACT Legislative Assembly does not have legislative power to bind the Australian Federal Police or its officers to an enforcement mechanism of this nature without Commonwealth agreement.</w:t>
      </w:r>
    </w:p>
    <w:p w14:paraId="129DD0A6" w14:textId="73B30204" w:rsidR="004A549C" w:rsidRDefault="4C0E2BCF" w:rsidP="1701E8FA">
      <w:pPr>
        <w:pStyle w:val="Heading2"/>
        <w:rPr>
          <w:rFonts w:eastAsia="Times New Roman" w:cs="Arial"/>
          <w:bCs/>
          <w:i/>
          <w:iCs/>
        </w:rPr>
      </w:pPr>
      <w:r w:rsidRPr="1701E8FA">
        <w:rPr>
          <w:rFonts w:eastAsia="Times New Roman" w:cs="Arial"/>
          <w:bCs/>
          <w:i/>
          <w:iCs/>
        </w:rPr>
        <w:t>Rights promoted</w:t>
      </w:r>
    </w:p>
    <w:p w14:paraId="1C70F173" w14:textId="3A7496DE" w:rsidR="004A549C" w:rsidRDefault="4C0E2BCF" w:rsidP="1701E8FA">
      <w:r>
        <w:t xml:space="preserve">The amendment to the </w:t>
      </w:r>
      <w:r w:rsidRPr="25AABDD4">
        <w:rPr>
          <w:i/>
          <w:iCs/>
        </w:rPr>
        <w:t>Court Procedures Act 2004</w:t>
      </w:r>
      <w:r>
        <w:t xml:space="preserve"> will promote the right to protection of the family and children</w:t>
      </w:r>
      <w:r w:rsidR="1E8A23CB">
        <w:t xml:space="preserve"> and cultural (s </w:t>
      </w:r>
      <w:r w:rsidR="3979758F">
        <w:t>11</w:t>
      </w:r>
      <w:r w:rsidR="1E8A23CB">
        <w:t xml:space="preserve">, </w:t>
      </w:r>
      <w:r w:rsidR="1E8A23CB" w:rsidRPr="25AABDD4">
        <w:rPr>
          <w:i/>
          <w:iCs/>
        </w:rPr>
        <w:t>Human Rights Act</w:t>
      </w:r>
      <w:r w:rsidR="1E8A23CB">
        <w:t xml:space="preserve">) and other rights of Aboriginal and Torres Strait Islander peoples (s </w:t>
      </w:r>
      <w:r w:rsidR="34BDE4F4">
        <w:t>27</w:t>
      </w:r>
      <w:r w:rsidR="1E8A23CB">
        <w:t xml:space="preserve">, </w:t>
      </w:r>
      <w:r w:rsidR="1E8A23CB" w:rsidRPr="25AABDD4">
        <w:rPr>
          <w:i/>
          <w:iCs/>
        </w:rPr>
        <w:t>Human Rights Act</w:t>
      </w:r>
      <w:r w:rsidR="1E8A23CB">
        <w:t>)</w:t>
      </w:r>
      <w:r>
        <w:t xml:space="preserve"> by clarifying the role of the Aboriginal and Torres Strait Islander Children and Y</w:t>
      </w:r>
      <w:r w:rsidR="2BDD36E3">
        <w:t xml:space="preserve">oung People Commissioner </w:t>
      </w:r>
      <w:r w:rsidR="3D739F71">
        <w:t>in Children’s Court proceedings. The Commissioner will promote the rights of First Nations children, including their cultural rights, through their individual advocacy function.</w:t>
      </w:r>
    </w:p>
    <w:p w14:paraId="13BC1E11" w14:textId="4FF5FA43" w:rsidR="1F696F59" w:rsidRDefault="1F696F59" w:rsidP="25AABDD4">
      <w:r w:rsidRPr="25AABDD4">
        <w:rPr>
          <w:rFonts w:eastAsia="Arial" w:cs="Arial"/>
          <w:b/>
          <w:bCs/>
          <w:i/>
          <w:iCs/>
          <w:szCs w:val="24"/>
        </w:rPr>
        <w:t>Rights limited</w:t>
      </w:r>
    </w:p>
    <w:p w14:paraId="012E7C0B" w14:textId="77777777" w:rsidR="003D032B" w:rsidRDefault="1F696F59" w:rsidP="25AABDD4">
      <w:pPr>
        <w:spacing w:after="0"/>
        <w:ind w:left="-30" w:right="-30"/>
        <w:rPr>
          <w:rFonts w:eastAsia="Arial" w:cs="Arial"/>
          <w:szCs w:val="24"/>
        </w:rPr>
      </w:pPr>
      <w:r w:rsidRPr="25AABDD4">
        <w:rPr>
          <w:rFonts w:eastAsia="Arial" w:cs="Arial"/>
          <w:szCs w:val="24"/>
        </w:rPr>
        <w:t>The preamble to the</w:t>
      </w:r>
      <w:r w:rsidR="008B5CF0">
        <w:rPr>
          <w:rFonts w:eastAsia="Arial" w:cs="Arial"/>
          <w:szCs w:val="24"/>
        </w:rPr>
        <w:t xml:space="preserve"> </w:t>
      </w:r>
      <w:r w:rsidR="008B5CF0" w:rsidRPr="00EE402E">
        <w:rPr>
          <w:rFonts w:eastAsia="Arial" w:cs="Arial"/>
          <w:i/>
          <w:iCs/>
          <w:szCs w:val="24"/>
        </w:rPr>
        <w:t>Human Rights Act 2004</w:t>
      </w:r>
      <w:r w:rsidR="008B5CF0" w:rsidRPr="008B5CF0">
        <w:rPr>
          <w:rFonts w:eastAsia="Arial" w:cs="Arial"/>
          <w:szCs w:val="24"/>
        </w:rPr>
        <w:t xml:space="preserve"> </w:t>
      </w:r>
      <w:r w:rsidR="008B5CF0">
        <w:rPr>
          <w:rFonts w:eastAsia="Arial" w:cs="Arial"/>
          <w:szCs w:val="24"/>
        </w:rPr>
        <w:t>(</w:t>
      </w:r>
      <w:r w:rsidRPr="25AABDD4">
        <w:rPr>
          <w:rFonts w:eastAsia="Arial" w:cs="Arial"/>
          <w:szCs w:val="24"/>
        </w:rPr>
        <w:t>HRA</w:t>
      </w:r>
      <w:r w:rsidR="008B5CF0">
        <w:rPr>
          <w:rFonts w:eastAsia="Arial" w:cs="Arial"/>
          <w:szCs w:val="24"/>
        </w:rPr>
        <w:t>)</w:t>
      </w:r>
      <w:r w:rsidRPr="25AABDD4">
        <w:rPr>
          <w:rFonts w:eastAsia="Arial" w:cs="Arial"/>
          <w:szCs w:val="24"/>
        </w:rPr>
        <w:t xml:space="preserve"> notes that few rights are absolute and that they may be subject to reasonable limits in law that can be demonstrably justified in a free and democratic society. </w:t>
      </w:r>
    </w:p>
    <w:p w14:paraId="3C617F11" w14:textId="5C248C7D" w:rsidR="1F696F59" w:rsidRDefault="1F696F59" w:rsidP="25AABDD4">
      <w:pPr>
        <w:spacing w:after="0"/>
        <w:ind w:left="-30" w:right="-30"/>
        <w:rPr>
          <w:rFonts w:eastAsia="Arial" w:cs="Arial"/>
          <w:szCs w:val="24"/>
        </w:rPr>
      </w:pPr>
      <w:r w:rsidRPr="25AABDD4">
        <w:rPr>
          <w:rFonts w:eastAsia="Arial" w:cs="Arial"/>
          <w:szCs w:val="24"/>
        </w:rPr>
        <w:t xml:space="preserve">Section 28 (2) of the HRA contains the framework that is used to determine the acceptable limitations that may be placed on human rights. </w:t>
      </w:r>
    </w:p>
    <w:p w14:paraId="1760B644" w14:textId="77777777" w:rsidR="008B5CF0" w:rsidRDefault="008B5CF0" w:rsidP="25AABDD4">
      <w:pPr>
        <w:spacing w:after="0"/>
        <w:ind w:left="-30" w:right="-30"/>
      </w:pPr>
    </w:p>
    <w:p w14:paraId="391CDB4A" w14:textId="52C31928" w:rsidR="1F696F59" w:rsidRDefault="1F696F59" w:rsidP="25AABDD4">
      <w:pPr>
        <w:spacing w:after="0"/>
        <w:ind w:left="-30" w:right="-30"/>
      </w:pPr>
      <w:r w:rsidRPr="25AABDD4">
        <w:rPr>
          <w:rFonts w:eastAsia="Arial" w:cs="Arial"/>
          <w:szCs w:val="24"/>
        </w:rPr>
        <w:t xml:space="preserve">Section 28 of the HRA requires that any limitation on a human right be authorised by a Territory law, be based on evidence, and be reasonable to achieve a legitimate aim. Whether a limitation is reasonable depends on whether it is proportionate. Proportionality can be understood and assessed as explained in </w:t>
      </w:r>
      <w:r w:rsidRPr="25AABDD4">
        <w:rPr>
          <w:rFonts w:eastAsia="Arial" w:cs="Arial"/>
          <w:i/>
          <w:iCs/>
          <w:szCs w:val="24"/>
        </w:rPr>
        <w:t>R. v. Oakes</w:t>
      </w:r>
      <w:r w:rsidRPr="25AABDD4">
        <w:rPr>
          <w:rFonts w:eastAsia="Arial" w:cs="Arial"/>
          <w:szCs w:val="24"/>
        </w:rPr>
        <w:t xml:space="preserve">, [1986] 1 S.C.R. 103 at 70. A party must show: </w:t>
      </w:r>
    </w:p>
    <w:p w14:paraId="0E0940C4" w14:textId="427E4312" w:rsidR="1F696F59" w:rsidRDefault="008B5CF0" w:rsidP="25AABDD4">
      <w:pPr>
        <w:shd w:val="clear" w:color="auto" w:fill="FFFFFF" w:themeFill="background1"/>
        <w:spacing w:after="0"/>
        <w:ind w:left="-30" w:right="510"/>
      </w:pPr>
      <w:r>
        <w:rPr>
          <w:rFonts w:eastAsia="Arial" w:cs="Arial"/>
          <w:i/>
          <w:iCs/>
          <w:color w:val="000000" w:themeColor="text1"/>
          <w:szCs w:val="24"/>
        </w:rPr>
        <w:t>‘</w:t>
      </w:r>
      <w:r w:rsidR="1F696F59" w:rsidRPr="25AABDD4">
        <w:rPr>
          <w:rFonts w:eastAsia="Arial" w:cs="Arial"/>
          <w:i/>
          <w:iCs/>
          <w:color w:val="000000" w:themeColor="text1"/>
          <w:szCs w:val="24"/>
        </w:rPr>
        <w:t xml:space="preserve">… [f]irst,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w:t>
      </w:r>
      <w:r w:rsidR="1F696F59" w:rsidRPr="25AABDD4">
        <w:rPr>
          <w:rFonts w:eastAsia="Arial" w:cs="Arial"/>
          <w:i/>
          <w:iCs/>
          <w:color w:val="000000" w:themeColor="text1"/>
          <w:szCs w:val="24"/>
        </w:rPr>
        <w:lastRenderedPageBreak/>
        <w:t>Third, there must be a proportionality between the effects of the measures which are responsible for limiting the Charter right or freedom, and the objective which has been identified as of “sufficient importance”.</w:t>
      </w:r>
      <w:r>
        <w:rPr>
          <w:rFonts w:eastAsia="Arial" w:cs="Arial"/>
          <w:i/>
          <w:iCs/>
          <w:color w:val="000000" w:themeColor="text1"/>
          <w:szCs w:val="24"/>
        </w:rPr>
        <w:t>’</w:t>
      </w:r>
      <w:r w:rsidR="1F696F59" w:rsidRPr="25AABDD4">
        <w:rPr>
          <w:rFonts w:eastAsia="Arial" w:cs="Arial"/>
          <w:color w:val="000000" w:themeColor="text1"/>
          <w:szCs w:val="24"/>
        </w:rPr>
        <w:t xml:space="preserve"> </w:t>
      </w:r>
    </w:p>
    <w:p w14:paraId="2C35C28B" w14:textId="5EF1D0E8" w:rsidR="1F696F59" w:rsidRDefault="1F696F59" w:rsidP="25AABDD4">
      <w:pPr>
        <w:spacing w:after="0"/>
        <w:ind w:left="-30" w:right="-30"/>
      </w:pPr>
      <w:r w:rsidRPr="25AABDD4">
        <w:rPr>
          <w:rFonts w:eastAsia="Arial" w:cs="Arial"/>
          <w:szCs w:val="24"/>
          <w:lang w:val="en-GB"/>
        </w:rPr>
        <w:t xml:space="preserve"> </w:t>
      </w:r>
    </w:p>
    <w:p w14:paraId="033C1366" w14:textId="62EE7C51" w:rsidR="1F696F59" w:rsidRDefault="1F696F59" w:rsidP="25AABDD4">
      <w:pPr>
        <w:spacing w:after="0"/>
        <w:ind w:left="-30" w:right="-30"/>
      </w:pPr>
      <w:r w:rsidRPr="25AABDD4">
        <w:rPr>
          <w:rFonts w:eastAsia="Arial" w:cs="Arial"/>
          <w:szCs w:val="24"/>
        </w:rPr>
        <w:t xml:space="preserve">The Bill engages and may limit the: </w:t>
      </w:r>
    </w:p>
    <w:p w14:paraId="4F883FE8" w14:textId="45E1F2A0" w:rsidR="1F696F59" w:rsidRDefault="1F696F59" w:rsidP="25AABDD4">
      <w:pPr>
        <w:spacing w:after="0"/>
      </w:pPr>
      <w:r w:rsidRPr="25AABDD4">
        <w:rPr>
          <w:rFonts w:eastAsia="Arial" w:cs="Arial"/>
          <w:szCs w:val="24"/>
          <w:lang w:val="en-GB"/>
        </w:rPr>
        <w:t xml:space="preserve"> </w:t>
      </w:r>
    </w:p>
    <w:p w14:paraId="6BDDD3FF" w14:textId="0D9DE757" w:rsidR="1F696F59" w:rsidRDefault="1F696F59" w:rsidP="00FC4545">
      <w:pPr>
        <w:pStyle w:val="ListParagraph"/>
        <w:numPr>
          <w:ilvl w:val="0"/>
          <w:numId w:val="18"/>
        </w:numPr>
        <w:ind w:left="1080"/>
        <w:rPr>
          <w:rFonts w:eastAsia="Arial" w:cs="Arial"/>
          <w:szCs w:val="24"/>
        </w:rPr>
      </w:pPr>
      <w:r w:rsidRPr="25AABDD4">
        <w:rPr>
          <w:rFonts w:eastAsia="Arial" w:cs="Arial"/>
          <w:szCs w:val="24"/>
        </w:rPr>
        <w:t xml:space="preserve">Right to privacy and reputation (section 12); </w:t>
      </w:r>
    </w:p>
    <w:p w14:paraId="7F39CF8D" w14:textId="0642BD37" w:rsidR="1F696F59" w:rsidRDefault="1F696F59" w:rsidP="00FC4545">
      <w:pPr>
        <w:pStyle w:val="ListParagraph"/>
        <w:numPr>
          <w:ilvl w:val="0"/>
          <w:numId w:val="18"/>
        </w:numPr>
        <w:ind w:left="1080"/>
        <w:rPr>
          <w:rFonts w:eastAsia="Arial" w:cs="Arial"/>
          <w:szCs w:val="24"/>
        </w:rPr>
      </w:pPr>
      <w:r w:rsidRPr="25AABDD4">
        <w:rPr>
          <w:rFonts w:eastAsia="Arial" w:cs="Arial"/>
          <w:szCs w:val="24"/>
        </w:rPr>
        <w:t xml:space="preserve">Right to liberty and security of person (section 18); and </w:t>
      </w:r>
    </w:p>
    <w:p w14:paraId="4239D923" w14:textId="55BD4ABA" w:rsidR="1F696F59" w:rsidRDefault="1F696F59" w:rsidP="00FC4545">
      <w:pPr>
        <w:pStyle w:val="ListParagraph"/>
        <w:numPr>
          <w:ilvl w:val="0"/>
          <w:numId w:val="18"/>
        </w:numPr>
        <w:ind w:left="1080"/>
        <w:rPr>
          <w:rFonts w:eastAsia="Arial" w:cs="Arial"/>
          <w:szCs w:val="24"/>
          <w:lang w:val="en-GB"/>
        </w:rPr>
      </w:pPr>
      <w:r w:rsidRPr="25AABDD4">
        <w:rPr>
          <w:rFonts w:eastAsia="Arial" w:cs="Arial"/>
          <w:szCs w:val="24"/>
          <w:lang w:val="en-GB"/>
        </w:rPr>
        <w:t>Right to work (section 27B).</w:t>
      </w:r>
    </w:p>
    <w:p w14:paraId="5D43F3C3" w14:textId="5C45B421" w:rsidR="1F696F59" w:rsidRDefault="1F696F59" w:rsidP="25AABDD4">
      <w:pPr>
        <w:spacing w:after="0"/>
      </w:pPr>
      <w:r w:rsidRPr="25AABDD4">
        <w:rPr>
          <w:rFonts w:eastAsia="Arial" w:cs="Arial"/>
          <w:szCs w:val="24"/>
          <w:lang w:val="en-GB"/>
        </w:rPr>
        <w:t xml:space="preserve"> </w:t>
      </w:r>
    </w:p>
    <w:p w14:paraId="4371DDF1" w14:textId="2C691946" w:rsidR="1F696F59" w:rsidRDefault="1F696F59" w:rsidP="25AABDD4">
      <w:pPr>
        <w:spacing w:after="0"/>
      </w:pPr>
      <w:r w:rsidRPr="25AABDD4">
        <w:rPr>
          <w:rFonts w:eastAsia="Arial" w:cs="Arial"/>
          <w:szCs w:val="24"/>
        </w:rPr>
        <w:t xml:space="preserve">The ways in which the Bill does this are set out below. </w:t>
      </w:r>
      <w:r>
        <w:br/>
      </w:r>
      <w:r w:rsidRPr="25AABDD4">
        <w:rPr>
          <w:rFonts w:eastAsia="Arial" w:cs="Arial"/>
          <w:szCs w:val="24"/>
          <w:lang w:val="en-GB"/>
        </w:rPr>
        <w:t xml:space="preserve">  </w:t>
      </w:r>
    </w:p>
    <w:p w14:paraId="49E60BCD" w14:textId="00DFED1F" w:rsidR="1F696F59" w:rsidRDefault="1F696F59" w:rsidP="25AABDD4">
      <w:pPr>
        <w:spacing w:after="0"/>
        <w:rPr>
          <w:rFonts w:eastAsia="Arial" w:cs="Arial"/>
          <w:szCs w:val="24"/>
        </w:rPr>
      </w:pPr>
      <w:r w:rsidRPr="25AABDD4">
        <w:rPr>
          <w:rFonts w:eastAsia="Arial" w:cs="Arial"/>
          <w:szCs w:val="24"/>
          <w:u w:val="single"/>
        </w:rPr>
        <w:t>Right to privacy – security industry reforms – disclosure of personal information in relation to the positive disclosure duty</w:t>
      </w:r>
      <w:r w:rsidRPr="25AABDD4">
        <w:rPr>
          <w:rFonts w:eastAsia="Arial" w:cs="Arial"/>
          <w:szCs w:val="24"/>
          <w:u w:val="single"/>
          <w:lang w:val="en-GB"/>
        </w:rPr>
        <w:t xml:space="preserve"> under new section 29AA</w:t>
      </w:r>
      <w:r>
        <w:br/>
      </w:r>
      <w:r w:rsidRPr="25AABDD4">
        <w:rPr>
          <w:rFonts w:eastAsia="Arial" w:cs="Arial"/>
          <w:szCs w:val="24"/>
        </w:rPr>
        <w:t xml:space="preserve"> </w:t>
      </w:r>
    </w:p>
    <w:p w14:paraId="0F17D039" w14:textId="442442A3" w:rsidR="1F696F59" w:rsidRDefault="1F696F59" w:rsidP="00FC4545">
      <w:pPr>
        <w:pStyle w:val="ListParagraph"/>
        <w:numPr>
          <w:ilvl w:val="0"/>
          <w:numId w:val="17"/>
        </w:numPr>
        <w:ind w:left="330"/>
        <w:rPr>
          <w:rFonts w:eastAsia="Arial" w:cs="Arial"/>
          <w:szCs w:val="24"/>
        </w:rPr>
      </w:pPr>
      <w:r w:rsidRPr="25AABDD4">
        <w:rPr>
          <w:rFonts w:eastAsia="Arial" w:cs="Arial"/>
          <w:i/>
          <w:iCs/>
          <w:szCs w:val="24"/>
        </w:rPr>
        <w:t>Nature of the right and the limitation (section 28 (a) and (c))</w:t>
      </w:r>
      <w:r w:rsidRPr="25AABDD4">
        <w:rPr>
          <w:rFonts w:eastAsia="Arial" w:cs="Arial"/>
          <w:szCs w:val="24"/>
        </w:rPr>
        <w:t xml:space="preserve"> </w:t>
      </w:r>
    </w:p>
    <w:p w14:paraId="5A0A6E21" w14:textId="4A4FF35E" w:rsidR="1F696F59" w:rsidRDefault="1F696F59" w:rsidP="25AABDD4">
      <w:pPr>
        <w:spacing w:after="0"/>
      </w:pPr>
      <w:r w:rsidRPr="25AABDD4">
        <w:rPr>
          <w:rFonts w:eastAsia="Arial" w:cs="Arial"/>
          <w:szCs w:val="24"/>
          <w:lang w:val="en-GB"/>
        </w:rPr>
        <w:t xml:space="preserve"> </w:t>
      </w:r>
    </w:p>
    <w:p w14:paraId="56945B68" w14:textId="1BDD1A1D" w:rsidR="1F696F59" w:rsidRDefault="1F696F59" w:rsidP="25AABDD4">
      <w:pPr>
        <w:spacing w:after="0"/>
      </w:pPr>
      <w:r w:rsidRPr="25AABDD4">
        <w:rPr>
          <w:rFonts w:eastAsia="Arial" w:cs="Arial"/>
          <w:szCs w:val="24"/>
        </w:rPr>
        <w:t xml:space="preserve">The right to privacy incorporates the right to keep one’s personal information private. The Bill will engage and may limit the right to privacy by requiring the disclosure of personal information where an individual has been convicted or found guilty of a relevant criminal offence.  </w:t>
      </w:r>
    </w:p>
    <w:p w14:paraId="15A9DE76" w14:textId="29988119" w:rsidR="1F696F59" w:rsidRDefault="1F696F59" w:rsidP="25AABDD4">
      <w:pPr>
        <w:spacing w:after="0"/>
      </w:pPr>
    </w:p>
    <w:p w14:paraId="562027DA" w14:textId="5BCE6F13" w:rsidR="1F696F59" w:rsidRDefault="1F696F59" w:rsidP="00FC4545">
      <w:pPr>
        <w:pStyle w:val="ListParagraph"/>
        <w:numPr>
          <w:ilvl w:val="0"/>
          <w:numId w:val="16"/>
        </w:numPr>
        <w:ind w:left="1080"/>
        <w:rPr>
          <w:rFonts w:eastAsia="Arial" w:cs="Arial"/>
          <w:szCs w:val="24"/>
        </w:rPr>
      </w:pPr>
      <w:r w:rsidRPr="25AABDD4">
        <w:rPr>
          <w:rFonts w:eastAsia="Arial" w:cs="Arial"/>
          <w:i/>
          <w:iCs/>
          <w:szCs w:val="24"/>
        </w:rPr>
        <w:t>Legitimate purpose (section 28 (b))</w:t>
      </w:r>
      <w:r w:rsidRPr="25AABDD4">
        <w:rPr>
          <w:rFonts w:eastAsia="Arial" w:cs="Arial"/>
          <w:szCs w:val="24"/>
        </w:rPr>
        <w:t xml:space="preserve"> </w:t>
      </w:r>
    </w:p>
    <w:p w14:paraId="4E8AC22B" w14:textId="40660A40" w:rsidR="1F696F59" w:rsidRDefault="1F696F59" w:rsidP="25AABDD4">
      <w:pPr>
        <w:spacing w:after="0"/>
        <w:ind w:right="-30"/>
      </w:pPr>
      <w:r w:rsidRPr="25AABDD4">
        <w:rPr>
          <w:rFonts w:eastAsia="Arial" w:cs="Arial"/>
          <w:szCs w:val="24"/>
          <w:lang w:val="en-GB"/>
        </w:rPr>
        <w:t xml:space="preserve"> </w:t>
      </w:r>
    </w:p>
    <w:p w14:paraId="66D92378" w14:textId="5354F2D0" w:rsidR="1F696F59" w:rsidRDefault="71DE791C" w:rsidP="01A5810D">
      <w:pPr>
        <w:spacing w:after="0"/>
        <w:ind w:right="-30"/>
        <w:rPr>
          <w:rFonts w:eastAsia="Arial" w:cs="Arial"/>
        </w:rPr>
      </w:pPr>
      <w:r w:rsidRPr="01A5810D">
        <w:rPr>
          <w:rFonts w:eastAsia="Arial" w:cs="Arial"/>
        </w:rPr>
        <w:t xml:space="preserve">The legitimate purpose of the disclosure obligation is to support community safety by ensuring that those who hold security licences in the ACT maintain their eligibility to do so. Requiring prompt disclosure to </w:t>
      </w:r>
      <w:r w:rsidR="5E7319C5" w:rsidRPr="01A5810D">
        <w:rPr>
          <w:rFonts w:eastAsia="Arial" w:cs="Arial"/>
        </w:rPr>
        <w:t>the Commissioner for Fair Trading</w:t>
      </w:r>
      <w:r w:rsidRPr="01A5810D">
        <w:rPr>
          <w:rFonts w:eastAsia="Arial" w:cs="Arial"/>
        </w:rPr>
        <w:t xml:space="preserve"> when a licence holder has been convicted or found guilty of a relevant offence supports Access Canberra to take timely action to cancel a licence when it becomes aware that a person is no longer eligible. This is for the ultimate benefit of the community as it ensures those working in the industry are of good character and can be properly trusted to protect both persons and property.  </w:t>
      </w:r>
    </w:p>
    <w:p w14:paraId="3D1E8CEF" w14:textId="4A791300" w:rsidR="1F696F59" w:rsidRDefault="1F696F59" w:rsidP="25AABDD4">
      <w:pPr>
        <w:spacing w:after="0"/>
      </w:pPr>
      <w:r w:rsidRPr="25AABDD4">
        <w:rPr>
          <w:rFonts w:eastAsia="Arial" w:cs="Arial"/>
          <w:szCs w:val="24"/>
          <w:lang w:val="en-GB"/>
        </w:rPr>
        <w:t xml:space="preserve"> </w:t>
      </w:r>
    </w:p>
    <w:p w14:paraId="504AE9CA" w14:textId="62745F9A" w:rsidR="1F696F59" w:rsidRDefault="1F696F59" w:rsidP="00FC4545">
      <w:pPr>
        <w:pStyle w:val="ListParagraph"/>
        <w:numPr>
          <w:ilvl w:val="0"/>
          <w:numId w:val="15"/>
        </w:numPr>
        <w:ind w:left="1080"/>
        <w:rPr>
          <w:rFonts w:eastAsia="Arial" w:cs="Arial"/>
          <w:szCs w:val="24"/>
        </w:rPr>
      </w:pPr>
      <w:r w:rsidRPr="25AABDD4">
        <w:rPr>
          <w:rFonts w:eastAsia="Arial" w:cs="Arial"/>
          <w:i/>
          <w:iCs/>
          <w:szCs w:val="24"/>
        </w:rPr>
        <w:t>Rational connection between the limitation and the purpose (section 28 (d))</w:t>
      </w:r>
      <w:r w:rsidRPr="25AABDD4">
        <w:rPr>
          <w:rFonts w:eastAsia="Arial" w:cs="Arial"/>
          <w:szCs w:val="24"/>
        </w:rPr>
        <w:t xml:space="preserve"> </w:t>
      </w:r>
    </w:p>
    <w:p w14:paraId="45F5B3B6" w14:textId="57C58D2A" w:rsidR="1F696F59" w:rsidRDefault="71DE791C" w:rsidP="01A5810D">
      <w:pPr>
        <w:spacing w:after="0"/>
        <w:ind w:right="-30"/>
      </w:pPr>
      <w:r w:rsidRPr="01A5810D">
        <w:rPr>
          <w:rFonts w:eastAsia="Arial" w:cs="Arial"/>
        </w:rPr>
        <w:t xml:space="preserve">Requiring the disclosure of personal information in the form of criminal records is rationally connected to the legitimate purpose as it enables </w:t>
      </w:r>
      <w:r w:rsidR="7122AACF" w:rsidRPr="01A5810D">
        <w:rPr>
          <w:rFonts w:eastAsia="Arial" w:cs="Arial"/>
        </w:rPr>
        <w:t xml:space="preserve">the Commissioner for Fair Trading </w:t>
      </w:r>
      <w:r w:rsidRPr="01A5810D">
        <w:rPr>
          <w:rFonts w:eastAsia="Arial" w:cs="Arial"/>
        </w:rPr>
        <w:t xml:space="preserve">to take appropriate regulatory action to cancel a person’s licence in the event that they are no longer considered suitable to hold a licence. As noted above, this protects the ACT community and property by ensuring those performing security roles are of appropriate character. </w:t>
      </w:r>
    </w:p>
    <w:p w14:paraId="1D3778BD" w14:textId="2E94E7BF" w:rsidR="1F696F59" w:rsidRDefault="1F696F59" w:rsidP="25AABDD4">
      <w:pPr>
        <w:spacing w:after="0"/>
        <w:ind w:right="-30"/>
      </w:pPr>
      <w:r w:rsidRPr="25AABDD4">
        <w:rPr>
          <w:rFonts w:eastAsia="Arial" w:cs="Arial"/>
          <w:szCs w:val="24"/>
        </w:rPr>
        <w:t xml:space="preserve"> </w:t>
      </w:r>
    </w:p>
    <w:p w14:paraId="5113B4A9" w14:textId="11054775" w:rsidR="1F696F59" w:rsidRDefault="71505A4E" w:rsidP="00FC4545">
      <w:pPr>
        <w:pStyle w:val="ListParagraph"/>
        <w:numPr>
          <w:ilvl w:val="0"/>
          <w:numId w:val="14"/>
        </w:numPr>
        <w:ind w:left="1080"/>
        <w:rPr>
          <w:rFonts w:eastAsia="Arial" w:cs="Arial"/>
          <w:szCs w:val="24"/>
        </w:rPr>
      </w:pPr>
      <w:r w:rsidRPr="3FA559F0">
        <w:rPr>
          <w:rFonts w:eastAsia="Arial" w:cs="Arial"/>
          <w:i/>
          <w:iCs/>
        </w:rPr>
        <w:t>Proportionality (section 28 (e))</w:t>
      </w:r>
      <w:r w:rsidRPr="3FA559F0">
        <w:rPr>
          <w:rFonts w:eastAsia="Arial" w:cs="Arial"/>
        </w:rPr>
        <w:t xml:space="preserve"> </w:t>
      </w:r>
    </w:p>
    <w:p w14:paraId="2815B51B" w14:textId="77777777" w:rsidR="000B601F" w:rsidRDefault="000B601F" w:rsidP="25AABDD4">
      <w:pPr>
        <w:spacing w:after="0"/>
        <w:ind w:right="-30"/>
        <w:rPr>
          <w:rFonts w:eastAsia="Arial" w:cs="Arial"/>
          <w:szCs w:val="24"/>
        </w:rPr>
      </w:pPr>
    </w:p>
    <w:p w14:paraId="2521A4EF" w14:textId="65E43A5B" w:rsidR="1F696F59" w:rsidRDefault="1F696F59" w:rsidP="25AABDD4">
      <w:pPr>
        <w:spacing w:after="0"/>
        <w:ind w:right="-30"/>
      </w:pPr>
      <w:r w:rsidRPr="25AABDD4">
        <w:rPr>
          <w:rFonts w:eastAsia="Arial" w:cs="Arial"/>
          <w:szCs w:val="24"/>
          <w:lang w:val="en-GB"/>
        </w:rPr>
        <w:lastRenderedPageBreak/>
        <w:t xml:space="preserve">The limitation on the right to privacy is reasonable and proportionate to the purpose of the change as it </w:t>
      </w:r>
      <w:r w:rsidRPr="25AABDD4">
        <w:rPr>
          <w:rFonts w:eastAsia="Arial" w:cs="Arial"/>
          <w:szCs w:val="24"/>
        </w:rPr>
        <w:t xml:space="preserve">ensures those who hold security licences in the ACT meet community standards of eligibility for the protection of persons and property. Further it is noted that a person would be required to disclose any convictions or findings of guilt in relation to a relevant offence when the person seeks to renew their security licence so this measure simply brings forward the date by which notification of the relevant offences is required. </w:t>
      </w:r>
    </w:p>
    <w:p w14:paraId="0BC60AA1" w14:textId="27AFB9ED" w:rsidR="1F696F59" w:rsidRDefault="1F696F59" w:rsidP="25AABDD4">
      <w:pPr>
        <w:spacing w:after="0"/>
      </w:pPr>
      <w:r w:rsidRPr="25AABDD4">
        <w:rPr>
          <w:rFonts w:eastAsia="Arial" w:cs="Arial"/>
          <w:szCs w:val="24"/>
          <w:lang w:val="en-GB"/>
        </w:rPr>
        <w:t xml:space="preserve"> </w:t>
      </w:r>
    </w:p>
    <w:p w14:paraId="284B831E" w14:textId="1B7C830E" w:rsidR="1F696F59" w:rsidRDefault="139AAB91">
      <w:pPr>
        <w:spacing w:after="0"/>
        <w:rPr>
          <w:rFonts w:eastAsia="Arial" w:cs="Arial"/>
          <w:u w:val="single"/>
        </w:rPr>
      </w:pPr>
      <w:r w:rsidRPr="613AAF8D">
        <w:rPr>
          <w:rFonts w:eastAsia="Arial" w:cs="Arial"/>
          <w:u w:val="single"/>
        </w:rPr>
        <w:t xml:space="preserve">Rights in criminal proceedings – security industry reforms – amendment to create an offence for failing to disclose under the new positive disclosure duty under new </w:t>
      </w:r>
      <w:r w:rsidR="632E2A82" w:rsidRPr="613AAF8D">
        <w:rPr>
          <w:rFonts w:eastAsia="Arial" w:cs="Arial"/>
          <w:u w:val="single"/>
        </w:rPr>
        <w:t>section 29AA</w:t>
      </w:r>
    </w:p>
    <w:p w14:paraId="15FB63AC" w14:textId="1B7FC70C" w:rsidR="1F696F59" w:rsidRDefault="1F696F59" w:rsidP="25AABDD4">
      <w:pPr>
        <w:spacing w:after="0"/>
      </w:pPr>
      <w:r w:rsidRPr="25AABDD4">
        <w:rPr>
          <w:rFonts w:eastAsia="Arial" w:cs="Arial"/>
          <w:szCs w:val="24"/>
        </w:rPr>
        <w:t xml:space="preserve"> </w:t>
      </w:r>
    </w:p>
    <w:p w14:paraId="246A06B8" w14:textId="04CF483F" w:rsidR="1F696F59" w:rsidRDefault="71505A4E" w:rsidP="3FA559F0">
      <w:pPr>
        <w:pStyle w:val="ListParagraph"/>
        <w:numPr>
          <w:ilvl w:val="0"/>
          <w:numId w:val="13"/>
        </w:numPr>
        <w:ind w:left="1050"/>
        <w:rPr>
          <w:rFonts w:eastAsia="Arial" w:cs="Arial"/>
          <w:lang w:val="en-GB"/>
        </w:rPr>
      </w:pPr>
      <w:r w:rsidRPr="3FA559F0">
        <w:rPr>
          <w:rFonts w:eastAsia="Arial" w:cs="Arial"/>
          <w:i/>
          <w:iCs/>
        </w:rPr>
        <w:t>Nature of the right and the limitation (section 28 (a) and (c))</w:t>
      </w:r>
      <w:r w:rsidRPr="3FA559F0">
        <w:rPr>
          <w:rFonts w:eastAsia="Arial" w:cs="Arial"/>
        </w:rPr>
        <w:t xml:space="preserve"> </w:t>
      </w:r>
      <w:r w:rsidR="1F696F59">
        <w:br/>
      </w:r>
      <w:r w:rsidRPr="3FA559F0">
        <w:rPr>
          <w:rFonts w:eastAsia="Arial" w:cs="Arial"/>
          <w:lang w:val="en-GB"/>
        </w:rPr>
        <w:t xml:space="preserve">  </w:t>
      </w:r>
    </w:p>
    <w:p w14:paraId="72C66016" w14:textId="5C6D73ED" w:rsidR="1F696F59" w:rsidRDefault="1F696F59" w:rsidP="25AABDD4">
      <w:pPr>
        <w:spacing w:after="240"/>
      </w:pPr>
      <w:r w:rsidRPr="25AABDD4">
        <w:rPr>
          <w:rFonts w:eastAsia="Arial" w:cs="Arial"/>
          <w:szCs w:val="24"/>
        </w:rPr>
        <w:t xml:space="preserve">Section 22(1) of the HRA provides that everyone charged with a criminal offence has the right to be presumed innocent until proven guilty according to law. </w:t>
      </w:r>
    </w:p>
    <w:p w14:paraId="34F47E34" w14:textId="54574C11" w:rsidR="1F696F59" w:rsidRDefault="1F696F59" w:rsidP="25AABDD4">
      <w:pPr>
        <w:spacing w:after="0"/>
      </w:pPr>
      <w:r w:rsidRPr="25AABDD4">
        <w:rPr>
          <w:rFonts w:eastAsia="Arial" w:cs="Arial"/>
          <w:szCs w:val="24"/>
        </w:rPr>
        <w:t>The Bill limits rights in criminal proceedings by creating a new strict liability offence for a licensee who fails to give notice to the Commissioner for Fair Trading of a conviction or finding of guilt for a relevant offence within 14 days after the licensee is convicted</w:t>
      </w:r>
      <w:r w:rsidR="00F56BD1">
        <w:rPr>
          <w:rFonts w:eastAsia="Arial" w:cs="Arial"/>
          <w:szCs w:val="24"/>
        </w:rPr>
        <w:t xml:space="preserve"> or found guilty</w:t>
      </w:r>
      <w:r w:rsidRPr="25AABDD4">
        <w:rPr>
          <w:rFonts w:eastAsia="Arial" w:cs="Arial"/>
          <w:szCs w:val="24"/>
        </w:rPr>
        <w:t xml:space="preserve">. This offence carries with it a maximum penalty of 20 penalty units.  </w:t>
      </w:r>
    </w:p>
    <w:p w14:paraId="776BAC52" w14:textId="13E0F9C7" w:rsidR="1F696F59" w:rsidRDefault="1F696F59" w:rsidP="25AABDD4">
      <w:pPr>
        <w:spacing w:after="0"/>
      </w:pPr>
      <w:r w:rsidRPr="25AABDD4">
        <w:rPr>
          <w:rFonts w:eastAsia="Arial" w:cs="Arial"/>
          <w:szCs w:val="24"/>
          <w:lang w:val="en-GB"/>
        </w:rPr>
        <w:t xml:space="preserve"> </w:t>
      </w:r>
    </w:p>
    <w:p w14:paraId="5CD14C1F" w14:textId="5686CED0" w:rsidR="1F696F59" w:rsidRDefault="1F696F59" w:rsidP="25AABDD4">
      <w:pPr>
        <w:spacing w:after="0"/>
      </w:pPr>
      <w:r w:rsidRPr="25AABDD4">
        <w:rPr>
          <w:rFonts w:eastAsia="Arial" w:cs="Arial"/>
          <w:szCs w:val="24"/>
        </w:rPr>
        <w:t>Strict liability offences engage and may limit the right to be presumed innocent until proven guilty as they impose guilt without the need to prove a person's fault.</w:t>
      </w:r>
    </w:p>
    <w:p w14:paraId="515BC99B" w14:textId="345418CC" w:rsidR="1F696F59" w:rsidRDefault="1F696F59" w:rsidP="25AABDD4">
      <w:pPr>
        <w:spacing w:after="0"/>
      </w:pPr>
      <w:r w:rsidRPr="25AABDD4">
        <w:rPr>
          <w:rFonts w:eastAsia="Arial" w:cs="Arial"/>
          <w:szCs w:val="24"/>
        </w:rPr>
        <w:t xml:space="preserve"> </w:t>
      </w:r>
    </w:p>
    <w:p w14:paraId="737B2417" w14:textId="5FD37B0F" w:rsidR="1F696F59" w:rsidRDefault="1F696F59" w:rsidP="00FC4545">
      <w:pPr>
        <w:pStyle w:val="ListParagraph"/>
        <w:numPr>
          <w:ilvl w:val="0"/>
          <w:numId w:val="12"/>
        </w:numPr>
        <w:ind w:left="1080"/>
        <w:rPr>
          <w:rFonts w:eastAsia="Arial" w:cs="Arial"/>
          <w:szCs w:val="24"/>
        </w:rPr>
      </w:pPr>
      <w:r w:rsidRPr="25AABDD4">
        <w:rPr>
          <w:rFonts w:eastAsia="Arial" w:cs="Arial"/>
          <w:i/>
          <w:iCs/>
          <w:szCs w:val="24"/>
        </w:rPr>
        <w:t>Legitimate purpose (section 28 (b))</w:t>
      </w:r>
      <w:r w:rsidRPr="25AABDD4">
        <w:rPr>
          <w:rFonts w:eastAsia="Arial" w:cs="Arial"/>
          <w:szCs w:val="24"/>
        </w:rPr>
        <w:t xml:space="preserve"> </w:t>
      </w:r>
    </w:p>
    <w:p w14:paraId="558B75C1" w14:textId="79E0EF87" w:rsidR="1F696F59" w:rsidRDefault="1F696F59" w:rsidP="25AABDD4">
      <w:pPr>
        <w:spacing w:after="0"/>
      </w:pPr>
      <w:r w:rsidRPr="25AABDD4">
        <w:rPr>
          <w:rFonts w:eastAsia="Arial" w:cs="Arial"/>
          <w:szCs w:val="24"/>
          <w:lang w:val="en-GB"/>
        </w:rPr>
        <w:t xml:space="preserve"> </w:t>
      </w:r>
    </w:p>
    <w:p w14:paraId="53434861" w14:textId="77777777" w:rsidR="003D032B" w:rsidRDefault="1918678C" w:rsidP="3FA559F0">
      <w:pPr>
        <w:spacing w:after="0"/>
        <w:rPr>
          <w:rFonts w:eastAsia="Arial" w:cs="Arial"/>
        </w:rPr>
      </w:pPr>
      <w:r w:rsidRPr="4C0BB794">
        <w:rPr>
          <w:rFonts w:eastAsia="Arial" w:cs="Arial"/>
        </w:rPr>
        <w:t>The legitimate purpose of the amendment is to protect community safety by ensuring that security industry licence holders maintain eligibility for their licence. Requiring prompt disclosure to the Commissioner for Fair Trading ensures the</w:t>
      </w:r>
      <w:r w:rsidR="7267A24D" w:rsidRPr="4C0BB794">
        <w:rPr>
          <w:rFonts w:eastAsia="Arial" w:cs="Arial"/>
        </w:rPr>
        <w:t xml:space="preserve"> Commissioner is</w:t>
      </w:r>
      <w:r w:rsidR="4618D765" w:rsidRPr="4C0BB794">
        <w:rPr>
          <w:rFonts w:eastAsia="Arial" w:cs="Arial"/>
        </w:rPr>
        <w:t xml:space="preserve"> </w:t>
      </w:r>
      <w:r w:rsidRPr="4C0BB794">
        <w:rPr>
          <w:rFonts w:eastAsia="Arial" w:cs="Arial"/>
        </w:rPr>
        <w:t xml:space="preserve">informed when there are circumstances that may impact a person’s suitability to hold a licence under the SI Act. </w:t>
      </w:r>
    </w:p>
    <w:p w14:paraId="2289AC24" w14:textId="6F59634C" w:rsidR="1F696F59" w:rsidRDefault="1918678C" w:rsidP="3FA559F0">
      <w:pPr>
        <w:spacing w:after="0"/>
        <w:rPr>
          <w:rFonts w:eastAsia="Arial" w:cs="Arial"/>
        </w:rPr>
      </w:pPr>
      <w:r w:rsidRPr="4C0BB794">
        <w:rPr>
          <w:rFonts w:eastAsia="Arial" w:cs="Arial"/>
        </w:rPr>
        <w:t xml:space="preserve">This will ultimately benefit the community as it is in the community interest to ensure all license holders continue to meet eligibility requirements. </w:t>
      </w:r>
      <w:r w:rsidR="2727C5C4">
        <w:br/>
      </w:r>
    </w:p>
    <w:p w14:paraId="13CE3B29" w14:textId="508BBFBC" w:rsidR="71505A4E" w:rsidRDefault="71505A4E" w:rsidP="3FA559F0">
      <w:pPr>
        <w:pStyle w:val="ListParagraph"/>
        <w:numPr>
          <w:ilvl w:val="0"/>
          <w:numId w:val="11"/>
        </w:numPr>
        <w:ind w:left="1080"/>
        <w:rPr>
          <w:rFonts w:eastAsia="Arial" w:cs="Arial"/>
        </w:rPr>
      </w:pPr>
      <w:r w:rsidRPr="3FA559F0">
        <w:rPr>
          <w:rFonts w:eastAsia="Arial" w:cs="Arial"/>
          <w:i/>
          <w:iCs/>
        </w:rPr>
        <w:t>Rational connection between the limitation and the purpose (section 28 (d))</w:t>
      </w:r>
      <w:r w:rsidRPr="3FA559F0">
        <w:rPr>
          <w:rFonts w:eastAsia="Arial" w:cs="Arial"/>
        </w:rPr>
        <w:t xml:space="preserve"> </w:t>
      </w:r>
    </w:p>
    <w:p w14:paraId="52159C26" w14:textId="77777777" w:rsidR="000B601F" w:rsidRDefault="000B601F" w:rsidP="25AABDD4">
      <w:pPr>
        <w:spacing w:after="0"/>
        <w:rPr>
          <w:rFonts w:eastAsia="Arial" w:cs="Arial"/>
        </w:rPr>
      </w:pPr>
    </w:p>
    <w:p w14:paraId="7B095722" w14:textId="6DEDAD13" w:rsidR="1F696F59" w:rsidRDefault="71505A4E" w:rsidP="25AABDD4">
      <w:pPr>
        <w:spacing w:after="0"/>
      </w:pPr>
      <w:r w:rsidRPr="3FA559F0">
        <w:rPr>
          <w:rFonts w:eastAsia="Arial" w:cs="Arial"/>
        </w:rPr>
        <w:t xml:space="preserve">Requiring individuals to hold a licence to work in the security industry in the ACT is important in ensuring only those who </w:t>
      </w:r>
      <w:r w:rsidR="7D3A352C" w:rsidRPr="3FA559F0">
        <w:rPr>
          <w:rFonts w:eastAsia="Arial" w:cs="Arial"/>
        </w:rPr>
        <w:t xml:space="preserve">are suitable and </w:t>
      </w:r>
      <w:r w:rsidRPr="3FA559F0">
        <w:rPr>
          <w:rFonts w:eastAsia="Arial" w:cs="Arial"/>
        </w:rPr>
        <w:t xml:space="preserve">authorised to work in the industry do so. The limitation on rights in criminal proceedings is rationally connected to the legitimate purpose as it promotes better community safety outcomes by ensuring that the Commissioner for Fair Trading is promptly made aware of matters that may require the cancellation of that licence on </w:t>
      </w:r>
      <w:r w:rsidR="06E3D634" w:rsidRPr="3FA559F0">
        <w:rPr>
          <w:rFonts w:eastAsia="Arial" w:cs="Arial"/>
        </w:rPr>
        <w:t>suitability</w:t>
      </w:r>
      <w:r w:rsidRPr="3FA559F0">
        <w:rPr>
          <w:rFonts w:eastAsia="Arial" w:cs="Arial"/>
        </w:rPr>
        <w:t xml:space="preserve"> grounds. </w:t>
      </w:r>
    </w:p>
    <w:p w14:paraId="180255AB" w14:textId="2A687AD5" w:rsidR="1F696F59" w:rsidRDefault="1F696F59" w:rsidP="25AABDD4">
      <w:pPr>
        <w:spacing w:after="0"/>
      </w:pPr>
      <w:r w:rsidRPr="25AABDD4">
        <w:rPr>
          <w:rFonts w:eastAsia="Arial" w:cs="Arial"/>
          <w:szCs w:val="24"/>
          <w:lang w:val="en-GB"/>
        </w:rPr>
        <w:lastRenderedPageBreak/>
        <w:t xml:space="preserve"> </w:t>
      </w:r>
    </w:p>
    <w:p w14:paraId="547F3802" w14:textId="31A9C3F7" w:rsidR="1F696F59" w:rsidRDefault="1F696F59" w:rsidP="25AABDD4">
      <w:pPr>
        <w:spacing w:after="0"/>
      </w:pPr>
      <w:r w:rsidRPr="25AABDD4">
        <w:rPr>
          <w:rFonts w:eastAsia="Arial" w:cs="Arial"/>
          <w:szCs w:val="24"/>
        </w:rPr>
        <w:t xml:space="preserve">The intention behind the strict liability offence introduced by this Bill for failing to disclose a relevant conviction or finding of guilt is to ensure compliance with the obligation. The purpose of the penalty attributable to this offence is to provide an appropriate disincentive for failing to disclose. </w:t>
      </w:r>
    </w:p>
    <w:p w14:paraId="49059935" w14:textId="4D4DC707" w:rsidR="1F696F59" w:rsidRDefault="1F696F59" w:rsidP="25AABDD4">
      <w:pPr>
        <w:spacing w:after="0"/>
      </w:pPr>
      <w:r w:rsidRPr="25AABDD4">
        <w:rPr>
          <w:rFonts w:eastAsia="Arial" w:cs="Arial"/>
          <w:szCs w:val="24"/>
        </w:rPr>
        <w:t xml:space="preserve"> </w:t>
      </w:r>
    </w:p>
    <w:p w14:paraId="7BC85DCC" w14:textId="7C7E0D53" w:rsidR="1F696F59" w:rsidRPr="000B601F" w:rsidRDefault="71505A4E" w:rsidP="000B601F">
      <w:pPr>
        <w:pStyle w:val="ListParagraph"/>
        <w:numPr>
          <w:ilvl w:val="0"/>
          <w:numId w:val="11"/>
        </w:numPr>
        <w:rPr>
          <w:rFonts w:eastAsia="Arial" w:cs="Arial"/>
          <w:szCs w:val="24"/>
        </w:rPr>
      </w:pPr>
      <w:r w:rsidRPr="3FA559F0">
        <w:rPr>
          <w:rFonts w:eastAsia="Arial" w:cs="Arial"/>
          <w:i/>
          <w:iCs/>
        </w:rPr>
        <w:t>Proportionality (section 28 (e))</w:t>
      </w:r>
      <w:r w:rsidRPr="3FA559F0">
        <w:rPr>
          <w:rFonts w:eastAsia="Arial" w:cs="Arial"/>
        </w:rPr>
        <w:t xml:space="preserve"> </w:t>
      </w:r>
    </w:p>
    <w:p w14:paraId="3B66DB5C" w14:textId="77777777" w:rsidR="000B601F" w:rsidRPr="000B601F" w:rsidRDefault="000B601F" w:rsidP="000B601F">
      <w:pPr>
        <w:pStyle w:val="ListParagraph"/>
        <w:rPr>
          <w:rFonts w:eastAsia="Arial" w:cs="Arial"/>
          <w:szCs w:val="24"/>
        </w:rPr>
      </w:pPr>
    </w:p>
    <w:p w14:paraId="476960AB" w14:textId="784102EE" w:rsidR="1F696F59" w:rsidRDefault="71505A4E" w:rsidP="25AABDD4">
      <w:pPr>
        <w:spacing w:after="0"/>
      </w:pPr>
      <w:r w:rsidRPr="3FA559F0">
        <w:rPr>
          <w:rFonts w:eastAsia="Arial" w:cs="Arial"/>
        </w:rPr>
        <w:t>Strict liability offences typically arise in a regulatory context to support regulatory compliance. The defendant can reasonably be expected, because of their involvement with the regulated activity, to understand the requirements of the law, and as such, the mental or fault element can justifiably be excluded. Licence holders will be made aware of their obligations through public communications materials including information on the Access Canberra website in relation to the security industry (</w:t>
      </w:r>
      <w:hyperlink r:id="rId15">
        <w:r w:rsidRPr="3FA559F0">
          <w:rPr>
            <w:rStyle w:val="Hyperlink"/>
            <w:rFonts w:eastAsia="Arial" w:cs="Arial"/>
            <w:color w:val="0563C1"/>
          </w:rPr>
          <w:t>https://www.accesscanberra.act.gov.au/business-and-work/security/security-industry-licences</w:t>
        </w:r>
      </w:hyperlink>
      <w:r w:rsidRPr="3FA559F0">
        <w:rPr>
          <w:rFonts w:eastAsia="Arial" w:cs="Arial"/>
        </w:rPr>
        <w:t xml:space="preserve">). </w:t>
      </w:r>
    </w:p>
    <w:p w14:paraId="5E9F9B55" w14:textId="12BC6E48" w:rsidR="1F696F59" w:rsidRDefault="1F696F59" w:rsidP="25AABDD4">
      <w:pPr>
        <w:spacing w:after="0"/>
      </w:pPr>
    </w:p>
    <w:p w14:paraId="2926DB35" w14:textId="6EF331D3" w:rsidR="1F696F59" w:rsidRDefault="1F696F59" w:rsidP="25AABDD4">
      <w:pPr>
        <w:spacing w:after="0"/>
      </w:pPr>
      <w:r w:rsidRPr="25AABDD4">
        <w:rPr>
          <w:rFonts w:eastAsia="Arial" w:cs="Arial"/>
          <w:szCs w:val="24"/>
        </w:rPr>
        <w:t xml:space="preserve">This approach is proportionate to the overall aim of the changes as it ensures all those who hold a licence under the SI Act meet certain standard. </w:t>
      </w:r>
    </w:p>
    <w:p w14:paraId="614B3001" w14:textId="53052F4D" w:rsidR="1F696F59" w:rsidRDefault="1F696F59" w:rsidP="25AABDD4">
      <w:pPr>
        <w:spacing w:after="0"/>
      </w:pPr>
    </w:p>
    <w:p w14:paraId="05400635" w14:textId="08F47A69" w:rsidR="1F696F59" w:rsidRDefault="139AAB91" w:rsidP="613AAF8D">
      <w:pPr>
        <w:spacing w:after="0"/>
        <w:rPr>
          <w:rFonts w:eastAsia="Arial" w:cs="Arial"/>
          <w:u w:val="single"/>
        </w:rPr>
      </w:pPr>
      <w:r w:rsidRPr="613AAF8D">
        <w:rPr>
          <w:rFonts w:eastAsia="Arial" w:cs="Arial"/>
          <w:u w:val="single"/>
        </w:rPr>
        <w:t>Right to work – security industry reforms –</w:t>
      </w:r>
      <w:r w:rsidR="009B5215">
        <w:rPr>
          <w:rFonts w:eastAsia="Arial" w:cs="Arial"/>
          <w:u w:val="single"/>
        </w:rPr>
        <w:t xml:space="preserve"> disclosure obligation under </w:t>
      </w:r>
      <w:r w:rsidRPr="613AAF8D">
        <w:rPr>
          <w:rFonts w:eastAsia="Arial" w:cs="Arial"/>
          <w:u w:val="single"/>
        </w:rPr>
        <w:t xml:space="preserve">new section 29AA </w:t>
      </w:r>
    </w:p>
    <w:p w14:paraId="0439FC40" w14:textId="3BE140F0" w:rsidR="1F696F59" w:rsidRDefault="139AAB91" w:rsidP="613AAF8D">
      <w:pPr>
        <w:spacing w:after="0"/>
        <w:rPr>
          <w:rFonts w:eastAsia="Arial" w:cs="Arial"/>
        </w:rPr>
      </w:pPr>
      <w:r w:rsidRPr="613AAF8D">
        <w:rPr>
          <w:rFonts w:eastAsia="Arial" w:cs="Arial"/>
        </w:rPr>
        <w:t xml:space="preserve"> </w:t>
      </w:r>
    </w:p>
    <w:p w14:paraId="2AA2A51D" w14:textId="0340BDAA" w:rsidR="1F696F59" w:rsidRDefault="1F696F59" w:rsidP="25AABDD4">
      <w:pPr>
        <w:pStyle w:val="ListParagraph"/>
        <w:numPr>
          <w:ilvl w:val="0"/>
          <w:numId w:val="10"/>
        </w:numPr>
        <w:rPr>
          <w:rFonts w:eastAsia="Arial" w:cs="Arial"/>
          <w:szCs w:val="24"/>
        </w:rPr>
      </w:pPr>
      <w:r w:rsidRPr="25AABDD4">
        <w:rPr>
          <w:rFonts w:eastAsia="Arial" w:cs="Arial"/>
          <w:i/>
          <w:iCs/>
          <w:szCs w:val="24"/>
        </w:rPr>
        <w:t>Nature of the right and the limitation (section 28 (a) and (c))</w:t>
      </w:r>
      <w:r w:rsidRPr="25AABDD4">
        <w:rPr>
          <w:rFonts w:eastAsia="Arial" w:cs="Arial"/>
          <w:szCs w:val="24"/>
        </w:rPr>
        <w:t xml:space="preserve"> </w:t>
      </w:r>
    </w:p>
    <w:p w14:paraId="75553FF7" w14:textId="0F98AA49" w:rsidR="1F696F59" w:rsidRDefault="139AAB91" w:rsidP="613AAF8D">
      <w:pPr>
        <w:spacing w:after="0"/>
        <w:rPr>
          <w:rFonts w:eastAsia="Arial" w:cs="Arial"/>
          <w:lang w:val="en-GB"/>
        </w:rPr>
      </w:pPr>
      <w:r w:rsidRPr="613AAF8D">
        <w:rPr>
          <w:rFonts w:eastAsia="Arial" w:cs="Arial"/>
          <w:lang w:val="en-GB"/>
        </w:rPr>
        <w:t xml:space="preserve"> </w:t>
      </w:r>
    </w:p>
    <w:p w14:paraId="12731B5C" w14:textId="0975536F" w:rsidR="1F696F59" w:rsidRDefault="139AAB91" w:rsidP="613AAF8D">
      <w:pPr>
        <w:spacing w:after="0"/>
        <w:rPr>
          <w:rFonts w:eastAsia="Arial" w:cs="Arial"/>
        </w:rPr>
      </w:pPr>
      <w:r w:rsidRPr="613AAF8D">
        <w:rPr>
          <w:rFonts w:eastAsia="Arial" w:cs="Arial"/>
        </w:rPr>
        <w:t xml:space="preserve">Section 27B of the HRA provides that everyone has the right to work, including the right not to be unfairly deprived of work. </w:t>
      </w:r>
    </w:p>
    <w:p w14:paraId="5D2496E5" w14:textId="2A0C04CF" w:rsidR="1F696F59" w:rsidRDefault="139AAB91" w:rsidP="613AAF8D">
      <w:pPr>
        <w:spacing w:after="0"/>
        <w:rPr>
          <w:rFonts w:eastAsia="Arial" w:cs="Arial"/>
        </w:rPr>
      </w:pPr>
      <w:r w:rsidRPr="613AAF8D">
        <w:rPr>
          <w:rFonts w:eastAsia="Arial" w:cs="Arial"/>
        </w:rPr>
        <w:t xml:space="preserve"> </w:t>
      </w:r>
    </w:p>
    <w:p w14:paraId="2E1A2C72" w14:textId="30E6F08C" w:rsidR="1F696F59" w:rsidRDefault="139AAB91" w:rsidP="613AAF8D">
      <w:pPr>
        <w:spacing w:after="0"/>
        <w:rPr>
          <w:rFonts w:eastAsia="Arial" w:cs="Arial"/>
        </w:rPr>
      </w:pPr>
      <w:r w:rsidRPr="613AAF8D">
        <w:rPr>
          <w:rFonts w:eastAsia="Arial" w:cs="Arial"/>
        </w:rPr>
        <w:t>The right to work is engaged and may be limited by amendments in the Bill which change the circumstances in which a person may have their licence cancelled. As security industry workers are required to be licenced, cancellation of their licence would limit their right to work.</w:t>
      </w:r>
    </w:p>
    <w:p w14:paraId="73EC2F45" w14:textId="2C69FD9B" w:rsidR="1F696F59" w:rsidRDefault="139AAB91" w:rsidP="613AAF8D">
      <w:pPr>
        <w:spacing w:after="0"/>
        <w:rPr>
          <w:rFonts w:eastAsia="Arial" w:cs="Arial"/>
        </w:rPr>
      </w:pPr>
      <w:r w:rsidRPr="613AAF8D">
        <w:rPr>
          <w:rFonts w:eastAsia="Arial" w:cs="Arial"/>
        </w:rPr>
        <w:t xml:space="preserve"> </w:t>
      </w:r>
    </w:p>
    <w:p w14:paraId="5867FA91" w14:textId="41360906" w:rsidR="1F696F59" w:rsidRDefault="139AAB91" w:rsidP="613AAF8D">
      <w:pPr>
        <w:spacing w:after="0"/>
        <w:rPr>
          <w:rFonts w:eastAsia="Arial" w:cs="Arial"/>
        </w:rPr>
      </w:pPr>
      <w:r w:rsidRPr="613AAF8D">
        <w:rPr>
          <w:rFonts w:eastAsia="Arial" w:cs="Arial"/>
        </w:rPr>
        <w:t xml:space="preserve">The Bill introduces a new section 29AA </w:t>
      </w:r>
      <w:r w:rsidR="4AEE3F5D" w:rsidRPr="613AAF8D">
        <w:rPr>
          <w:rFonts w:eastAsia="Arial" w:cs="Arial"/>
        </w:rPr>
        <w:t>into</w:t>
      </w:r>
      <w:r w:rsidRPr="613AAF8D">
        <w:rPr>
          <w:rFonts w:eastAsia="Arial" w:cs="Arial"/>
        </w:rPr>
        <w:t xml:space="preserve"> the SI Act a</w:t>
      </w:r>
      <w:r w:rsidR="42D2A742" w:rsidRPr="613AAF8D">
        <w:rPr>
          <w:rFonts w:eastAsia="Arial" w:cs="Arial"/>
        </w:rPr>
        <w:t>nd</w:t>
      </w:r>
      <w:r w:rsidRPr="613AAF8D">
        <w:rPr>
          <w:rFonts w:eastAsia="Arial" w:cs="Arial"/>
        </w:rPr>
        <w:t xml:space="preserve"> create</w:t>
      </w:r>
      <w:r w:rsidR="776F40EC" w:rsidRPr="613AAF8D">
        <w:rPr>
          <w:rFonts w:eastAsia="Arial" w:cs="Arial"/>
        </w:rPr>
        <w:t>s</w:t>
      </w:r>
      <w:r w:rsidRPr="613AAF8D">
        <w:rPr>
          <w:rFonts w:eastAsia="Arial" w:cs="Arial"/>
        </w:rPr>
        <w:t xml:space="preserve"> a</w:t>
      </w:r>
      <w:r w:rsidR="4D52C278" w:rsidRPr="613AAF8D">
        <w:rPr>
          <w:rFonts w:eastAsia="Arial" w:cs="Arial"/>
        </w:rPr>
        <w:t xml:space="preserve"> positive disclosure obligation for licensees when they have been convicted or found guilty of a relevant offence contained in section 21 (3).</w:t>
      </w:r>
      <w:r w:rsidRPr="613AAF8D">
        <w:rPr>
          <w:rFonts w:eastAsia="Arial" w:cs="Arial"/>
        </w:rPr>
        <w:t xml:space="preserve">  This may </w:t>
      </w:r>
      <w:r w:rsidR="00F56BD1">
        <w:rPr>
          <w:rFonts w:eastAsia="Arial" w:cs="Arial"/>
        </w:rPr>
        <w:t>result</w:t>
      </w:r>
      <w:r w:rsidRPr="613AAF8D">
        <w:rPr>
          <w:rFonts w:eastAsia="Arial" w:cs="Arial"/>
        </w:rPr>
        <w:t xml:space="preserve">  in the cancellation of a licence</w:t>
      </w:r>
      <w:r w:rsidR="00F56BD1">
        <w:rPr>
          <w:rFonts w:eastAsia="Arial" w:cs="Arial"/>
        </w:rPr>
        <w:t xml:space="preserve"> on suitability grounds</w:t>
      </w:r>
      <w:r w:rsidRPr="613AAF8D">
        <w:rPr>
          <w:rFonts w:eastAsia="Arial" w:cs="Arial"/>
        </w:rPr>
        <w:t xml:space="preserve">. </w:t>
      </w:r>
    </w:p>
    <w:p w14:paraId="7648ABA1" w14:textId="77777777" w:rsidR="007557A6" w:rsidRDefault="007557A6" w:rsidP="613AAF8D">
      <w:pPr>
        <w:spacing w:after="0"/>
        <w:rPr>
          <w:rFonts w:eastAsia="Arial" w:cs="Arial"/>
        </w:rPr>
      </w:pPr>
    </w:p>
    <w:p w14:paraId="15037F67" w14:textId="51A3CB0B" w:rsidR="1F696F59" w:rsidRDefault="1F696F59" w:rsidP="25AABDD4">
      <w:pPr>
        <w:pStyle w:val="ListParagraph"/>
        <w:numPr>
          <w:ilvl w:val="0"/>
          <w:numId w:val="9"/>
        </w:numPr>
        <w:rPr>
          <w:rFonts w:eastAsia="Arial" w:cs="Arial"/>
          <w:szCs w:val="24"/>
        </w:rPr>
      </w:pPr>
      <w:r w:rsidRPr="25AABDD4">
        <w:rPr>
          <w:rFonts w:eastAsia="Arial" w:cs="Arial"/>
          <w:i/>
          <w:iCs/>
          <w:szCs w:val="24"/>
        </w:rPr>
        <w:t>Legitimate purpose (section 28 (b))</w:t>
      </w:r>
      <w:r w:rsidRPr="25AABDD4">
        <w:rPr>
          <w:rFonts w:eastAsia="Arial" w:cs="Arial"/>
          <w:szCs w:val="24"/>
        </w:rPr>
        <w:t xml:space="preserve"> </w:t>
      </w:r>
    </w:p>
    <w:p w14:paraId="60E2AAA1" w14:textId="24690C1A" w:rsidR="1F696F59" w:rsidRDefault="139AAB91" w:rsidP="613AAF8D">
      <w:pPr>
        <w:spacing w:after="0"/>
        <w:rPr>
          <w:rFonts w:eastAsia="Arial" w:cs="Arial"/>
          <w:lang w:val="en-GB"/>
        </w:rPr>
      </w:pPr>
      <w:r w:rsidRPr="613AAF8D">
        <w:rPr>
          <w:rFonts w:eastAsia="Arial" w:cs="Arial"/>
          <w:lang w:val="en-GB"/>
        </w:rPr>
        <w:t xml:space="preserve"> </w:t>
      </w:r>
    </w:p>
    <w:p w14:paraId="042A1D97" w14:textId="3B732386" w:rsidR="1F696F59" w:rsidRDefault="139AAB91" w:rsidP="613AAF8D">
      <w:pPr>
        <w:spacing w:after="0"/>
        <w:rPr>
          <w:rFonts w:eastAsia="Arial" w:cs="Arial"/>
        </w:rPr>
      </w:pPr>
      <w:r w:rsidRPr="613AAF8D">
        <w:rPr>
          <w:rFonts w:eastAsia="Arial" w:cs="Arial"/>
        </w:rPr>
        <w:t xml:space="preserve">The legitimate purpose of the changes is to protect community safety by </w:t>
      </w:r>
      <w:r w:rsidR="00F56BD1">
        <w:rPr>
          <w:rFonts w:eastAsia="Arial" w:cs="Arial"/>
        </w:rPr>
        <w:t>ensuring the Commissioner for Fair Trading is given contemporaneous knowledge of matters that could lead to the</w:t>
      </w:r>
      <w:r w:rsidRPr="613AAF8D">
        <w:rPr>
          <w:rFonts w:eastAsia="Arial" w:cs="Arial"/>
        </w:rPr>
        <w:t xml:space="preserve"> cancellation of a persons’ licence</w:t>
      </w:r>
      <w:r w:rsidR="00F56BD1">
        <w:rPr>
          <w:rFonts w:eastAsia="Arial" w:cs="Arial"/>
        </w:rPr>
        <w:t xml:space="preserve"> on suitability grounds</w:t>
      </w:r>
      <w:r w:rsidRPr="613AAF8D">
        <w:rPr>
          <w:rFonts w:eastAsia="Arial" w:cs="Arial"/>
        </w:rPr>
        <w:t>. There is a community expectation that those who are charged with undertaking security activities to protect persons and property meet a certain standard. By including a</w:t>
      </w:r>
      <w:r w:rsidR="334F44DD" w:rsidRPr="613AAF8D">
        <w:rPr>
          <w:rFonts w:eastAsia="Arial" w:cs="Arial"/>
        </w:rPr>
        <w:t xml:space="preserve"> </w:t>
      </w:r>
      <w:r w:rsidR="334F44DD" w:rsidRPr="613AAF8D">
        <w:rPr>
          <w:rFonts w:eastAsia="Arial" w:cs="Arial"/>
        </w:rPr>
        <w:lastRenderedPageBreak/>
        <w:t>positive disclosure obligation</w:t>
      </w:r>
      <w:r w:rsidRPr="613AAF8D">
        <w:rPr>
          <w:rFonts w:eastAsia="Arial" w:cs="Arial"/>
        </w:rPr>
        <w:t>, the community can be satisfied that the integrity of the security industry is upheld by providing for the cancellation of licence when more serious offences are committed</w:t>
      </w:r>
      <w:r w:rsidR="54810466" w:rsidRPr="613AAF8D">
        <w:rPr>
          <w:rFonts w:eastAsia="Arial" w:cs="Arial"/>
        </w:rPr>
        <w:t xml:space="preserve"> during the term of a licence</w:t>
      </w:r>
      <w:r w:rsidRPr="613AAF8D">
        <w:rPr>
          <w:rFonts w:eastAsia="Arial" w:cs="Arial"/>
        </w:rPr>
        <w:t xml:space="preserve">. </w:t>
      </w:r>
    </w:p>
    <w:p w14:paraId="3D0FF46A" w14:textId="37E35A39" w:rsidR="1F696F59" w:rsidRDefault="139AAB91" w:rsidP="613AAF8D">
      <w:pPr>
        <w:spacing w:after="0"/>
        <w:rPr>
          <w:rFonts w:eastAsia="Arial" w:cs="Arial"/>
        </w:rPr>
      </w:pPr>
      <w:r w:rsidRPr="613AAF8D">
        <w:rPr>
          <w:rFonts w:eastAsia="Arial" w:cs="Arial"/>
        </w:rPr>
        <w:t xml:space="preserve"> </w:t>
      </w:r>
    </w:p>
    <w:p w14:paraId="11D68DC0" w14:textId="66297309" w:rsidR="1F696F59" w:rsidRDefault="1F696F59" w:rsidP="25AABDD4">
      <w:pPr>
        <w:pStyle w:val="ListParagraph"/>
        <w:numPr>
          <w:ilvl w:val="0"/>
          <w:numId w:val="8"/>
        </w:numPr>
        <w:rPr>
          <w:rFonts w:eastAsia="Arial" w:cs="Arial"/>
          <w:i/>
          <w:iCs/>
          <w:szCs w:val="24"/>
        </w:rPr>
      </w:pPr>
      <w:r w:rsidRPr="25AABDD4">
        <w:rPr>
          <w:rFonts w:eastAsia="Arial" w:cs="Arial"/>
          <w:i/>
          <w:iCs/>
          <w:szCs w:val="24"/>
        </w:rPr>
        <w:t>Rational connection between the limitation and the purpose (section 28 (d))</w:t>
      </w:r>
    </w:p>
    <w:p w14:paraId="022EBDE5" w14:textId="01BE049C" w:rsidR="1F696F59" w:rsidRDefault="139AAB91" w:rsidP="613AAF8D">
      <w:pPr>
        <w:spacing w:after="0"/>
        <w:rPr>
          <w:rFonts w:eastAsia="Arial" w:cs="Arial"/>
        </w:rPr>
      </w:pPr>
      <w:r w:rsidRPr="613AAF8D">
        <w:rPr>
          <w:rFonts w:eastAsia="Arial" w:cs="Arial"/>
        </w:rPr>
        <w:t xml:space="preserve"> </w:t>
      </w:r>
    </w:p>
    <w:p w14:paraId="0E7CF4E3" w14:textId="6CD099C3" w:rsidR="1F696F59" w:rsidRDefault="139AAB91" w:rsidP="613AAF8D">
      <w:pPr>
        <w:spacing w:after="0"/>
        <w:rPr>
          <w:rFonts w:eastAsia="Arial" w:cs="Arial"/>
        </w:rPr>
      </w:pPr>
      <w:r w:rsidRPr="613AAF8D">
        <w:rPr>
          <w:rFonts w:eastAsia="Arial" w:cs="Arial"/>
        </w:rPr>
        <w:t xml:space="preserve">There is a rational connection between the limitation and the purpose in that it provides better regulatory oversight by ensuring those who have been convicted of or found guilty of an offence </w:t>
      </w:r>
      <w:r w:rsidR="005930B3">
        <w:rPr>
          <w:rFonts w:eastAsia="Arial" w:cs="Arial"/>
        </w:rPr>
        <w:t>are required to promptly notify the Commissioner for Fair Trading of matters that impact their ongoing</w:t>
      </w:r>
      <w:r w:rsidRPr="613AAF8D">
        <w:rPr>
          <w:rFonts w:eastAsia="Arial" w:cs="Arial"/>
        </w:rPr>
        <w:t xml:space="preserve"> suitability to hold a licence</w:t>
      </w:r>
      <w:r w:rsidR="005930B3">
        <w:rPr>
          <w:rFonts w:eastAsia="Arial" w:cs="Arial"/>
        </w:rPr>
        <w:t xml:space="preserve">. This protects community safety by ensuring that the Commissioner for Fair Trading is promptly made aware of matters that may lead to cancellation of a licence on suitability grounds. </w:t>
      </w:r>
    </w:p>
    <w:p w14:paraId="177B9E89" w14:textId="1BC15A7C" w:rsidR="1F696F59" w:rsidRDefault="139AAB91" w:rsidP="613AAF8D">
      <w:pPr>
        <w:spacing w:after="0"/>
        <w:rPr>
          <w:rFonts w:eastAsia="Arial" w:cs="Arial"/>
        </w:rPr>
      </w:pPr>
      <w:r w:rsidRPr="613AAF8D">
        <w:rPr>
          <w:rFonts w:eastAsia="Arial" w:cs="Arial"/>
        </w:rPr>
        <w:t xml:space="preserve"> </w:t>
      </w:r>
    </w:p>
    <w:p w14:paraId="15472C9F" w14:textId="49EE23FB" w:rsidR="1F696F59" w:rsidRDefault="1F696F59" w:rsidP="25AABDD4">
      <w:pPr>
        <w:pStyle w:val="ListParagraph"/>
        <w:numPr>
          <w:ilvl w:val="0"/>
          <w:numId w:val="7"/>
        </w:numPr>
        <w:rPr>
          <w:rFonts w:eastAsia="Arial" w:cs="Arial"/>
          <w:szCs w:val="24"/>
        </w:rPr>
      </w:pPr>
      <w:r w:rsidRPr="25AABDD4">
        <w:rPr>
          <w:rFonts w:eastAsia="Arial" w:cs="Arial"/>
          <w:i/>
          <w:iCs/>
          <w:szCs w:val="24"/>
        </w:rPr>
        <w:t>Proportionality (section 28 (e))</w:t>
      </w:r>
      <w:r w:rsidRPr="25AABDD4">
        <w:rPr>
          <w:rFonts w:eastAsia="Arial" w:cs="Arial"/>
          <w:szCs w:val="24"/>
        </w:rPr>
        <w:t xml:space="preserve"> </w:t>
      </w:r>
    </w:p>
    <w:p w14:paraId="6E869E99" w14:textId="0CB44361" w:rsidR="1F696F59" w:rsidRDefault="139AAB91" w:rsidP="613AAF8D">
      <w:pPr>
        <w:spacing w:after="0"/>
        <w:rPr>
          <w:rFonts w:eastAsia="Arial" w:cs="Arial"/>
          <w:lang w:val="en-GB"/>
        </w:rPr>
      </w:pPr>
      <w:r w:rsidRPr="613AAF8D">
        <w:rPr>
          <w:rFonts w:eastAsia="Arial" w:cs="Arial"/>
          <w:lang w:val="en-GB"/>
        </w:rPr>
        <w:t xml:space="preserve"> </w:t>
      </w:r>
    </w:p>
    <w:p w14:paraId="2A4AD066" w14:textId="52F1EC43" w:rsidR="1F696F59" w:rsidRDefault="139AAB91" w:rsidP="613AAF8D">
      <w:pPr>
        <w:spacing w:after="0"/>
        <w:rPr>
          <w:rFonts w:eastAsia="Arial" w:cs="Arial"/>
        </w:rPr>
      </w:pPr>
      <w:r w:rsidRPr="613AAF8D">
        <w:rPr>
          <w:rFonts w:eastAsia="Arial" w:cs="Arial"/>
        </w:rPr>
        <w:t xml:space="preserve">The limitation on the right to work is reasonable and proportionate to the </w:t>
      </w:r>
      <w:r w:rsidRPr="613AAF8D">
        <w:rPr>
          <w:rFonts w:eastAsia="Arial" w:cs="Arial"/>
          <w:lang w:val="en-GB"/>
        </w:rPr>
        <w:t xml:space="preserve">purpose of the change as it </w:t>
      </w:r>
      <w:r w:rsidRPr="613AAF8D">
        <w:rPr>
          <w:rFonts w:eastAsia="Arial" w:cs="Arial"/>
        </w:rPr>
        <w:t xml:space="preserve">ensures those who hold security licences in the ACT meet community standards of suitability for the protection of persons and property. </w:t>
      </w:r>
      <w:r w:rsidR="005930B3">
        <w:rPr>
          <w:rFonts w:eastAsia="Arial" w:cs="Arial"/>
        </w:rPr>
        <w:t>It is noted that licence holders are already required to disclose this information to the Commissioner for Fair trading if they seek renewal of their licence so this new positive disclosure duty simply serves to ensure the Commissioner for Fair Trading is made aware of matters relating to suitability to hold a licence in a more contemporaneous manner.  Further, it is noted that t</w:t>
      </w:r>
      <w:r w:rsidR="005930B3" w:rsidRPr="613AAF8D">
        <w:rPr>
          <w:rFonts w:eastAsia="Arial" w:cs="Arial"/>
        </w:rPr>
        <w:t>he decision to cancel a licence is reviewable by the ACT Civil and Administrative Tribunal.</w:t>
      </w:r>
    </w:p>
    <w:p w14:paraId="59CB4E1B" w14:textId="7113A989" w:rsidR="25AABDD4" w:rsidRDefault="25AABDD4" w:rsidP="25AABDD4">
      <w:pPr>
        <w:spacing w:after="0"/>
      </w:pPr>
    </w:p>
    <w:p w14:paraId="45D29B26" w14:textId="4A588873" w:rsidR="25AABDD4" w:rsidRDefault="25AABDD4" w:rsidP="25AABDD4">
      <w:pPr>
        <w:rPr>
          <w:rFonts w:eastAsia="Arial" w:cs="Arial"/>
          <w:szCs w:val="24"/>
        </w:rPr>
        <w:sectPr w:rsidR="25AABDD4" w:rsidSect="00DA675F">
          <w:footerReference w:type="default" r:id="rId16"/>
          <w:footerReference w:type="first" r:id="rId17"/>
          <w:pgSz w:w="11906" w:h="16838"/>
          <w:pgMar w:top="1276" w:right="1440" w:bottom="1440" w:left="1440" w:header="709" w:footer="675" w:gutter="0"/>
          <w:pgNumType w:start="1"/>
          <w:cols w:space="708"/>
          <w:titlePg/>
          <w:docGrid w:linePitch="360"/>
        </w:sectPr>
      </w:pPr>
    </w:p>
    <w:p w14:paraId="4584F4AF" w14:textId="72BE6622" w:rsidR="004A549C" w:rsidRDefault="1A717315" w:rsidP="1701E8FA">
      <w:pPr>
        <w:pStyle w:val="Heading4"/>
        <w:ind w:left="-108"/>
        <w:jc w:val="center"/>
        <w:rPr>
          <w:rFonts w:asciiTheme="minorHAnsi" w:hAnsiTheme="minorHAnsi" w:cstheme="minorBidi"/>
          <w:b/>
          <w:bCs/>
        </w:rPr>
      </w:pPr>
      <w:r w:rsidRPr="1701E8FA">
        <w:rPr>
          <w:rFonts w:asciiTheme="minorHAnsi" w:hAnsiTheme="minorHAnsi" w:cstheme="minorBidi"/>
          <w:b/>
          <w:bCs/>
        </w:rPr>
        <w:lastRenderedPageBreak/>
        <w:t>JUSTICE AND COMMUNITY SAFETY LEGISLATION AMENDMENT BILL 202</w:t>
      </w:r>
      <w:r w:rsidR="350E3D33" w:rsidRPr="1701E8FA">
        <w:rPr>
          <w:rFonts w:asciiTheme="minorHAnsi" w:hAnsiTheme="minorHAnsi" w:cstheme="minorBidi"/>
          <w:b/>
          <w:bCs/>
        </w:rPr>
        <w:t>4</w:t>
      </w:r>
    </w:p>
    <w:p w14:paraId="12928F7D" w14:textId="371F441E" w:rsidR="00E574DD" w:rsidRPr="003E5EE6" w:rsidRDefault="00E574DD" w:rsidP="00E574DD">
      <w:pPr>
        <w:pStyle w:val="Heading4"/>
        <w:ind w:left="-108"/>
        <w:jc w:val="center"/>
        <w:rPr>
          <w:rFonts w:asciiTheme="minorHAnsi" w:hAnsiTheme="minorHAnsi"/>
          <w:szCs w:val="24"/>
        </w:rPr>
      </w:pPr>
      <w:r w:rsidRPr="003E5EE6">
        <w:rPr>
          <w:rFonts w:asciiTheme="minorHAnsi" w:hAnsiTheme="minorHAnsi"/>
          <w:szCs w:val="24"/>
        </w:rPr>
        <w:t>Human Rights Act 2004 - Compatibility Statement</w:t>
      </w:r>
    </w:p>
    <w:p w14:paraId="1B9772F9" w14:textId="77777777" w:rsidR="00E574DD" w:rsidRDefault="00E574DD" w:rsidP="00E574DD"/>
    <w:p w14:paraId="498DB008" w14:textId="77777777" w:rsidR="007557A6" w:rsidRDefault="007557A6" w:rsidP="00774277">
      <w:pPr>
        <w:rPr>
          <w:rFonts w:cs="Arial"/>
        </w:rPr>
      </w:pPr>
    </w:p>
    <w:p w14:paraId="71084E2C" w14:textId="573C9AA9" w:rsidR="00E574DD" w:rsidRPr="00DB0D23" w:rsidRDefault="6C72154E" w:rsidP="00774277">
      <w:pPr>
        <w:rPr>
          <w:rFonts w:cs="Arial"/>
        </w:rPr>
      </w:pPr>
      <w:r w:rsidRPr="1701E8FA">
        <w:rPr>
          <w:rFonts w:cs="Arial"/>
        </w:rPr>
        <w:t xml:space="preserve">In accordance with section 37 of the </w:t>
      </w:r>
      <w:r w:rsidRPr="1701E8FA">
        <w:rPr>
          <w:rFonts w:cs="Arial"/>
          <w:i/>
          <w:iCs/>
        </w:rPr>
        <w:t>Human Rights Act 2004</w:t>
      </w:r>
      <w:r w:rsidRPr="1701E8FA">
        <w:rPr>
          <w:rFonts w:cs="Arial"/>
        </w:rPr>
        <w:t xml:space="preserve"> I have examined the</w:t>
      </w:r>
      <w:r w:rsidRPr="1701E8FA">
        <w:rPr>
          <w:rFonts w:cs="Arial"/>
          <w:b/>
          <w:bCs/>
        </w:rPr>
        <w:t xml:space="preserve"> </w:t>
      </w:r>
      <w:r w:rsidR="11A96417" w:rsidRPr="1701E8FA">
        <w:rPr>
          <w:rFonts w:cs="Arial"/>
          <w:b/>
          <w:bCs/>
        </w:rPr>
        <w:t xml:space="preserve">Justice and Community </w:t>
      </w:r>
      <w:r w:rsidR="00400CB7">
        <w:rPr>
          <w:rFonts w:cs="Arial"/>
          <w:b/>
          <w:bCs/>
        </w:rPr>
        <w:t>Safety Legislation Amendment</w:t>
      </w:r>
      <w:r w:rsidR="11A96417" w:rsidRPr="1701E8FA">
        <w:rPr>
          <w:rFonts w:cs="Arial"/>
          <w:b/>
          <w:bCs/>
        </w:rPr>
        <w:t xml:space="preserve"> Bill 202</w:t>
      </w:r>
      <w:r w:rsidR="27DF5603" w:rsidRPr="1701E8FA">
        <w:rPr>
          <w:rFonts w:cs="Arial"/>
          <w:b/>
          <w:bCs/>
        </w:rPr>
        <w:t>4</w:t>
      </w:r>
      <w:r w:rsidRPr="1701E8FA">
        <w:rPr>
          <w:rFonts w:cs="Arial"/>
        </w:rPr>
        <w:t>. In my opinion,</w:t>
      </w:r>
      <w:r w:rsidR="7AEE1B61" w:rsidRPr="1701E8FA">
        <w:rPr>
          <w:rFonts w:cs="Arial"/>
        </w:rPr>
        <w:t xml:space="preserve"> having regard to the </w:t>
      </w:r>
      <w:r w:rsidR="5BB68246" w:rsidRPr="1701E8FA">
        <w:rPr>
          <w:rFonts w:cs="Arial"/>
        </w:rPr>
        <w:t xml:space="preserve">Bill and the </w:t>
      </w:r>
      <w:r w:rsidR="3372E64A" w:rsidRPr="1701E8FA">
        <w:rPr>
          <w:rFonts w:cs="Arial"/>
        </w:rPr>
        <w:t>outline</w:t>
      </w:r>
      <w:r w:rsidR="7AEE1B61" w:rsidRPr="1701E8FA">
        <w:rPr>
          <w:rFonts w:cs="Arial"/>
        </w:rPr>
        <w:t xml:space="preserve"> of the policy </w:t>
      </w:r>
      <w:r w:rsidR="02FA4DCA" w:rsidRPr="1701E8FA">
        <w:rPr>
          <w:rFonts w:cs="Arial"/>
        </w:rPr>
        <w:t>considerati</w:t>
      </w:r>
      <w:r w:rsidR="2410CC8D" w:rsidRPr="1701E8FA">
        <w:rPr>
          <w:rFonts w:cs="Arial"/>
        </w:rPr>
        <w:t>ons</w:t>
      </w:r>
      <w:r w:rsidR="466C95B1" w:rsidRPr="1701E8FA">
        <w:rPr>
          <w:rFonts w:cs="Arial"/>
        </w:rPr>
        <w:t xml:space="preserve"> and </w:t>
      </w:r>
      <w:r w:rsidR="45243A71" w:rsidRPr="1701E8FA">
        <w:rPr>
          <w:rFonts w:cs="Arial"/>
        </w:rPr>
        <w:t xml:space="preserve">justification of </w:t>
      </w:r>
      <w:r w:rsidR="0715CD6F" w:rsidRPr="1701E8FA">
        <w:rPr>
          <w:rFonts w:cs="Arial"/>
        </w:rPr>
        <w:t>any</w:t>
      </w:r>
      <w:r w:rsidR="466C95B1" w:rsidRPr="1701E8FA">
        <w:rPr>
          <w:rFonts w:cs="Arial"/>
        </w:rPr>
        <w:t xml:space="preserve"> </w:t>
      </w:r>
      <w:r w:rsidR="45243A71" w:rsidRPr="1701E8FA">
        <w:rPr>
          <w:rFonts w:cs="Arial"/>
        </w:rPr>
        <w:t>limitations</w:t>
      </w:r>
      <w:r w:rsidR="466C95B1" w:rsidRPr="1701E8FA">
        <w:rPr>
          <w:rFonts w:cs="Arial"/>
        </w:rPr>
        <w:t xml:space="preserve"> on rights</w:t>
      </w:r>
      <w:r w:rsidR="45243A71" w:rsidRPr="1701E8FA">
        <w:rPr>
          <w:rFonts w:cs="Arial"/>
        </w:rPr>
        <w:t xml:space="preserve"> </w:t>
      </w:r>
      <w:r w:rsidR="2410CC8D" w:rsidRPr="1701E8FA">
        <w:rPr>
          <w:rFonts w:cs="Arial"/>
        </w:rPr>
        <w:t xml:space="preserve">outlined </w:t>
      </w:r>
      <w:r w:rsidR="45243A71" w:rsidRPr="1701E8FA">
        <w:rPr>
          <w:rFonts w:cs="Arial"/>
        </w:rPr>
        <w:t>in this explanatory statement, the Bill as presented to the Legislative Assembly</w:t>
      </w:r>
      <w:r w:rsidR="45243A71" w:rsidRPr="1701E8FA">
        <w:rPr>
          <w:rFonts w:cs="Arial"/>
          <w:b/>
          <w:bCs/>
        </w:rPr>
        <w:t xml:space="preserve"> </w:t>
      </w:r>
      <w:r w:rsidRPr="1701E8FA">
        <w:rPr>
          <w:rFonts w:cs="Arial"/>
          <w:b/>
          <w:bCs/>
        </w:rPr>
        <w:t xml:space="preserve">is </w:t>
      </w:r>
      <w:r w:rsidRPr="1701E8FA">
        <w:rPr>
          <w:rFonts w:cs="Arial"/>
        </w:rPr>
        <w:t xml:space="preserve">consistent with the </w:t>
      </w:r>
      <w:r w:rsidRPr="1701E8FA">
        <w:rPr>
          <w:rFonts w:cs="Arial"/>
          <w:i/>
          <w:iCs/>
        </w:rPr>
        <w:t>Human Rights Act 2004</w:t>
      </w:r>
      <w:r w:rsidR="7AEE1B61" w:rsidRPr="1701E8FA">
        <w:rPr>
          <w:rFonts w:cs="Arial"/>
          <w:i/>
          <w:iCs/>
        </w:rPr>
        <w:t>.</w:t>
      </w:r>
    </w:p>
    <w:p w14:paraId="66ABEB43" w14:textId="77777777" w:rsidR="00E574DD" w:rsidRPr="00DB0D23" w:rsidRDefault="00E574DD" w:rsidP="00E574DD">
      <w:pPr>
        <w:rPr>
          <w:rFonts w:cs="Arial"/>
        </w:rPr>
      </w:pPr>
    </w:p>
    <w:p w14:paraId="6C6D5E27" w14:textId="77777777" w:rsidR="00E574DD" w:rsidRPr="00DB0D23" w:rsidRDefault="00E574DD" w:rsidP="00E574DD">
      <w:pPr>
        <w:rPr>
          <w:rFonts w:cs="Arial"/>
        </w:rPr>
      </w:pPr>
    </w:p>
    <w:p w14:paraId="3AC1DED3" w14:textId="77777777" w:rsidR="00E574DD" w:rsidRPr="00DB0D23" w:rsidRDefault="00E574DD" w:rsidP="00E574DD">
      <w:pPr>
        <w:rPr>
          <w:rFonts w:cs="Arial"/>
        </w:rPr>
      </w:pPr>
      <w:r w:rsidRPr="00DB0D23">
        <w:rPr>
          <w:rFonts w:cs="Arial"/>
        </w:rPr>
        <w:t>………………………………………………….</w:t>
      </w:r>
    </w:p>
    <w:p w14:paraId="3A8E2AC8" w14:textId="6F2B0CF3" w:rsidR="00E574DD" w:rsidRPr="00DB0D23" w:rsidRDefault="00343402" w:rsidP="00E574DD">
      <w:pPr>
        <w:rPr>
          <w:rFonts w:cs="Arial"/>
        </w:rPr>
      </w:pPr>
      <w:r w:rsidRPr="00DB0D23">
        <w:rPr>
          <w:rFonts w:cs="Arial"/>
        </w:rPr>
        <w:t>Shane Rattenbury</w:t>
      </w:r>
      <w:r w:rsidR="00E574DD" w:rsidRPr="00DB0D23">
        <w:rPr>
          <w:rFonts w:cs="Arial"/>
        </w:rPr>
        <w:t xml:space="preserve"> MLA</w:t>
      </w:r>
      <w:r w:rsidR="00E574DD" w:rsidRPr="00DB0D23">
        <w:rPr>
          <w:rFonts w:cs="Arial"/>
        </w:rPr>
        <w:br/>
        <w:t>Attorney-General</w:t>
      </w:r>
    </w:p>
    <w:p w14:paraId="1578DA22" w14:textId="77777777" w:rsidR="006D53B2" w:rsidRPr="006D52AC" w:rsidRDefault="006D53B2" w:rsidP="006D53B2">
      <w:pPr>
        <w:spacing w:before="200"/>
        <w:rPr>
          <w:rFonts w:cs="Arial"/>
          <w:szCs w:val="24"/>
        </w:rPr>
      </w:pPr>
    </w:p>
    <w:p w14:paraId="189C6D8E" w14:textId="0E13A270" w:rsidR="00296D67" w:rsidRPr="00296D67" w:rsidRDefault="00296D67" w:rsidP="00296D67"/>
    <w:p w14:paraId="4C112F7B" w14:textId="1423D9BD" w:rsidR="796F771C" w:rsidRDefault="796F771C" w:rsidP="796F771C"/>
    <w:p w14:paraId="2FF5D1DD" w14:textId="7B849DCC" w:rsidR="796F771C" w:rsidRDefault="796F771C" w:rsidP="796F771C"/>
    <w:p w14:paraId="3C58BB5D" w14:textId="4785EC91" w:rsidR="796F771C" w:rsidRDefault="796F771C" w:rsidP="796F771C"/>
    <w:p w14:paraId="5B66E87C" w14:textId="1547282A" w:rsidR="796F771C" w:rsidRDefault="796F771C" w:rsidP="796F771C"/>
    <w:p w14:paraId="5A9716BE" w14:textId="6848C88F" w:rsidR="796F771C" w:rsidRDefault="796F771C" w:rsidP="796F771C"/>
    <w:p w14:paraId="6F632FC3" w14:textId="36717AD8" w:rsidR="796F771C" w:rsidRDefault="796F771C" w:rsidP="796F771C"/>
    <w:p w14:paraId="3D2109AC" w14:textId="1F32562A" w:rsidR="796F771C" w:rsidRDefault="796F771C" w:rsidP="796F771C"/>
    <w:p w14:paraId="4F531C33" w14:textId="2BE9A50C" w:rsidR="796F771C" w:rsidRDefault="796F771C" w:rsidP="796F771C"/>
    <w:p w14:paraId="7ED850A4" w14:textId="1869350A" w:rsidR="796F771C" w:rsidRDefault="796F771C" w:rsidP="796F771C"/>
    <w:p w14:paraId="31F40BC7" w14:textId="32195317" w:rsidR="796F771C" w:rsidRDefault="796F771C" w:rsidP="796F771C"/>
    <w:p w14:paraId="6281A3BF" w14:textId="6550FBCF" w:rsidR="796F771C" w:rsidRDefault="796F771C" w:rsidP="796F771C"/>
    <w:p w14:paraId="78BCA29B" w14:textId="16D8E830" w:rsidR="796F771C" w:rsidRDefault="796F771C" w:rsidP="796F771C"/>
    <w:p w14:paraId="1D5E5C0A" w14:textId="6E38EA55" w:rsidR="796F771C" w:rsidRDefault="796F771C" w:rsidP="796F771C"/>
    <w:p w14:paraId="2691B06E" w14:textId="77777777" w:rsidR="00DB0A6C" w:rsidRDefault="00DB0A6C" w:rsidP="00DB0A6C">
      <w:pPr>
        <w:pStyle w:val="Heading2"/>
        <w:pageBreakBefore/>
        <w:spacing w:before="240" w:after="240"/>
      </w:pPr>
      <w:r w:rsidRPr="008C225D">
        <w:lastRenderedPageBreak/>
        <w:t>CLAUSE NOTES</w:t>
      </w:r>
    </w:p>
    <w:p w14:paraId="3E2A3F0F" w14:textId="77777777" w:rsidR="00DB0A6C" w:rsidRPr="00BF19D2" w:rsidRDefault="00DB0A6C" w:rsidP="00DB0A6C">
      <w:pPr>
        <w:rPr>
          <w:b/>
          <w:bCs/>
        </w:rPr>
      </w:pPr>
    </w:p>
    <w:p w14:paraId="75C1E6C8" w14:textId="77777777" w:rsidR="00DB0A6C" w:rsidRDefault="00DB0A6C" w:rsidP="00DB0A6C">
      <w:pPr>
        <w:pStyle w:val="Heading2"/>
      </w:pPr>
      <w:r>
        <w:t>Part 1</w:t>
      </w:r>
      <w:r>
        <w:tab/>
      </w:r>
      <w:r>
        <w:tab/>
        <w:t>Preliminary</w:t>
      </w:r>
    </w:p>
    <w:p w14:paraId="2ABF79AC" w14:textId="77777777" w:rsidR="00DB0A6C" w:rsidRDefault="00DB0A6C" w:rsidP="00DB0A6C">
      <w:pPr>
        <w:pStyle w:val="Heading3"/>
      </w:pPr>
      <w:r w:rsidRPr="00ED3B77">
        <w:t>Clause 1</w:t>
      </w:r>
      <w:r w:rsidRPr="00ED3B77">
        <w:tab/>
        <w:t>Name of Act</w:t>
      </w:r>
    </w:p>
    <w:p w14:paraId="0EAB8E6F" w14:textId="77777777" w:rsidR="00DB0A6C" w:rsidRPr="00CD0B95" w:rsidRDefault="00DB0A6C" w:rsidP="00DB0A6C">
      <w:pPr>
        <w:pStyle w:val="Heading3"/>
        <w:rPr>
          <w:rFonts w:eastAsia="Times New Roman" w:cs="Arial"/>
          <w:b w:val="0"/>
          <w:i/>
          <w:iCs/>
        </w:rPr>
      </w:pPr>
      <w:r w:rsidRPr="00BF19D2">
        <w:rPr>
          <w:rFonts w:eastAsia="Times New Roman" w:cs="Arial"/>
          <w:b w:val="0"/>
        </w:rPr>
        <w:t xml:space="preserve">This clause provides that the name of the Act is the </w:t>
      </w:r>
      <w:r w:rsidRPr="00BF19D2">
        <w:rPr>
          <w:rFonts w:eastAsia="Times New Roman" w:cs="Arial"/>
          <w:b w:val="0"/>
          <w:i/>
          <w:iCs/>
        </w:rPr>
        <w:t>Justice and Community Safety Legislation Amendment Act 202</w:t>
      </w:r>
      <w:r>
        <w:rPr>
          <w:rFonts w:eastAsia="Times New Roman" w:cs="Arial"/>
          <w:b w:val="0"/>
          <w:i/>
          <w:iCs/>
        </w:rPr>
        <w:t>4</w:t>
      </w:r>
      <w:r w:rsidRPr="00BF19D2">
        <w:rPr>
          <w:rFonts w:eastAsia="Times New Roman" w:cs="Arial"/>
          <w:b w:val="0"/>
          <w:i/>
          <w:iCs/>
        </w:rPr>
        <w:t xml:space="preserve">. </w:t>
      </w:r>
    </w:p>
    <w:p w14:paraId="6683EEB8" w14:textId="77777777" w:rsidR="00DB0A6C" w:rsidRDefault="00DB0A6C" w:rsidP="00DB0A6C">
      <w:pPr>
        <w:pStyle w:val="Heading3"/>
      </w:pPr>
      <w:r w:rsidRPr="00ED3B77">
        <w:t>Clause 2</w:t>
      </w:r>
      <w:r w:rsidRPr="00ED3B77">
        <w:tab/>
        <w:t>Commencement</w:t>
      </w:r>
    </w:p>
    <w:p w14:paraId="6E6A0419" w14:textId="77777777" w:rsidR="00DB0A6C" w:rsidRPr="00CD0B95" w:rsidRDefault="00DB0A6C" w:rsidP="00DB0A6C">
      <w:pPr>
        <w:jc w:val="both"/>
        <w:rPr>
          <w:rFonts w:cs="Arial"/>
          <w:szCs w:val="24"/>
        </w:rPr>
      </w:pPr>
      <w:r w:rsidRPr="00BF19D2">
        <w:rPr>
          <w:rFonts w:cs="Arial"/>
          <w:szCs w:val="24"/>
        </w:rPr>
        <w:t xml:space="preserve">This clause provides for the commencement of the Act. The Act commences on the day after its notification day. </w:t>
      </w:r>
    </w:p>
    <w:p w14:paraId="742C2B90" w14:textId="77777777" w:rsidR="00DB0A6C" w:rsidRDefault="00DB0A6C" w:rsidP="00DB0A6C">
      <w:pPr>
        <w:pStyle w:val="Heading3"/>
      </w:pPr>
      <w:r w:rsidRPr="00ED3B77">
        <w:t>Clause 3</w:t>
      </w:r>
      <w:r w:rsidRPr="00ED3B77">
        <w:tab/>
        <w:t>Legislation amended</w:t>
      </w:r>
    </w:p>
    <w:p w14:paraId="5D903683" w14:textId="77777777" w:rsidR="00DB0A6C" w:rsidRPr="00BF19D2" w:rsidRDefault="00DB0A6C" w:rsidP="00DB0A6C">
      <w:pPr>
        <w:jc w:val="both"/>
        <w:rPr>
          <w:rFonts w:cs="Arial"/>
          <w:szCs w:val="24"/>
        </w:rPr>
      </w:pPr>
      <w:r w:rsidRPr="00BF19D2">
        <w:rPr>
          <w:rFonts w:cs="Arial"/>
          <w:szCs w:val="24"/>
        </w:rPr>
        <w:t xml:space="preserve">This clause identifies the legislation that will be amended is the: </w:t>
      </w:r>
    </w:p>
    <w:p w14:paraId="00881B88" w14:textId="77777777" w:rsidR="00DB0A6C" w:rsidRPr="00BC4010" w:rsidRDefault="429BF366" w:rsidP="00DB0A6C">
      <w:pPr>
        <w:numPr>
          <w:ilvl w:val="0"/>
          <w:numId w:val="21"/>
        </w:numPr>
        <w:spacing w:after="0" w:line="240" w:lineRule="auto"/>
        <w:rPr>
          <w:rFonts w:cs="Arial"/>
          <w:iCs/>
          <w:szCs w:val="24"/>
          <w:lang w:eastAsia="en-AU"/>
        </w:rPr>
      </w:pPr>
      <w:r w:rsidRPr="01A5810D">
        <w:rPr>
          <w:rFonts w:cs="Arial"/>
          <w:i/>
          <w:iCs/>
          <w:lang w:eastAsia="en-AU"/>
        </w:rPr>
        <w:t>Court Procedures Act 2004</w:t>
      </w:r>
    </w:p>
    <w:p w14:paraId="0094DF04" w14:textId="77777777" w:rsidR="00DB0A6C" w:rsidRPr="00BC4010" w:rsidRDefault="429BF366" w:rsidP="00DB0A6C">
      <w:pPr>
        <w:numPr>
          <w:ilvl w:val="0"/>
          <w:numId w:val="21"/>
        </w:numPr>
        <w:spacing w:after="0" w:line="240" w:lineRule="auto"/>
        <w:rPr>
          <w:rFonts w:cs="Arial"/>
          <w:iCs/>
          <w:szCs w:val="24"/>
          <w:lang w:eastAsia="en-AU"/>
        </w:rPr>
      </w:pPr>
      <w:r w:rsidRPr="01A5810D">
        <w:rPr>
          <w:rFonts w:cs="Arial"/>
          <w:i/>
          <w:iCs/>
          <w:lang w:eastAsia="en-AU"/>
        </w:rPr>
        <w:t>Civil Law (Wrongs) Act 2002</w:t>
      </w:r>
    </w:p>
    <w:p w14:paraId="6A3C4F2E" w14:textId="77777777" w:rsidR="00DB0A6C" w:rsidRPr="003512FE" w:rsidRDefault="429BF366" w:rsidP="00DB0A6C">
      <w:pPr>
        <w:numPr>
          <w:ilvl w:val="0"/>
          <w:numId w:val="21"/>
        </w:numPr>
        <w:spacing w:after="0" w:line="240" w:lineRule="auto"/>
        <w:rPr>
          <w:rFonts w:cs="Arial"/>
          <w:iCs/>
          <w:szCs w:val="24"/>
          <w:lang w:eastAsia="en-AU"/>
        </w:rPr>
      </w:pPr>
      <w:r w:rsidRPr="01A5810D">
        <w:rPr>
          <w:rFonts w:cs="Arial"/>
          <w:i/>
          <w:iCs/>
          <w:lang w:eastAsia="en-AU"/>
        </w:rPr>
        <w:t>Civil Law (Wrongs) Regulation 2003</w:t>
      </w:r>
    </w:p>
    <w:p w14:paraId="26B67BED" w14:textId="77777777" w:rsidR="00DB0A6C" w:rsidRPr="00237B47" w:rsidRDefault="429BF366" w:rsidP="00DB0A6C">
      <w:pPr>
        <w:numPr>
          <w:ilvl w:val="0"/>
          <w:numId w:val="21"/>
        </w:numPr>
        <w:spacing w:after="0" w:line="240" w:lineRule="auto"/>
        <w:rPr>
          <w:rFonts w:cs="Arial"/>
          <w:iCs/>
          <w:szCs w:val="24"/>
          <w:lang w:eastAsia="en-AU"/>
        </w:rPr>
      </w:pPr>
      <w:r w:rsidRPr="01A5810D">
        <w:rPr>
          <w:rFonts w:cs="Arial"/>
          <w:i/>
          <w:iCs/>
          <w:lang w:eastAsia="en-AU"/>
        </w:rPr>
        <w:t>Domestic Violence Agencies Act 1986</w:t>
      </w:r>
    </w:p>
    <w:p w14:paraId="41BD0704" w14:textId="77777777" w:rsidR="00DB0A6C" w:rsidRPr="00237B47" w:rsidRDefault="429BF366" w:rsidP="00DB0A6C">
      <w:pPr>
        <w:numPr>
          <w:ilvl w:val="0"/>
          <w:numId w:val="21"/>
        </w:numPr>
        <w:spacing w:after="0" w:line="240" w:lineRule="auto"/>
        <w:rPr>
          <w:rFonts w:cs="Arial"/>
          <w:iCs/>
          <w:szCs w:val="24"/>
          <w:lang w:eastAsia="en-AU"/>
        </w:rPr>
      </w:pPr>
      <w:r w:rsidRPr="01A5810D">
        <w:rPr>
          <w:rFonts w:cs="Arial"/>
          <w:i/>
          <w:iCs/>
          <w:lang w:eastAsia="en-AU"/>
        </w:rPr>
        <w:t>Security Industry Act 2004</w:t>
      </w:r>
    </w:p>
    <w:p w14:paraId="0BC30F14" w14:textId="77777777" w:rsidR="00DB0A6C" w:rsidRDefault="429BF366" w:rsidP="00DB0A6C">
      <w:pPr>
        <w:numPr>
          <w:ilvl w:val="0"/>
          <w:numId w:val="21"/>
        </w:numPr>
        <w:spacing w:after="0" w:line="240" w:lineRule="auto"/>
        <w:rPr>
          <w:rFonts w:cs="Arial"/>
          <w:i/>
          <w:szCs w:val="24"/>
          <w:lang w:eastAsia="en-AU"/>
        </w:rPr>
      </w:pPr>
      <w:r w:rsidRPr="01A5810D">
        <w:rPr>
          <w:rFonts w:cs="Arial"/>
          <w:i/>
          <w:iCs/>
          <w:lang w:eastAsia="en-AU"/>
        </w:rPr>
        <w:t>Urban Forest Act 2023</w:t>
      </w:r>
    </w:p>
    <w:p w14:paraId="552637F3" w14:textId="77777777" w:rsidR="00DB0A6C" w:rsidRDefault="00DB0A6C" w:rsidP="00DB0A6C">
      <w:pPr>
        <w:spacing w:after="0" w:line="240" w:lineRule="auto"/>
        <w:rPr>
          <w:rFonts w:cs="Arial"/>
          <w:i/>
          <w:szCs w:val="24"/>
          <w:lang w:eastAsia="en-AU"/>
        </w:rPr>
      </w:pPr>
    </w:p>
    <w:p w14:paraId="363D3C45" w14:textId="77777777" w:rsidR="00DB0A6C" w:rsidRDefault="00DB0A6C" w:rsidP="00DB0A6C">
      <w:pPr>
        <w:spacing w:after="0" w:line="240" w:lineRule="auto"/>
        <w:rPr>
          <w:rFonts w:cs="Arial"/>
          <w:iCs/>
          <w:szCs w:val="24"/>
          <w:lang w:eastAsia="en-AU"/>
        </w:rPr>
      </w:pPr>
      <w:r>
        <w:rPr>
          <w:rFonts w:cs="Arial"/>
          <w:iCs/>
          <w:szCs w:val="24"/>
          <w:lang w:eastAsia="en-AU"/>
        </w:rPr>
        <w:t>The clause also identifies other legislation that will be amended in Schedule 1.</w:t>
      </w:r>
    </w:p>
    <w:p w14:paraId="65202514" w14:textId="77777777" w:rsidR="007557A6" w:rsidRPr="00237B47" w:rsidRDefault="007557A6" w:rsidP="00DB0A6C">
      <w:pPr>
        <w:spacing w:after="0" w:line="240" w:lineRule="auto"/>
        <w:rPr>
          <w:rFonts w:cs="Arial"/>
          <w:iCs/>
          <w:szCs w:val="24"/>
          <w:lang w:eastAsia="en-AU"/>
        </w:rPr>
      </w:pPr>
    </w:p>
    <w:p w14:paraId="7EB21B37" w14:textId="412A5CDA" w:rsidR="20B98D3A" w:rsidRDefault="20B98D3A" w:rsidP="796F771C">
      <w:pPr>
        <w:pStyle w:val="Heading2"/>
      </w:pPr>
      <w:r w:rsidRPr="796F771C">
        <w:rPr>
          <w:rFonts w:eastAsia="Arial" w:cs="Arial"/>
          <w:bCs/>
          <w:szCs w:val="24"/>
        </w:rPr>
        <w:t xml:space="preserve">Part 2 </w:t>
      </w:r>
      <w:r>
        <w:tab/>
      </w:r>
      <w:r w:rsidRPr="796F771C">
        <w:rPr>
          <w:rFonts w:eastAsia="Arial" w:cs="Arial"/>
          <w:bCs/>
          <w:szCs w:val="24"/>
        </w:rPr>
        <w:t>Civil Law (Wrongs) Act 2002</w:t>
      </w:r>
    </w:p>
    <w:p w14:paraId="47733A01" w14:textId="55616A3E" w:rsidR="20B98D3A" w:rsidRDefault="20B98D3A" w:rsidP="796F771C">
      <w:pPr>
        <w:spacing w:after="0"/>
      </w:pPr>
      <w:r w:rsidRPr="796F771C">
        <w:rPr>
          <w:rFonts w:eastAsia="Arial" w:cs="Arial"/>
          <w:b/>
          <w:bCs/>
          <w:szCs w:val="24"/>
        </w:rPr>
        <w:t>Clause 4        Claimant may add later respondents</w:t>
      </w:r>
    </w:p>
    <w:p w14:paraId="76E28AC2" w14:textId="67877376" w:rsidR="20B98D3A" w:rsidRDefault="00BB4766" w:rsidP="00BB4766">
      <w:pPr>
        <w:ind w:left="720" w:firstLine="720"/>
      </w:pPr>
      <w:r>
        <w:rPr>
          <w:rFonts w:eastAsia="Arial" w:cs="Arial"/>
          <w:b/>
          <w:bCs/>
          <w:szCs w:val="24"/>
        </w:rPr>
        <w:t xml:space="preserve"> </w:t>
      </w:r>
      <w:r w:rsidR="20B98D3A" w:rsidRPr="796F771C">
        <w:rPr>
          <w:rFonts w:eastAsia="Arial" w:cs="Arial"/>
          <w:b/>
          <w:bCs/>
          <w:szCs w:val="24"/>
        </w:rPr>
        <w:t>Section 55 (2) (a)</w:t>
      </w:r>
    </w:p>
    <w:p w14:paraId="1BA0201E" w14:textId="0A41B6B0" w:rsidR="20B98D3A" w:rsidRDefault="20B98D3A" w:rsidP="796F771C">
      <w:r w:rsidRPr="796F771C">
        <w:rPr>
          <w:rFonts w:eastAsia="Arial" w:cs="Arial"/>
          <w:szCs w:val="24"/>
        </w:rPr>
        <w:t xml:space="preserve">This clause substitutes ‘within the time prescribed by regulation; or’ with ‘within the time (if any) prescribed by regulation; or’. This amendment is added for clarity, to reflect that a time may not be prescribed by regulation. </w:t>
      </w:r>
    </w:p>
    <w:p w14:paraId="792F7CFD" w14:textId="6B6E1D8F" w:rsidR="20B98D3A" w:rsidRDefault="20B98D3A" w:rsidP="796F771C">
      <w:r w:rsidRPr="796F771C">
        <w:rPr>
          <w:rFonts w:eastAsia="Arial" w:cs="Arial"/>
          <w:b/>
          <w:bCs/>
          <w:szCs w:val="24"/>
        </w:rPr>
        <w:t xml:space="preserve">Clause 5 </w:t>
      </w:r>
      <w:r>
        <w:tab/>
      </w:r>
      <w:r w:rsidRPr="796F771C">
        <w:rPr>
          <w:rFonts w:eastAsia="Arial" w:cs="Arial"/>
          <w:b/>
          <w:bCs/>
          <w:szCs w:val="24"/>
        </w:rPr>
        <w:t>Section 55 (3) (b)</w:t>
      </w:r>
    </w:p>
    <w:p w14:paraId="674898BF" w14:textId="24FB553B" w:rsidR="20B98D3A" w:rsidRDefault="20B98D3A" w:rsidP="796F771C">
      <w:r w:rsidRPr="796F771C">
        <w:rPr>
          <w:rFonts w:eastAsia="Arial" w:cs="Arial"/>
          <w:szCs w:val="24"/>
        </w:rPr>
        <w:t xml:space="preserve">This clause omits ‘time’ and substitutes it with ‘period’ in section 55 (3) (b). The amendment is made to enhance the readability of the provision. </w:t>
      </w:r>
    </w:p>
    <w:p w14:paraId="14E2F04F" w14:textId="25D5EA93" w:rsidR="20B98D3A" w:rsidRDefault="20B98D3A" w:rsidP="796F771C">
      <w:r w:rsidRPr="796F771C">
        <w:rPr>
          <w:rFonts w:eastAsia="Arial" w:cs="Arial"/>
          <w:b/>
          <w:bCs/>
          <w:szCs w:val="24"/>
        </w:rPr>
        <w:t xml:space="preserve">Clause 6 </w:t>
      </w:r>
      <w:r>
        <w:tab/>
      </w:r>
      <w:r w:rsidRPr="796F771C">
        <w:rPr>
          <w:rFonts w:eastAsia="Arial" w:cs="Arial"/>
          <w:b/>
          <w:bCs/>
          <w:szCs w:val="24"/>
        </w:rPr>
        <w:t>Respondent may add someone else as contributor</w:t>
      </w:r>
      <w:r>
        <w:tab/>
      </w:r>
      <w:r>
        <w:tab/>
      </w:r>
      <w:r>
        <w:tab/>
      </w:r>
      <w:r>
        <w:tab/>
      </w:r>
      <w:r w:rsidRPr="796F771C">
        <w:rPr>
          <w:rFonts w:eastAsia="Arial" w:cs="Arial"/>
          <w:b/>
          <w:bCs/>
          <w:szCs w:val="24"/>
        </w:rPr>
        <w:t>Section 57 (1)</w:t>
      </w:r>
    </w:p>
    <w:p w14:paraId="50E8DA33" w14:textId="39F54CB7" w:rsidR="20B98D3A" w:rsidRDefault="20B98D3A" w:rsidP="3FA559F0">
      <w:r w:rsidRPr="3FA559F0">
        <w:rPr>
          <w:rFonts w:eastAsia="Arial" w:cs="Arial"/>
        </w:rPr>
        <w:t>This clause omits ‘may, within the time prescribed by regulation, add’ and substitutes it with ‘may add’. This amendment is made for clarity and readability. It reflects that a time may not be prescribed by regulation. Provision for a time to be prescribed by regulation has been transferred into section 57 (2) (see clause 7 below).</w:t>
      </w:r>
    </w:p>
    <w:p w14:paraId="648F47C8" w14:textId="59C50FA2" w:rsidR="20B98D3A" w:rsidRDefault="20B98D3A" w:rsidP="796F771C">
      <w:pPr>
        <w:pStyle w:val="Heading2"/>
      </w:pPr>
      <w:r w:rsidRPr="796F771C">
        <w:rPr>
          <w:rFonts w:eastAsia="Arial" w:cs="Arial"/>
          <w:bCs/>
          <w:szCs w:val="24"/>
        </w:rPr>
        <w:lastRenderedPageBreak/>
        <w:t xml:space="preserve">Clause 7 </w:t>
      </w:r>
      <w:r>
        <w:tab/>
      </w:r>
      <w:r w:rsidRPr="796F771C">
        <w:rPr>
          <w:rFonts w:eastAsia="Arial" w:cs="Arial"/>
          <w:bCs/>
          <w:szCs w:val="24"/>
        </w:rPr>
        <w:t>Section 57 (2)</w:t>
      </w:r>
    </w:p>
    <w:p w14:paraId="329BE21A" w14:textId="01D5A021" w:rsidR="20B98D3A" w:rsidRDefault="20B98D3A" w:rsidP="796F771C">
      <w:pPr>
        <w:spacing w:after="0"/>
      </w:pPr>
      <w:r w:rsidRPr="796F771C">
        <w:rPr>
          <w:rFonts w:eastAsia="Arial" w:cs="Arial"/>
          <w:szCs w:val="24"/>
        </w:rPr>
        <w:t xml:space="preserve">This clause substitutes the existing section 57 (2) with ‘However, the respondent may add someone else as a contributor only— </w:t>
      </w:r>
    </w:p>
    <w:p w14:paraId="6DE1D423" w14:textId="1E433D34" w:rsidR="20B98D3A" w:rsidRDefault="20B98D3A" w:rsidP="796F771C">
      <w:pPr>
        <w:pStyle w:val="ListParagraph"/>
        <w:numPr>
          <w:ilvl w:val="0"/>
          <w:numId w:val="6"/>
        </w:numPr>
        <w:rPr>
          <w:rFonts w:eastAsia="Arial" w:cs="Arial"/>
          <w:szCs w:val="24"/>
        </w:rPr>
      </w:pPr>
      <w:r w:rsidRPr="796F771C">
        <w:rPr>
          <w:rFonts w:eastAsia="Arial" w:cs="Arial"/>
          <w:szCs w:val="24"/>
        </w:rPr>
        <w:t xml:space="preserve">within the period (if any) prescribed by regulation; or </w:t>
      </w:r>
    </w:p>
    <w:p w14:paraId="19004758" w14:textId="79CD118C" w:rsidR="20B98D3A" w:rsidRDefault="20B98D3A" w:rsidP="796F771C">
      <w:pPr>
        <w:pStyle w:val="ListParagraph"/>
        <w:numPr>
          <w:ilvl w:val="0"/>
          <w:numId w:val="6"/>
        </w:numPr>
        <w:rPr>
          <w:rFonts w:eastAsia="Arial" w:cs="Arial"/>
          <w:szCs w:val="24"/>
        </w:rPr>
      </w:pPr>
      <w:r w:rsidRPr="796F771C">
        <w:rPr>
          <w:rFonts w:eastAsia="Arial" w:cs="Arial"/>
          <w:szCs w:val="24"/>
        </w:rPr>
        <w:t xml:space="preserve">if the contributor and all parties to the claim agree; or </w:t>
      </w:r>
    </w:p>
    <w:p w14:paraId="6F8C8646" w14:textId="1054898A" w:rsidR="20B98D3A" w:rsidRDefault="20B98D3A" w:rsidP="796F771C">
      <w:pPr>
        <w:pStyle w:val="ListParagraph"/>
        <w:numPr>
          <w:ilvl w:val="0"/>
          <w:numId w:val="6"/>
        </w:numPr>
        <w:rPr>
          <w:rFonts w:eastAsia="Arial" w:cs="Arial"/>
          <w:szCs w:val="24"/>
        </w:rPr>
      </w:pPr>
      <w:r w:rsidRPr="796F771C">
        <w:rPr>
          <w:rFonts w:eastAsia="Arial" w:cs="Arial"/>
          <w:szCs w:val="24"/>
        </w:rPr>
        <w:t>if the court gives leave.’</w:t>
      </w:r>
    </w:p>
    <w:p w14:paraId="4EAF1F2C" w14:textId="7F5C45A2" w:rsidR="20B98D3A" w:rsidRDefault="20B98D3A" w:rsidP="796F771C">
      <w:pPr>
        <w:pStyle w:val="Heading2"/>
      </w:pPr>
      <w:r w:rsidRPr="796F771C">
        <w:rPr>
          <w:rFonts w:eastAsia="Arial" w:cs="Arial"/>
          <w:b w:val="0"/>
          <w:szCs w:val="24"/>
        </w:rPr>
        <w:t xml:space="preserve">The clause makes no substantive changes to section 57 (2). The provision that a period may be prescribed by Regulation is transferred from section 57 (1) to section 57 (2). </w:t>
      </w:r>
    </w:p>
    <w:p w14:paraId="4324DBCD" w14:textId="1812AAA2" w:rsidR="20B98D3A" w:rsidRDefault="20B98D3A" w:rsidP="796F771C">
      <w:pPr>
        <w:pStyle w:val="Heading2"/>
      </w:pPr>
      <w:r w:rsidRPr="796F771C">
        <w:rPr>
          <w:rFonts w:eastAsia="Arial" w:cs="Arial"/>
          <w:bCs/>
          <w:szCs w:val="24"/>
        </w:rPr>
        <w:t xml:space="preserve">Clause 8 </w:t>
      </w:r>
      <w:r>
        <w:tab/>
      </w:r>
      <w:r w:rsidRPr="796F771C">
        <w:rPr>
          <w:rFonts w:eastAsia="Arial" w:cs="Arial"/>
          <w:bCs/>
          <w:szCs w:val="24"/>
        </w:rPr>
        <w:t>Section 57 (3)</w:t>
      </w:r>
    </w:p>
    <w:p w14:paraId="0F2CFAEF" w14:textId="685C0487" w:rsidR="20B98D3A" w:rsidRDefault="20B98D3A" w:rsidP="796F771C">
      <w:r w:rsidRPr="796F771C">
        <w:rPr>
          <w:rFonts w:eastAsia="Arial" w:cs="Arial"/>
          <w:szCs w:val="24"/>
        </w:rPr>
        <w:t xml:space="preserve">This clause substitutes ‘If’ with ‘Also, if’. This is a minor, technical amendment, made to enhance the readability of the provision. </w:t>
      </w:r>
    </w:p>
    <w:p w14:paraId="0CAEB8D6" w14:textId="12AEAB30" w:rsidR="20B98D3A" w:rsidRDefault="20B98D3A" w:rsidP="796F771C">
      <w:r w:rsidRPr="796F771C">
        <w:rPr>
          <w:rFonts w:eastAsia="Arial" w:cs="Arial"/>
          <w:b/>
          <w:bCs/>
          <w:szCs w:val="24"/>
        </w:rPr>
        <w:t xml:space="preserve">Clause 9 </w:t>
      </w:r>
      <w:r>
        <w:tab/>
      </w:r>
      <w:r w:rsidRPr="796F771C">
        <w:rPr>
          <w:rFonts w:eastAsia="Arial" w:cs="Arial"/>
          <w:b/>
          <w:bCs/>
          <w:szCs w:val="24"/>
        </w:rPr>
        <w:t xml:space="preserve">Section 57 (5) </w:t>
      </w:r>
    </w:p>
    <w:p w14:paraId="10198BB7" w14:textId="426C1197" w:rsidR="20B98D3A" w:rsidRDefault="20B98D3A" w:rsidP="796F771C">
      <w:r w:rsidRPr="796F771C">
        <w:rPr>
          <w:rFonts w:eastAsia="Arial" w:cs="Arial"/>
          <w:szCs w:val="24"/>
        </w:rPr>
        <w:t xml:space="preserve">This clause omits ‘time’ and substitutes it with ‘period’ in section 57 (5). The amendment is made to enhance the readability of the provision. </w:t>
      </w:r>
    </w:p>
    <w:p w14:paraId="1A5DD054" w14:textId="4A77B240" w:rsidR="20B98D3A" w:rsidRDefault="20B98D3A" w:rsidP="796F771C">
      <w:pPr>
        <w:pStyle w:val="Heading2"/>
      </w:pPr>
      <w:r w:rsidRPr="796F771C">
        <w:rPr>
          <w:rFonts w:eastAsia="Arial" w:cs="Arial"/>
          <w:bCs/>
          <w:szCs w:val="24"/>
        </w:rPr>
        <w:t xml:space="preserve">Part 3 </w:t>
      </w:r>
      <w:r>
        <w:tab/>
      </w:r>
      <w:r w:rsidRPr="796F771C">
        <w:rPr>
          <w:rFonts w:eastAsia="Arial" w:cs="Arial"/>
          <w:bCs/>
          <w:szCs w:val="24"/>
        </w:rPr>
        <w:t>Civil Law (Wrongs) Regulation 2003</w:t>
      </w:r>
    </w:p>
    <w:p w14:paraId="317DCA6D" w14:textId="620FFD3C" w:rsidR="20B98D3A" w:rsidRDefault="20B98D3A" w:rsidP="796F771C">
      <w:r w:rsidRPr="796F771C">
        <w:rPr>
          <w:rFonts w:eastAsia="Arial" w:cs="Arial"/>
          <w:b/>
          <w:bCs/>
          <w:szCs w:val="24"/>
        </w:rPr>
        <w:t xml:space="preserve">Clause 10 </w:t>
      </w:r>
      <w:r>
        <w:tab/>
      </w:r>
      <w:r w:rsidRPr="796F771C">
        <w:rPr>
          <w:rFonts w:eastAsia="Arial" w:cs="Arial"/>
          <w:b/>
          <w:bCs/>
          <w:szCs w:val="24"/>
        </w:rPr>
        <w:t>Sections 7 and 8</w:t>
      </w:r>
    </w:p>
    <w:p w14:paraId="4A243DD4" w14:textId="5E930C1F" w:rsidR="20B98D3A" w:rsidRDefault="20B98D3A" w:rsidP="3FA559F0">
      <w:pPr>
        <w:rPr>
          <w:rFonts w:eastAsia="Arial" w:cs="Arial"/>
        </w:rPr>
      </w:pPr>
      <w:r w:rsidRPr="3FA559F0">
        <w:rPr>
          <w:rFonts w:eastAsia="Arial" w:cs="Arial"/>
        </w:rPr>
        <w:t xml:space="preserve">This clause substitutes sections 7 and 8. In doing so, it omits the time prescribed for the adding of a later respondent for the purposes of section 55 (2) (a), being the time when a certificate of readiness is filed. It also omits the time prescribed for the adding of someone else as a contributor for the purposes of section 57 (1), being the time when a certificate of readiness is filed. </w:t>
      </w:r>
      <w:r w:rsidR="1F14D9F9" w:rsidRPr="3FA559F0">
        <w:rPr>
          <w:rFonts w:eastAsia="Arial" w:cs="Arial"/>
        </w:rPr>
        <w:t xml:space="preserve">These references have been removed as it is no longer necessary to file a certificate of readiness so this time frame is no longer meaningful. </w:t>
      </w:r>
    </w:p>
    <w:p w14:paraId="1B3D2510" w14:textId="64737CAB" w:rsidR="20B98D3A" w:rsidRDefault="20B98D3A" w:rsidP="796F771C">
      <w:r w:rsidRPr="796F771C">
        <w:rPr>
          <w:rFonts w:eastAsia="Arial" w:cs="Arial"/>
          <w:szCs w:val="24"/>
        </w:rPr>
        <w:t>The omissions mean section 7 and 8 now only include one paragraph. Accordingly, consequential, technical amendments are to the numbering of the remaining paragraphs.</w:t>
      </w:r>
    </w:p>
    <w:p w14:paraId="04A7DC66" w14:textId="77777777" w:rsidR="003001EA" w:rsidRDefault="003001EA" w:rsidP="003001EA">
      <w:pPr>
        <w:pStyle w:val="Heading2"/>
      </w:pPr>
      <w:r>
        <w:t xml:space="preserve">Part 4 </w:t>
      </w:r>
      <w:r>
        <w:tab/>
        <w:t>Court Procedures Act 2004</w:t>
      </w:r>
    </w:p>
    <w:p w14:paraId="36BEF26C" w14:textId="77777777" w:rsidR="003001EA" w:rsidRDefault="003001EA" w:rsidP="003001EA">
      <w:pPr>
        <w:pStyle w:val="Heading3"/>
        <w:ind w:left="1440" w:hanging="1440"/>
      </w:pPr>
      <w:r>
        <w:t>Clause 11</w:t>
      </w:r>
      <w:r>
        <w:tab/>
      </w:r>
      <w:r w:rsidRPr="00237B47">
        <w:t>Director</w:t>
      </w:r>
      <w:r w:rsidRPr="00237B47">
        <w:rPr>
          <w:rFonts w:ascii="Cambria Math" w:hAnsi="Cambria Math" w:cs="Cambria Math"/>
        </w:rPr>
        <w:t>‑</w:t>
      </w:r>
      <w:r w:rsidRPr="00237B47">
        <w:t xml:space="preserve">general, public advocate and Aboriginal </w:t>
      </w:r>
      <w:r>
        <w:t>Torres Strait Islander children and young people</w:t>
      </w:r>
      <w:r w:rsidRPr="00237B47">
        <w:t xml:space="preserve"> </w:t>
      </w:r>
      <w:r>
        <w:t>commissioner etc may appear at proceedings</w:t>
      </w:r>
      <w:r>
        <w:tab/>
      </w:r>
      <w:r>
        <w:tab/>
      </w:r>
      <w:r>
        <w:tab/>
      </w:r>
      <w:r>
        <w:tab/>
      </w:r>
      <w:r>
        <w:tab/>
      </w:r>
      <w:r>
        <w:tab/>
      </w:r>
      <w:r>
        <w:tab/>
        <w:t xml:space="preserve">      Section 11 (2) (d)</w:t>
      </w:r>
    </w:p>
    <w:p w14:paraId="5666EA02" w14:textId="77777777" w:rsidR="003001EA" w:rsidRDefault="003001EA" w:rsidP="003001EA">
      <w:r>
        <w:t>This clause omits ‘proceeding is against’ and replaces it with ‘hearing relates to.’</w:t>
      </w:r>
    </w:p>
    <w:p w14:paraId="452C2139" w14:textId="77777777" w:rsidR="003001EA" w:rsidRDefault="003001EA" w:rsidP="003001EA">
      <w:pPr>
        <w:pStyle w:val="Heading2"/>
      </w:pPr>
      <w:r>
        <w:lastRenderedPageBreak/>
        <w:t xml:space="preserve">Part 5 </w:t>
      </w:r>
      <w:r>
        <w:tab/>
        <w:t>Domestic Violence Agencies Act 1986</w:t>
      </w:r>
    </w:p>
    <w:p w14:paraId="49036105" w14:textId="77777777" w:rsidR="003001EA" w:rsidRDefault="003001EA" w:rsidP="003001EA">
      <w:pPr>
        <w:pStyle w:val="Heading3"/>
        <w:ind w:left="1440" w:hanging="1440"/>
      </w:pPr>
      <w:r>
        <w:t>Clause 12</w:t>
      </w:r>
      <w:r>
        <w:tab/>
        <w:t>Review of part</w:t>
      </w:r>
      <w:r>
        <w:tab/>
      </w:r>
      <w:r>
        <w:tab/>
      </w:r>
      <w:r>
        <w:tab/>
      </w:r>
      <w:r>
        <w:tab/>
      </w:r>
      <w:r>
        <w:tab/>
      </w:r>
      <w:r>
        <w:tab/>
      </w:r>
      <w:r>
        <w:tab/>
        <w:t xml:space="preserve">      Section 16Y (1)</w:t>
      </w:r>
    </w:p>
    <w:p w14:paraId="21ADEA70" w14:textId="77777777" w:rsidR="003001EA" w:rsidRDefault="003001EA" w:rsidP="003001EA">
      <w:r>
        <w:t>This clause substitutes ‘</w:t>
      </w:r>
      <w:r w:rsidRPr="00312945">
        <w:t>The Minister must review the operation of this part as soon as practicable after the end of its third year of operation</w:t>
      </w:r>
      <w:r>
        <w:t>’ with ‘The Minister must review the operation of this part as soon as practicable after 31 March 2026.’ The amendment is to ensure that the Minister must review the operation of this part starting 31 March 2026.</w:t>
      </w:r>
    </w:p>
    <w:p w14:paraId="28079A90" w14:textId="77777777" w:rsidR="003001EA" w:rsidRDefault="003001EA" w:rsidP="003001EA">
      <w:pPr>
        <w:pStyle w:val="Heading3"/>
      </w:pPr>
      <w:r>
        <w:t>Clause 13</w:t>
      </w:r>
      <w:r>
        <w:tab/>
        <w:t>Section 16Y (3)</w:t>
      </w:r>
    </w:p>
    <w:p w14:paraId="46C151EA" w14:textId="77777777" w:rsidR="003001EA" w:rsidRDefault="003001EA" w:rsidP="003001EA">
      <w:r>
        <w:t>This clause substitutes ‘</w:t>
      </w:r>
      <w:r w:rsidRPr="00312945">
        <w:t>This section expires 4 years after the day it commences</w:t>
      </w:r>
      <w:r>
        <w:t>’ with ‘</w:t>
      </w:r>
      <w:r w:rsidRPr="00312945">
        <w:t>This section expires on 31 March 2027.</w:t>
      </w:r>
      <w:r>
        <w:t>’</w:t>
      </w:r>
      <w:r w:rsidRPr="00BC4010">
        <w:t xml:space="preserve"> </w:t>
      </w:r>
      <w:r>
        <w:t>The amendment is to ensure that the section expires on 31 March 2027</w:t>
      </w:r>
    </w:p>
    <w:p w14:paraId="61852370" w14:textId="4A364276" w:rsidR="00D8011E" w:rsidRDefault="00D8011E" w:rsidP="003001EA">
      <w:pPr>
        <w:rPr>
          <w:b/>
          <w:bCs/>
        </w:rPr>
      </w:pPr>
      <w:r w:rsidRPr="00E03FD1">
        <w:rPr>
          <w:b/>
          <w:bCs/>
        </w:rPr>
        <w:t>Part 6</w:t>
      </w:r>
      <w:r w:rsidRPr="00E03FD1">
        <w:rPr>
          <w:b/>
          <w:bCs/>
        </w:rPr>
        <w:tab/>
      </w:r>
      <w:r w:rsidRPr="00E03FD1">
        <w:rPr>
          <w:b/>
          <w:bCs/>
        </w:rPr>
        <w:tab/>
        <w:t>Human Rights Act 2004</w:t>
      </w:r>
    </w:p>
    <w:p w14:paraId="513304E2" w14:textId="61B6321B" w:rsidR="00D8011E" w:rsidRDefault="00D8011E" w:rsidP="003001EA">
      <w:r>
        <w:rPr>
          <w:b/>
          <w:bCs/>
        </w:rPr>
        <w:t>Clause 14</w:t>
      </w:r>
      <w:r>
        <w:rPr>
          <w:b/>
          <w:bCs/>
        </w:rPr>
        <w:tab/>
        <w:t>Public authorities must act consistently with human rights</w:t>
      </w:r>
      <w:r>
        <w:rPr>
          <w:b/>
          <w:bCs/>
        </w:rPr>
        <w:br/>
      </w:r>
      <w:r>
        <w:rPr>
          <w:b/>
          <w:bCs/>
        </w:rPr>
        <w:tab/>
      </w:r>
      <w:r>
        <w:rPr>
          <w:b/>
          <w:bCs/>
        </w:rPr>
        <w:tab/>
        <w:t>Section 40B (1) note</w:t>
      </w:r>
    </w:p>
    <w:p w14:paraId="40598D7F" w14:textId="36414114" w:rsidR="00D8011E" w:rsidRPr="00221458" w:rsidRDefault="00D8011E" w:rsidP="003001EA">
      <w:r>
        <w:t xml:space="preserve">This clause amends the note in section 40B (1) </w:t>
      </w:r>
      <w:r w:rsidR="00221458">
        <w:t xml:space="preserve">to </w:t>
      </w:r>
      <w:r w:rsidR="00622C52">
        <w:t>note</w:t>
      </w:r>
      <w:r w:rsidR="00221458">
        <w:t xml:space="preserve"> that a human rights complaint under the </w:t>
      </w:r>
      <w:r w:rsidR="00221458">
        <w:rPr>
          <w:i/>
          <w:iCs/>
        </w:rPr>
        <w:t>Human Rights Commission Act 2005</w:t>
      </w:r>
      <w:r w:rsidR="00221458">
        <w:t xml:space="preserve"> cannot be made about a public authority mentioned under section 40 (1) (e) (an individual police officer).</w:t>
      </w:r>
    </w:p>
    <w:p w14:paraId="0A4D2CB4" w14:textId="6764880A" w:rsidR="00D8011E" w:rsidRDefault="00D8011E" w:rsidP="003001EA">
      <w:pPr>
        <w:rPr>
          <w:b/>
          <w:bCs/>
        </w:rPr>
      </w:pPr>
      <w:r>
        <w:rPr>
          <w:b/>
          <w:bCs/>
        </w:rPr>
        <w:t>Part 7</w:t>
      </w:r>
      <w:r>
        <w:rPr>
          <w:b/>
          <w:bCs/>
        </w:rPr>
        <w:tab/>
      </w:r>
      <w:r>
        <w:rPr>
          <w:b/>
          <w:bCs/>
        </w:rPr>
        <w:tab/>
        <w:t>Human Rights Commission Act 2005</w:t>
      </w:r>
    </w:p>
    <w:p w14:paraId="5CC40D46" w14:textId="2BC817B0" w:rsidR="00D8011E" w:rsidRDefault="00D8011E" w:rsidP="003001EA">
      <w:pPr>
        <w:rPr>
          <w:b/>
          <w:bCs/>
        </w:rPr>
      </w:pPr>
      <w:r>
        <w:rPr>
          <w:b/>
          <w:bCs/>
        </w:rPr>
        <w:t>Clause 15</w:t>
      </w:r>
      <w:r>
        <w:rPr>
          <w:b/>
          <w:bCs/>
        </w:rPr>
        <w:tab/>
        <w:t xml:space="preserve">Dictionary, definition of </w:t>
      </w:r>
      <w:r>
        <w:rPr>
          <w:b/>
          <w:bCs/>
          <w:i/>
          <w:iCs/>
        </w:rPr>
        <w:t xml:space="preserve">person complained about, </w:t>
      </w:r>
      <w:r>
        <w:rPr>
          <w:b/>
          <w:bCs/>
        </w:rPr>
        <w:t>paragraph (d) (ii)</w:t>
      </w:r>
    </w:p>
    <w:p w14:paraId="6D4955C5" w14:textId="6E1B99A3" w:rsidR="00D8011E" w:rsidRPr="006801E1" w:rsidRDefault="00D8011E" w:rsidP="003001EA">
      <w:r>
        <w:t xml:space="preserve">This clause amends the definition of </w:t>
      </w:r>
      <w:r>
        <w:rPr>
          <w:i/>
          <w:iCs/>
        </w:rPr>
        <w:t>person complained about</w:t>
      </w:r>
      <w:r>
        <w:t xml:space="preserve"> to omit a reference to </w:t>
      </w:r>
      <w:r w:rsidR="006801E1">
        <w:t xml:space="preserve">the </w:t>
      </w:r>
      <w:r w:rsidR="006801E1">
        <w:rPr>
          <w:i/>
          <w:iCs/>
        </w:rPr>
        <w:t>Human Rights Act 2004</w:t>
      </w:r>
      <w:r w:rsidR="006801E1">
        <w:t xml:space="preserve"> section 40 (1) (e) (an individual police officer).</w:t>
      </w:r>
    </w:p>
    <w:p w14:paraId="5C419B86" w14:textId="6B610A48" w:rsidR="00D8011E" w:rsidRDefault="00D8011E" w:rsidP="003001EA">
      <w:pPr>
        <w:rPr>
          <w:b/>
          <w:bCs/>
        </w:rPr>
      </w:pPr>
      <w:r>
        <w:rPr>
          <w:b/>
          <w:bCs/>
        </w:rPr>
        <w:t>Clause 16</w:t>
      </w:r>
      <w:r>
        <w:rPr>
          <w:b/>
          <w:bCs/>
        </w:rPr>
        <w:tab/>
        <w:t xml:space="preserve">Dictionary, definition of </w:t>
      </w:r>
      <w:r>
        <w:rPr>
          <w:b/>
          <w:bCs/>
          <w:i/>
          <w:iCs/>
        </w:rPr>
        <w:t>public authority</w:t>
      </w:r>
      <w:r>
        <w:rPr>
          <w:b/>
          <w:bCs/>
        </w:rPr>
        <w:t>, paragraph (b)</w:t>
      </w:r>
    </w:p>
    <w:p w14:paraId="313026C2" w14:textId="6C2037FF" w:rsidR="00D8011E" w:rsidRPr="00D8011E" w:rsidRDefault="00D8011E" w:rsidP="003001EA">
      <w:r>
        <w:t xml:space="preserve">This clause amends the definition of </w:t>
      </w:r>
      <w:r>
        <w:rPr>
          <w:i/>
          <w:iCs/>
        </w:rPr>
        <w:t>public authority</w:t>
      </w:r>
      <w:r>
        <w:t xml:space="preserve"> so that it does not include a public authority mentioned in the </w:t>
      </w:r>
      <w:r>
        <w:rPr>
          <w:i/>
          <w:iCs/>
        </w:rPr>
        <w:t>Human Rights Act 2004</w:t>
      </w:r>
      <w:r>
        <w:t xml:space="preserve"> section 40 (1) (e) (an individual police officer</w:t>
      </w:r>
      <w:r w:rsidR="00622C52">
        <w:t>)</w:t>
      </w:r>
      <w:r>
        <w:t>.</w:t>
      </w:r>
    </w:p>
    <w:p w14:paraId="0170626A" w14:textId="006A78BB" w:rsidR="003001EA" w:rsidRDefault="003001EA" w:rsidP="003001EA">
      <w:pPr>
        <w:pStyle w:val="Heading2"/>
      </w:pPr>
      <w:r>
        <w:t xml:space="preserve">Part </w:t>
      </w:r>
      <w:r w:rsidR="00D8011E">
        <w:t>8</w:t>
      </w:r>
      <w:r>
        <w:t xml:space="preserve"> </w:t>
      </w:r>
      <w:r>
        <w:tab/>
        <w:t>Security Industry Act 2003</w:t>
      </w:r>
    </w:p>
    <w:p w14:paraId="3EBFBE15" w14:textId="0FA656F5" w:rsidR="22E036FB" w:rsidRDefault="22E036FB" w:rsidP="009B5215">
      <w:pPr>
        <w:pStyle w:val="Heading3"/>
        <w:ind w:left="1440" w:hanging="1440"/>
        <w:rPr>
          <w:rFonts w:eastAsia="Arial" w:cs="Arial"/>
          <w:bCs/>
        </w:rPr>
      </w:pPr>
      <w:r w:rsidRPr="33E45048">
        <w:rPr>
          <w:rFonts w:eastAsia="Arial" w:cs="Arial"/>
          <w:bCs/>
        </w:rPr>
        <w:t>Clause 1</w:t>
      </w:r>
      <w:r w:rsidR="00D8011E">
        <w:rPr>
          <w:rFonts w:eastAsia="Arial" w:cs="Arial"/>
          <w:bCs/>
        </w:rPr>
        <w:t>7</w:t>
      </w:r>
      <w:r>
        <w:tab/>
      </w:r>
      <w:r w:rsidRPr="33E45048">
        <w:rPr>
          <w:rFonts w:eastAsia="Arial" w:cs="Arial"/>
          <w:bCs/>
        </w:rPr>
        <w:t>New section 29AA</w:t>
      </w:r>
    </w:p>
    <w:p w14:paraId="2FC50CF5" w14:textId="7B62B13E" w:rsidR="00A918DA" w:rsidRPr="00A918DA" w:rsidRDefault="00A918DA" w:rsidP="00A918DA">
      <w:pPr>
        <w:rPr>
          <w:rFonts w:eastAsia="Arial"/>
          <w:b/>
          <w:bCs/>
        </w:rPr>
      </w:pPr>
      <w:r w:rsidRPr="00EE402E">
        <w:rPr>
          <w:rFonts w:eastAsia="Arial"/>
          <w:b/>
          <w:bCs/>
        </w:rPr>
        <w:tab/>
      </w:r>
      <w:r w:rsidRPr="00EE402E">
        <w:rPr>
          <w:rFonts w:eastAsia="Arial"/>
          <w:b/>
          <w:bCs/>
        </w:rPr>
        <w:tab/>
        <w:t>Disclosure of disqualifying offences</w:t>
      </w:r>
    </w:p>
    <w:p w14:paraId="33EE13F3" w14:textId="2352ECF0" w:rsidR="22E036FB" w:rsidRDefault="22E036FB" w:rsidP="33E45048">
      <w:r w:rsidRPr="33E45048">
        <w:rPr>
          <w:rFonts w:eastAsia="Arial" w:cs="Arial"/>
          <w:szCs w:val="24"/>
        </w:rPr>
        <w:t xml:space="preserve">This clause inserts new section 29AA into the SI Act. New section 29AA introduces a positive disclosure obligation into the SI Act. </w:t>
      </w:r>
    </w:p>
    <w:p w14:paraId="641D6786" w14:textId="0FECDD2D" w:rsidR="22E036FB" w:rsidRDefault="69C3D9A6" w:rsidP="33E45048">
      <w:r w:rsidRPr="01A5810D">
        <w:rPr>
          <w:rFonts w:eastAsia="Arial" w:cs="Arial"/>
        </w:rPr>
        <w:lastRenderedPageBreak/>
        <w:t>The positive disclosure obligation requires licensees to disclose to the Commissioner for Fair Trading when they have been convicted or found guilty of a</w:t>
      </w:r>
      <w:r w:rsidR="009B5215">
        <w:rPr>
          <w:rFonts w:eastAsia="Arial" w:cs="Arial"/>
        </w:rPr>
        <w:t xml:space="preserve">n offence listed in section 21 (3) </w:t>
      </w:r>
      <w:r w:rsidRPr="01A5810D">
        <w:rPr>
          <w:rFonts w:eastAsia="Arial" w:cs="Arial"/>
        </w:rPr>
        <w:t>within 14 days</w:t>
      </w:r>
      <w:r w:rsidR="0816AF7D" w:rsidRPr="01A5810D">
        <w:rPr>
          <w:rFonts w:eastAsia="Arial" w:cs="Arial"/>
        </w:rPr>
        <w:t xml:space="preserve"> of when they become aware of the conviction or finding of guilt</w:t>
      </w:r>
      <w:r w:rsidRPr="01A5810D">
        <w:rPr>
          <w:rFonts w:eastAsia="Arial" w:cs="Arial"/>
        </w:rPr>
        <w:t xml:space="preserve">. This will enable the Commissioner for Fair Trading to </w:t>
      </w:r>
      <w:r w:rsidR="005930B3">
        <w:rPr>
          <w:rFonts w:eastAsia="Arial" w:cs="Arial"/>
        </w:rPr>
        <w:t>re</w:t>
      </w:r>
      <w:r w:rsidRPr="01A5810D">
        <w:rPr>
          <w:rFonts w:eastAsia="Arial" w:cs="Arial"/>
        </w:rPr>
        <w:t>assess the suitability of the licensee to continue holding their licence</w:t>
      </w:r>
      <w:r w:rsidR="005930B3">
        <w:rPr>
          <w:rFonts w:eastAsia="Arial" w:cs="Arial"/>
        </w:rPr>
        <w:t xml:space="preserve"> after they have been notified of matters that may affect the licence holder’s suitability to continue to hold a licence</w:t>
      </w:r>
      <w:r w:rsidRPr="01A5810D">
        <w:rPr>
          <w:rFonts w:eastAsia="Arial" w:cs="Arial"/>
        </w:rPr>
        <w:t xml:space="preserve">. A failure to disclose this information within the 14-day period carries with it a maximum penalty of 20 penalty units and is a strict liability offence. </w:t>
      </w:r>
    </w:p>
    <w:p w14:paraId="22420784" w14:textId="3394DD57" w:rsidR="22E036FB" w:rsidRDefault="22E036FB" w:rsidP="33E45048">
      <w:r w:rsidRPr="0C97CB23">
        <w:rPr>
          <w:rFonts w:eastAsia="Arial" w:cs="Arial"/>
        </w:rPr>
        <w:t xml:space="preserve">The purpose for introducing this obligation is to provide assurance to the community that those who are employed for the purposes of undertaking security activities are </w:t>
      </w:r>
      <w:r w:rsidR="6DD90D2C" w:rsidRPr="0C97CB23">
        <w:rPr>
          <w:rFonts w:eastAsia="Arial" w:cs="Arial"/>
        </w:rPr>
        <w:t>suitable</w:t>
      </w:r>
      <w:r w:rsidRPr="0C97CB23">
        <w:rPr>
          <w:rFonts w:eastAsia="Arial" w:cs="Arial"/>
        </w:rPr>
        <w:t xml:space="preserve">. </w:t>
      </w:r>
    </w:p>
    <w:p w14:paraId="09ACCB0F" w14:textId="1436A4BB" w:rsidR="003001EA" w:rsidRDefault="003001EA" w:rsidP="003001EA">
      <w:pPr>
        <w:pStyle w:val="Heading2"/>
      </w:pPr>
      <w:r>
        <w:t xml:space="preserve">Part </w:t>
      </w:r>
      <w:r w:rsidR="00D8011E">
        <w:t>9</w:t>
      </w:r>
      <w:r>
        <w:t xml:space="preserve"> </w:t>
      </w:r>
      <w:r>
        <w:tab/>
      </w:r>
      <w:r w:rsidRPr="00F178E3">
        <w:t>Urban Forest Act 2023</w:t>
      </w:r>
    </w:p>
    <w:p w14:paraId="44F6A364" w14:textId="0F5A45EB" w:rsidR="003001EA" w:rsidRDefault="003001EA" w:rsidP="003001EA">
      <w:pPr>
        <w:pStyle w:val="Heading3"/>
        <w:ind w:left="1440" w:hanging="1440"/>
      </w:pPr>
      <w:r>
        <w:t xml:space="preserve">Clause </w:t>
      </w:r>
      <w:r w:rsidR="009B5215">
        <w:t>1</w:t>
      </w:r>
      <w:r w:rsidR="00D8011E">
        <w:t>8</w:t>
      </w:r>
      <w:r>
        <w:tab/>
      </w:r>
      <w:r w:rsidRPr="00F178E3">
        <w:t>Application for approval of tree damaging etc activity</w:t>
      </w:r>
      <w:r>
        <w:tab/>
      </w:r>
      <w:r>
        <w:tab/>
        <w:t xml:space="preserve">      Section 21 (1)</w:t>
      </w:r>
    </w:p>
    <w:p w14:paraId="44E6FBDC" w14:textId="77777777" w:rsidR="003001EA" w:rsidRDefault="003001EA" w:rsidP="003001EA">
      <w:r>
        <w:t>This clause omits ‘leased’ from section 21 (1).</w:t>
      </w:r>
    </w:p>
    <w:p w14:paraId="6C58FA2A" w14:textId="153913C0" w:rsidR="003001EA" w:rsidRDefault="003001EA" w:rsidP="003001EA">
      <w:pPr>
        <w:pStyle w:val="Heading3"/>
        <w:ind w:left="1440" w:hanging="1440"/>
      </w:pPr>
      <w:r>
        <w:t xml:space="preserve">Clause </w:t>
      </w:r>
      <w:r w:rsidR="009B5215">
        <w:t>1</w:t>
      </w:r>
      <w:r w:rsidR="00D8011E">
        <w:t>9</w:t>
      </w:r>
      <w:r>
        <w:tab/>
      </w:r>
      <w:r w:rsidRPr="00F178E3">
        <w:t>Definitions—sdiv 3.3.2</w:t>
      </w:r>
      <w:r>
        <w:tab/>
      </w:r>
      <w:r>
        <w:tab/>
      </w:r>
      <w:r>
        <w:tab/>
      </w:r>
      <w:r>
        <w:tab/>
      </w:r>
      <w:r>
        <w:tab/>
      </w:r>
      <w:r>
        <w:tab/>
      </w:r>
      <w:r>
        <w:tab/>
        <w:t xml:space="preserve">      </w:t>
      </w:r>
      <w:r w:rsidRPr="00F178E3">
        <w:t>Section 34, definition of decision-maker</w:t>
      </w:r>
    </w:p>
    <w:p w14:paraId="2C8215E5" w14:textId="77777777" w:rsidR="003001EA" w:rsidRDefault="003001EA" w:rsidP="003001EA">
      <w:r>
        <w:t>This clause substitutes ‘</w:t>
      </w:r>
      <w:r w:rsidRPr="00F178E3">
        <w:rPr>
          <w:b/>
          <w:bCs/>
          <w:i/>
          <w:iCs/>
        </w:rPr>
        <w:t>decision-maker</w:t>
      </w:r>
      <w:r w:rsidRPr="00F178E3">
        <w:t>, in relation to a development proposal to remove a protected tree under the </w:t>
      </w:r>
      <w:r w:rsidRPr="00F178E3">
        <w:rPr>
          <w:i/>
          <w:iCs/>
        </w:rPr>
        <w:t>Planning Act 2023</w:t>
      </w:r>
      <w:r w:rsidRPr="00F178E3">
        <w:t>, means the conservator</w:t>
      </w:r>
      <w:r>
        <w:t>’ with ‘</w:t>
      </w:r>
      <w:r w:rsidRPr="00F178E3">
        <w:rPr>
          <w:b/>
          <w:bCs/>
          <w:i/>
          <w:iCs/>
        </w:rPr>
        <w:t>decision-maker</w:t>
      </w:r>
      <w:r>
        <w:t>, in relation to a protected tree that is proposed to be removed in accordance with a development approval, means the territory planning authority.’</w:t>
      </w:r>
    </w:p>
    <w:p w14:paraId="158EB6C1" w14:textId="49B77C40" w:rsidR="003001EA" w:rsidRDefault="003001EA" w:rsidP="003001EA">
      <w:pPr>
        <w:pStyle w:val="Heading3"/>
        <w:ind w:left="1440" w:hanging="1440"/>
      </w:pPr>
      <w:r>
        <w:t xml:space="preserve">Clause </w:t>
      </w:r>
      <w:r w:rsidR="00D8011E">
        <w:t>20</w:t>
      </w:r>
      <w:r>
        <w:tab/>
      </w:r>
      <w:r w:rsidRPr="00F178E3">
        <w:t>Decision on approval application—canopy contribution agreements</w:t>
      </w:r>
      <w:r>
        <w:tab/>
      </w:r>
      <w:r>
        <w:tab/>
      </w:r>
      <w:r>
        <w:tab/>
      </w:r>
      <w:r>
        <w:tab/>
      </w:r>
      <w:r>
        <w:tab/>
      </w:r>
      <w:r>
        <w:tab/>
      </w:r>
      <w:r>
        <w:tab/>
      </w:r>
      <w:r>
        <w:tab/>
        <w:t xml:space="preserve">      </w:t>
      </w:r>
      <w:r w:rsidRPr="00F178E3">
        <w:t>Section 35 (3), note</w:t>
      </w:r>
    </w:p>
    <w:p w14:paraId="1F05C54F" w14:textId="77777777" w:rsidR="003001EA" w:rsidRDefault="003001EA" w:rsidP="003001EA">
      <w:r>
        <w:t>This clause substitutes ‘</w:t>
      </w:r>
      <w:r w:rsidRPr="00F178E3">
        <w:t>The decision-maker in relation to a development proposal to remove a protected tree under the </w:t>
      </w:r>
      <w:r w:rsidRPr="00F178E3">
        <w:rPr>
          <w:i/>
          <w:iCs/>
        </w:rPr>
        <w:t>Planning Act 2023</w:t>
      </w:r>
      <w:r w:rsidRPr="00F178E3">
        <w:t> is the conservator (see s 34, def </w:t>
      </w:r>
      <w:r w:rsidRPr="00F178E3">
        <w:rPr>
          <w:b/>
          <w:bCs/>
          <w:i/>
          <w:iCs/>
        </w:rPr>
        <w:t>decision-maker</w:t>
      </w:r>
      <w:r w:rsidRPr="00F178E3">
        <w:t>)</w:t>
      </w:r>
      <w:r>
        <w:t>’ with ‘The decision-maker in relation to a protected tree that is proposed to be removed in accordance with a development approval is the territory planning authority.’</w:t>
      </w:r>
    </w:p>
    <w:p w14:paraId="3B6F2E35" w14:textId="1F267260" w:rsidR="003001EA" w:rsidRDefault="003001EA" w:rsidP="003001EA">
      <w:pPr>
        <w:pStyle w:val="Heading3"/>
      </w:pPr>
      <w:r>
        <w:t xml:space="preserve">Clause </w:t>
      </w:r>
      <w:r w:rsidR="00D8011E">
        <w:t>21</w:t>
      </w:r>
      <w:r>
        <w:tab/>
        <w:t>Section 35 (4) (b)</w:t>
      </w:r>
    </w:p>
    <w:p w14:paraId="334C7E2C" w14:textId="77777777" w:rsidR="003001EA" w:rsidRDefault="003001EA" w:rsidP="003001EA">
      <w:r>
        <w:t>This clause substitutes ‘</w:t>
      </w:r>
      <w:r w:rsidRPr="004B7D2D">
        <w:t>if the approval relates to a public tree—an administrative unit has approved the removal of the tree at the applicant’s cost; or</w:t>
      </w:r>
      <w:r>
        <w:t>’ with ‘</w:t>
      </w:r>
      <w:r w:rsidRPr="004B7D2D">
        <w:t>the approval relates to a public tree and an administrative unit has</w:t>
      </w:r>
      <w:r w:rsidRPr="00B93292">
        <w:t xml:space="preserve"> </w:t>
      </w:r>
      <w:r>
        <w:t>—’</w:t>
      </w:r>
    </w:p>
    <w:p w14:paraId="18912C70" w14:textId="77777777" w:rsidR="003001EA" w:rsidRDefault="003001EA" w:rsidP="003001EA">
      <w:r>
        <w:t xml:space="preserve">This clause inserts </w:t>
      </w:r>
      <w:r w:rsidRPr="00C66A2B">
        <w:t xml:space="preserve">subparagraph </w:t>
      </w:r>
      <w:r>
        <w:t xml:space="preserve">35 (4) (b) (i) ‘approved the removal of the tree at the applicant’s cost; and’ and </w:t>
      </w:r>
      <w:r w:rsidRPr="00C66A2B">
        <w:t xml:space="preserve">subparagraph </w:t>
      </w:r>
      <w:r>
        <w:t>35 (4) (b) (ii) ‘stated, in writing, that the tree would be removed by the administrative unit as part of anything done under section 18 (1); or.’</w:t>
      </w:r>
    </w:p>
    <w:p w14:paraId="14627EFC" w14:textId="20FE9F86" w:rsidR="003001EA" w:rsidRDefault="003001EA" w:rsidP="003001EA">
      <w:pPr>
        <w:pStyle w:val="Heading3"/>
      </w:pPr>
      <w:r>
        <w:lastRenderedPageBreak/>
        <w:t xml:space="preserve">Clause </w:t>
      </w:r>
      <w:r w:rsidR="00D8011E">
        <w:t>22</w:t>
      </w:r>
      <w:r>
        <w:tab/>
      </w:r>
      <w:r w:rsidRPr="00B93292">
        <w:t>Dictionary, definition of decision-maker, paragraph (b)</w:t>
      </w:r>
    </w:p>
    <w:p w14:paraId="21AE492A" w14:textId="77777777" w:rsidR="003001EA" w:rsidRDefault="003001EA" w:rsidP="003001EA">
      <w:r w:rsidRPr="00B93292">
        <w:t>This clause substitutes</w:t>
      </w:r>
      <w:r>
        <w:t xml:space="preserve"> ‘</w:t>
      </w:r>
      <w:r w:rsidRPr="00053E87">
        <w:t>for subdivision 3.3.2 (Approved activities—canopy contributions), in relation to a development proposal to remove a protected tree under the </w:t>
      </w:r>
      <w:r w:rsidRPr="00053E87">
        <w:rPr>
          <w:i/>
          <w:iCs/>
        </w:rPr>
        <w:t>Planning Act 2023</w:t>
      </w:r>
      <w:r w:rsidRPr="00053E87">
        <w:t>—see section 34</w:t>
      </w:r>
      <w:r>
        <w:t>’ with ‘for subdivision 3.3.2 (Approved activities—canopy contributions), in relation to a protected tree that is proposed to be removed in accordance with a development approval—see section 34.’</w:t>
      </w:r>
    </w:p>
    <w:p w14:paraId="36398BE7" w14:textId="77777777" w:rsidR="003001EA" w:rsidRDefault="003001EA" w:rsidP="003001EA">
      <w:pPr>
        <w:pStyle w:val="Heading3"/>
        <w:ind w:left="1440" w:hanging="1440"/>
      </w:pPr>
      <w:r>
        <w:t>Schedule 1</w:t>
      </w:r>
      <w:r>
        <w:tab/>
        <w:t>Discrimination Act 1991</w:t>
      </w:r>
      <w:r w:rsidRPr="00560D72">
        <w:t>—</w:t>
      </w:r>
      <w:r>
        <w:tab/>
      </w:r>
      <w:r>
        <w:tab/>
      </w:r>
      <w:r>
        <w:tab/>
      </w:r>
      <w:r>
        <w:tab/>
      </w:r>
      <w:r>
        <w:tab/>
      </w:r>
      <w:r>
        <w:tab/>
        <w:t xml:space="preserve">      minor amendment</w:t>
      </w:r>
    </w:p>
    <w:p w14:paraId="58B8E6DF" w14:textId="77777777" w:rsidR="003001EA" w:rsidRDefault="003001EA" w:rsidP="003001EA">
      <w:pPr>
        <w:pStyle w:val="Heading3"/>
      </w:pPr>
      <w:r>
        <w:t>[1.1]</w:t>
      </w:r>
      <w:r>
        <w:tab/>
      </w:r>
      <w:r>
        <w:tab/>
        <w:t>Section 32 (4)</w:t>
      </w:r>
    </w:p>
    <w:p w14:paraId="487DDD91" w14:textId="77777777" w:rsidR="003001EA" w:rsidRDefault="003001EA" w:rsidP="003001EA">
      <w:r>
        <w:t>This clause omits ‘</w:t>
      </w:r>
      <w:r w:rsidRPr="00053E87">
        <w:t>Section 21 (Accommodation) does not make it unlawful for a religious body to discriminate against a person in relation to the provision of accommodation for members of a relevant class of people.</w:t>
      </w:r>
      <w:r>
        <w:t>’</w:t>
      </w:r>
    </w:p>
    <w:p w14:paraId="1FA9D460" w14:textId="77777777" w:rsidR="003001EA" w:rsidRPr="00296D67" w:rsidRDefault="003001EA" w:rsidP="003001EA">
      <w:r>
        <w:t xml:space="preserve"> </w:t>
      </w:r>
    </w:p>
    <w:p w14:paraId="0F3286E6" w14:textId="37B73DBB" w:rsidR="796F771C" w:rsidRDefault="796F771C" w:rsidP="796F771C"/>
    <w:sectPr w:rsidR="796F771C" w:rsidSect="00DA675F">
      <w:pgSz w:w="11906" w:h="16838"/>
      <w:pgMar w:top="1276" w:right="1440" w:bottom="1440" w:left="1440" w:header="709"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72A4" w14:textId="77777777" w:rsidR="00DA675F" w:rsidRDefault="00DA675F">
      <w:pPr>
        <w:spacing w:after="0" w:line="240" w:lineRule="auto"/>
      </w:pPr>
      <w:r>
        <w:separator/>
      </w:r>
    </w:p>
  </w:endnote>
  <w:endnote w:type="continuationSeparator" w:id="0">
    <w:p w14:paraId="547F985F" w14:textId="77777777" w:rsidR="00DA675F" w:rsidRDefault="00DA675F">
      <w:pPr>
        <w:spacing w:after="0" w:line="240" w:lineRule="auto"/>
      </w:pPr>
      <w:r>
        <w:continuationSeparator/>
      </w:r>
    </w:p>
  </w:endnote>
  <w:endnote w:type="continuationNotice" w:id="1">
    <w:p w14:paraId="6DA13899" w14:textId="77777777" w:rsidR="00DA675F" w:rsidRDefault="00DA6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25F3" w14:textId="77777777" w:rsidR="006C11BB" w:rsidRDefault="006C1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8AE1" w14:textId="6A6392B9" w:rsidR="003512FE" w:rsidRPr="006C11BB" w:rsidRDefault="006C11BB" w:rsidP="006C11BB">
    <w:pPr>
      <w:pStyle w:val="Footer"/>
      <w:jc w:val="center"/>
      <w:rPr>
        <w:rFonts w:cs="Arial"/>
        <w:sz w:val="14"/>
      </w:rPr>
    </w:pPr>
    <w:r w:rsidRPr="006C11B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77777777"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1585681F" w14:textId="39F817E6" w:rsidR="006C11BB" w:rsidRPr="006C11BB" w:rsidRDefault="006C11BB" w:rsidP="006C11BB">
    <w:pPr>
      <w:pStyle w:val="Footer"/>
      <w:spacing w:before="60" w:line="240" w:lineRule="auto"/>
      <w:jc w:val="center"/>
      <w:rPr>
        <w:rFonts w:cs="Arial"/>
        <w:sz w:val="14"/>
      </w:rPr>
    </w:pPr>
    <w:r w:rsidRPr="006C11BB">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666BF9A8"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57559E1D" w14:textId="0900ACEF" w:rsidR="003512FE" w:rsidRPr="006C11BB" w:rsidRDefault="006C11BB" w:rsidP="006C11BB">
    <w:pPr>
      <w:pStyle w:val="Footer"/>
      <w:jc w:val="center"/>
      <w:rPr>
        <w:rFonts w:cs="Arial"/>
        <w:sz w:val="14"/>
      </w:rPr>
    </w:pPr>
    <w:r w:rsidRPr="006C11BB">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2A29" w14:textId="77777777" w:rsidR="00DA675F" w:rsidRDefault="00DA675F">
      <w:pPr>
        <w:spacing w:after="0" w:line="240" w:lineRule="auto"/>
      </w:pPr>
      <w:r>
        <w:separator/>
      </w:r>
    </w:p>
  </w:footnote>
  <w:footnote w:type="continuationSeparator" w:id="0">
    <w:p w14:paraId="68A36578" w14:textId="77777777" w:rsidR="00DA675F" w:rsidRDefault="00DA675F">
      <w:pPr>
        <w:spacing w:after="0" w:line="240" w:lineRule="auto"/>
      </w:pPr>
      <w:r>
        <w:continuationSeparator/>
      </w:r>
    </w:p>
  </w:footnote>
  <w:footnote w:type="continuationNotice" w:id="1">
    <w:p w14:paraId="32284FB1" w14:textId="77777777" w:rsidR="00DA675F" w:rsidRDefault="00DA6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CAEE" w14:textId="77777777" w:rsidR="006C11BB" w:rsidRDefault="006C1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E193" w14:textId="77777777" w:rsidR="006C11BB" w:rsidRDefault="006C1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EB2" w14:textId="77777777" w:rsidR="003512FE" w:rsidRDefault="003512FE" w:rsidP="003512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CD0"/>
    <w:multiLevelType w:val="hybridMultilevel"/>
    <w:tmpl w:val="8B84ADCC"/>
    <w:lvl w:ilvl="0" w:tplc="FB5229B6">
      <w:start w:val="1"/>
      <w:numFmt w:val="decimal"/>
      <w:lvlText w:val="%1)"/>
      <w:lvlJc w:val="left"/>
      <w:pPr>
        <w:ind w:left="720" w:hanging="360"/>
      </w:pPr>
    </w:lvl>
    <w:lvl w:ilvl="1" w:tplc="7BAE3D02">
      <w:start w:val="1"/>
      <w:numFmt w:val="lowerLetter"/>
      <w:lvlText w:val="%2."/>
      <w:lvlJc w:val="left"/>
      <w:pPr>
        <w:ind w:left="1440" w:hanging="360"/>
      </w:pPr>
    </w:lvl>
    <w:lvl w:ilvl="2" w:tplc="EEAAB084">
      <w:start w:val="1"/>
      <w:numFmt w:val="lowerRoman"/>
      <w:lvlText w:val="%3."/>
      <w:lvlJc w:val="right"/>
      <w:pPr>
        <w:ind w:left="2160" w:hanging="180"/>
      </w:pPr>
    </w:lvl>
    <w:lvl w:ilvl="3" w:tplc="42BA5252">
      <w:start w:val="1"/>
      <w:numFmt w:val="decimal"/>
      <w:lvlText w:val="%4."/>
      <w:lvlJc w:val="left"/>
      <w:pPr>
        <w:ind w:left="2880" w:hanging="360"/>
      </w:pPr>
    </w:lvl>
    <w:lvl w:ilvl="4" w:tplc="8570BDA8">
      <w:start w:val="1"/>
      <w:numFmt w:val="lowerLetter"/>
      <w:lvlText w:val="%5."/>
      <w:lvlJc w:val="left"/>
      <w:pPr>
        <w:ind w:left="3600" w:hanging="360"/>
      </w:pPr>
    </w:lvl>
    <w:lvl w:ilvl="5" w:tplc="7414A458">
      <w:start w:val="1"/>
      <w:numFmt w:val="lowerRoman"/>
      <w:lvlText w:val="%6."/>
      <w:lvlJc w:val="right"/>
      <w:pPr>
        <w:ind w:left="4320" w:hanging="180"/>
      </w:pPr>
    </w:lvl>
    <w:lvl w:ilvl="6" w:tplc="4B461B80">
      <w:start w:val="1"/>
      <w:numFmt w:val="decimal"/>
      <w:lvlText w:val="%7."/>
      <w:lvlJc w:val="left"/>
      <w:pPr>
        <w:ind w:left="5040" w:hanging="360"/>
      </w:pPr>
    </w:lvl>
    <w:lvl w:ilvl="7" w:tplc="7C2AC5D2">
      <w:start w:val="1"/>
      <w:numFmt w:val="lowerLetter"/>
      <w:lvlText w:val="%8."/>
      <w:lvlJc w:val="left"/>
      <w:pPr>
        <w:ind w:left="5760" w:hanging="360"/>
      </w:pPr>
    </w:lvl>
    <w:lvl w:ilvl="8" w:tplc="A2FAE53C">
      <w:start w:val="1"/>
      <w:numFmt w:val="lowerRoman"/>
      <w:lvlText w:val="%9."/>
      <w:lvlJc w:val="right"/>
      <w:pPr>
        <w:ind w:left="6480" w:hanging="180"/>
      </w:pPr>
    </w:lvl>
  </w:abstractNum>
  <w:abstractNum w:abstractNumId="1" w15:restartNumberingAfterBreak="0">
    <w:nsid w:val="082461EC"/>
    <w:multiLevelType w:val="hybridMultilevel"/>
    <w:tmpl w:val="9B4666C4"/>
    <w:lvl w:ilvl="0" w:tplc="C3A4E312">
      <w:start w:val="2"/>
      <w:numFmt w:val="decimal"/>
      <w:lvlText w:val="%1."/>
      <w:lvlJc w:val="left"/>
      <w:pPr>
        <w:ind w:left="720" w:hanging="360"/>
      </w:pPr>
    </w:lvl>
    <w:lvl w:ilvl="1" w:tplc="C72EB47A">
      <w:start w:val="1"/>
      <w:numFmt w:val="lowerLetter"/>
      <w:lvlText w:val="%2."/>
      <w:lvlJc w:val="left"/>
      <w:pPr>
        <w:ind w:left="1440" w:hanging="360"/>
      </w:pPr>
    </w:lvl>
    <w:lvl w:ilvl="2" w:tplc="36FCCA90">
      <w:start w:val="1"/>
      <w:numFmt w:val="lowerRoman"/>
      <w:lvlText w:val="%3."/>
      <w:lvlJc w:val="right"/>
      <w:pPr>
        <w:ind w:left="2160" w:hanging="180"/>
      </w:pPr>
    </w:lvl>
    <w:lvl w:ilvl="3" w:tplc="72EE6E3C">
      <w:start w:val="1"/>
      <w:numFmt w:val="decimal"/>
      <w:lvlText w:val="%4."/>
      <w:lvlJc w:val="left"/>
      <w:pPr>
        <w:ind w:left="2880" w:hanging="360"/>
      </w:pPr>
    </w:lvl>
    <w:lvl w:ilvl="4" w:tplc="9196A18A">
      <w:start w:val="1"/>
      <w:numFmt w:val="lowerLetter"/>
      <w:lvlText w:val="%5."/>
      <w:lvlJc w:val="left"/>
      <w:pPr>
        <w:ind w:left="3600" w:hanging="360"/>
      </w:pPr>
    </w:lvl>
    <w:lvl w:ilvl="5" w:tplc="9E90A3A2">
      <w:start w:val="1"/>
      <w:numFmt w:val="lowerRoman"/>
      <w:lvlText w:val="%6."/>
      <w:lvlJc w:val="right"/>
      <w:pPr>
        <w:ind w:left="4320" w:hanging="180"/>
      </w:pPr>
    </w:lvl>
    <w:lvl w:ilvl="6" w:tplc="F3D49DF0">
      <w:start w:val="1"/>
      <w:numFmt w:val="decimal"/>
      <w:lvlText w:val="%7."/>
      <w:lvlJc w:val="left"/>
      <w:pPr>
        <w:ind w:left="5040" w:hanging="360"/>
      </w:pPr>
    </w:lvl>
    <w:lvl w:ilvl="7" w:tplc="A4560E5C">
      <w:start w:val="1"/>
      <w:numFmt w:val="lowerLetter"/>
      <w:lvlText w:val="%8."/>
      <w:lvlJc w:val="left"/>
      <w:pPr>
        <w:ind w:left="5760" w:hanging="360"/>
      </w:pPr>
    </w:lvl>
    <w:lvl w:ilvl="8" w:tplc="2D569BF2">
      <w:start w:val="1"/>
      <w:numFmt w:val="lowerRoman"/>
      <w:lvlText w:val="%9."/>
      <w:lvlJc w:val="right"/>
      <w:pPr>
        <w:ind w:left="6480" w:hanging="180"/>
      </w:pPr>
    </w:lvl>
  </w:abstractNum>
  <w:abstractNum w:abstractNumId="2" w15:restartNumberingAfterBreak="0">
    <w:nsid w:val="0D428349"/>
    <w:multiLevelType w:val="hybridMultilevel"/>
    <w:tmpl w:val="FFFFFFFF"/>
    <w:lvl w:ilvl="0" w:tplc="E8FA4B14">
      <w:start w:val="1"/>
      <w:numFmt w:val="decimal"/>
      <w:lvlText w:val="%1."/>
      <w:lvlJc w:val="left"/>
      <w:pPr>
        <w:ind w:left="780" w:hanging="360"/>
      </w:pPr>
    </w:lvl>
    <w:lvl w:ilvl="1" w:tplc="BF9691C2">
      <w:start w:val="1"/>
      <w:numFmt w:val="lowerLetter"/>
      <w:lvlText w:val="%2."/>
      <w:lvlJc w:val="left"/>
      <w:pPr>
        <w:ind w:left="1500" w:hanging="360"/>
      </w:pPr>
    </w:lvl>
    <w:lvl w:ilvl="2" w:tplc="6058A504">
      <w:start w:val="1"/>
      <w:numFmt w:val="lowerRoman"/>
      <w:lvlText w:val="%3."/>
      <w:lvlJc w:val="right"/>
      <w:pPr>
        <w:ind w:left="2220" w:hanging="180"/>
      </w:pPr>
    </w:lvl>
    <w:lvl w:ilvl="3" w:tplc="225EBAAE">
      <w:start w:val="1"/>
      <w:numFmt w:val="decimal"/>
      <w:lvlText w:val="%4."/>
      <w:lvlJc w:val="left"/>
      <w:pPr>
        <w:ind w:left="2940" w:hanging="360"/>
      </w:pPr>
    </w:lvl>
    <w:lvl w:ilvl="4" w:tplc="5D1A2504">
      <w:start w:val="1"/>
      <w:numFmt w:val="lowerLetter"/>
      <w:lvlText w:val="%5."/>
      <w:lvlJc w:val="left"/>
      <w:pPr>
        <w:ind w:left="3660" w:hanging="360"/>
      </w:pPr>
    </w:lvl>
    <w:lvl w:ilvl="5" w:tplc="899CC98E">
      <w:start w:val="1"/>
      <w:numFmt w:val="lowerRoman"/>
      <w:lvlText w:val="%6."/>
      <w:lvlJc w:val="right"/>
      <w:pPr>
        <w:ind w:left="4380" w:hanging="180"/>
      </w:pPr>
    </w:lvl>
    <w:lvl w:ilvl="6" w:tplc="C4BC0E86">
      <w:start w:val="1"/>
      <w:numFmt w:val="decimal"/>
      <w:lvlText w:val="%7."/>
      <w:lvlJc w:val="left"/>
      <w:pPr>
        <w:ind w:left="5100" w:hanging="360"/>
      </w:pPr>
    </w:lvl>
    <w:lvl w:ilvl="7" w:tplc="8E82BEA0">
      <w:start w:val="1"/>
      <w:numFmt w:val="lowerLetter"/>
      <w:lvlText w:val="%8."/>
      <w:lvlJc w:val="left"/>
      <w:pPr>
        <w:ind w:left="5820" w:hanging="360"/>
      </w:pPr>
    </w:lvl>
    <w:lvl w:ilvl="8" w:tplc="B6FECF36">
      <w:start w:val="1"/>
      <w:numFmt w:val="lowerRoman"/>
      <w:lvlText w:val="%9."/>
      <w:lvlJc w:val="right"/>
      <w:pPr>
        <w:ind w:left="6540" w:hanging="180"/>
      </w:pPr>
    </w:lvl>
  </w:abstractNum>
  <w:abstractNum w:abstractNumId="3" w15:restartNumberingAfterBreak="0">
    <w:nsid w:val="167A283A"/>
    <w:multiLevelType w:val="hybridMultilevel"/>
    <w:tmpl w:val="FFFFFFFF"/>
    <w:lvl w:ilvl="0" w:tplc="DBF0101A">
      <w:start w:val="3"/>
      <w:numFmt w:val="decimal"/>
      <w:lvlText w:val="%1."/>
      <w:lvlJc w:val="left"/>
      <w:pPr>
        <w:ind w:left="720" w:hanging="360"/>
      </w:pPr>
    </w:lvl>
    <w:lvl w:ilvl="1" w:tplc="0A2212C4">
      <w:start w:val="1"/>
      <w:numFmt w:val="lowerLetter"/>
      <w:lvlText w:val="%2."/>
      <w:lvlJc w:val="left"/>
      <w:pPr>
        <w:ind w:left="1440" w:hanging="360"/>
      </w:pPr>
    </w:lvl>
    <w:lvl w:ilvl="2" w:tplc="71543EFA">
      <w:start w:val="1"/>
      <w:numFmt w:val="lowerRoman"/>
      <w:lvlText w:val="%3."/>
      <w:lvlJc w:val="right"/>
      <w:pPr>
        <w:ind w:left="2160" w:hanging="180"/>
      </w:pPr>
    </w:lvl>
    <w:lvl w:ilvl="3" w:tplc="4E602CE2">
      <w:start w:val="1"/>
      <w:numFmt w:val="decimal"/>
      <w:lvlText w:val="%4."/>
      <w:lvlJc w:val="left"/>
      <w:pPr>
        <w:ind w:left="2880" w:hanging="360"/>
      </w:pPr>
    </w:lvl>
    <w:lvl w:ilvl="4" w:tplc="627EDFE2">
      <w:start w:val="1"/>
      <w:numFmt w:val="lowerLetter"/>
      <w:lvlText w:val="%5."/>
      <w:lvlJc w:val="left"/>
      <w:pPr>
        <w:ind w:left="3600" w:hanging="360"/>
      </w:pPr>
    </w:lvl>
    <w:lvl w:ilvl="5" w:tplc="8412350C">
      <w:start w:val="1"/>
      <w:numFmt w:val="lowerRoman"/>
      <w:lvlText w:val="%6."/>
      <w:lvlJc w:val="right"/>
      <w:pPr>
        <w:ind w:left="4320" w:hanging="180"/>
      </w:pPr>
    </w:lvl>
    <w:lvl w:ilvl="6" w:tplc="6096BE34">
      <w:start w:val="1"/>
      <w:numFmt w:val="decimal"/>
      <w:lvlText w:val="%7."/>
      <w:lvlJc w:val="left"/>
      <w:pPr>
        <w:ind w:left="5040" w:hanging="360"/>
      </w:pPr>
    </w:lvl>
    <w:lvl w:ilvl="7" w:tplc="89807B66">
      <w:start w:val="1"/>
      <w:numFmt w:val="lowerLetter"/>
      <w:lvlText w:val="%8."/>
      <w:lvlJc w:val="left"/>
      <w:pPr>
        <w:ind w:left="5760" w:hanging="360"/>
      </w:pPr>
    </w:lvl>
    <w:lvl w:ilvl="8" w:tplc="993E8B38">
      <w:start w:val="1"/>
      <w:numFmt w:val="lowerRoman"/>
      <w:lvlText w:val="%9."/>
      <w:lvlJc w:val="right"/>
      <w:pPr>
        <w:ind w:left="6480" w:hanging="180"/>
      </w:pPr>
    </w:lvl>
  </w:abstractNum>
  <w:abstractNum w:abstractNumId="4" w15:restartNumberingAfterBreak="0">
    <w:nsid w:val="2ADC6364"/>
    <w:multiLevelType w:val="hybridMultilevel"/>
    <w:tmpl w:val="FFFFFFFF"/>
    <w:lvl w:ilvl="0" w:tplc="218660FC">
      <w:start w:val="1"/>
      <w:numFmt w:val="bullet"/>
      <w:lvlText w:val="·"/>
      <w:lvlJc w:val="left"/>
      <w:pPr>
        <w:ind w:left="720" w:hanging="360"/>
      </w:pPr>
      <w:rPr>
        <w:rFonts w:ascii="Symbol" w:hAnsi="Symbol" w:hint="default"/>
      </w:rPr>
    </w:lvl>
    <w:lvl w:ilvl="1" w:tplc="18B404EA">
      <w:start w:val="1"/>
      <w:numFmt w:val="bullet"/>
      <w:lvlText w:val="o"/>
      <w:lvlJc w:val="left"/>
      <w:pPr>
        <w:ind w:left="1440" w:hanging="360"/>
      </w:pPr>
      <w:rPr>
        <w:rFonts w:ascii="Courier New" w:hAnsi="Courier New" w:hint="default"/>
      </w:rPr>
    </w:lvl>
    <w:lvl w:ilvl="2" w:tplc="D37CBC42">
      <w:start w:val="1"/>
      <w:numFmt w:val="bullet"/>
      <w:lvlText w:val=""/>
      <w:lvlJc w:val="left"/>
      <w:pPr>
        <w:ind w:left="2160" w:hanging="360"/>
      </w:pPr>
      <w:rPr>
        <w:rFonts w:ascii="Wingdings" w:hAnsi="Wingdings" w:hint="default"/>
      </w:rPr>
    </w:lvl>
    <w:lvl w:ilvl="3" w:tplc="D67CE006">
      <w:start w:val="1"/>
      <w:numFmt w:val="bullet"/>
      <w:lvlText w:val=""/>
      <w:lvlJc w:val="left"/>
      <w:pPr>
        <w:ind w:left="2880" w:hanging="360"/>
      </w:pPr>
      <w:rPr>
        <w:rFonts w:ascii="Symbol" w:hAnsi="Symbol" w:hint="default"/>
      </w:rPr>
    </w:lvl>
    <w:lvl w:ilvl="4" w:tplc="CBE6D67A">
      <w:start w:val="1"/>
      <w:numFmt w:val="bullet"/>
      <w:lvlText w:val="o"/>
      <w:lvlJc w:val="left"/>
      <w:pPr>
        <w:ind w:left="3600" w:hanging="360"/>
      </w:pPr>
      <w:rPr>
        <w:rFonts w:ascii="Courier New" w:hAnsi="Courier New" w:hint="default"/>
      </w:rPr>
    </w:lvl>
    <w:lvl w:ilvl="5" w:tplc="91E8FA7A">
      <w:start w:val="1"/>
      <w:numFmt w:val="bullet"/>
      <w:lvlText w:val=""/>
      <w:lvlJc w:val="left"/>
      <w:pPr>
        <w:ind w:left="4320" w:hanging="360"/>
      </w:pPr>
      <w:rPr>
        <w:rFonts w:ascii="Wingdings" w:hAnsi="Wingdings" w:hint="default"/>
      </w:rPr>
    </w:lvl>
    <w:lvl w:ilvl="6" w:tplc="C5ACCA1C">
      <w:start w:val="1"/>
      <w:numFmt w:val="bullet"/>
      <w:lvlText w:val=""/>
      <w:lvlJc w:val="left"/>
      <w:pPr>
        <w:ind w:left="5040" w:hanging="360"/>
      </w:pPr>
      <w:rPr>
        <w:rFonts w:ascii="Symbol" w:hAnsi="Symbol" w:hint="default"/>
      </w:rPr>
    </w:lvl>
    <w:lvl w:ilvl="7" w:tplc="48066A82">
      <w:start w:val="1"/>
      <w:numFmt w:val="bullet"/>
      <w:lvlText w:val="o"/>
      <w:lvlJc w:val="left"/>
      <w:pPr>
        <w:ind w:left="5760" w:hanging="360"/>
      </w:pPr>
      <w:rPr>
        <w:rFonts w:ascii="Courier New" w:hAnsi="Courier New" w:hint="default"/>
      </w:rPr>
    </w:lvl>
    <w:lvl w:ilvl="8" w:tplc="6D6C38B4">
      <w:start w:val="1"/>
      <w:numFmt w:val="bullet"/>
      <w:lvlText w:val=""/>
      <w:lvlJc w:val="left"/>
      <w:pPr>
        <w:ind w:left="6480" w:hanging="360"/>
      </w:pPr>
      <w:rPr>
        <w:rFonts w:ascii="Wingdings" w:hAnsi="Wingdings" w:hint="default"/>
      </w:rPr>
    </w:lvl>
  </w:abstractNum>
  <w:abstractNum w:abstractNumId="5" w15:restartNumberingAfterBreak="0">
    <w:nsid w:val="2CF4D53A"/>
    <w:multiLevelType w:val="hybridMultilevel"/>
    <w:tmpl w:val="A0124F76"/>
    <w:lvl w:ilvl="0" w:tplc="F364EF14">
      <w:start w:val="1"/>
      <w:numFmt w:val="decimal"/>
      <w:lvlText w:val="(%1)"/>
      <w:lvlJc w:val="left"/>
      <w:pPr>
        <w:ind w:left="720" w:hanging="360"/>
      </w:pPr>
    </w:lvl>
    <w:lvl w:ilvl="1" w:tplc="84925282">
      <w:start w:val="1"/>
      <w:numFmt w:val="lowerLetter"/>
      <w:lvlText w:val="%2."/>
      <w:lvlJc w:val="left"/>
      <w:pPr>
        <w:ind w:left="1440" w:hanging="360"/>
      </w:pPr>
    </w:lvl>
    <w:lvl w:ilvl="2" w:tplc="D25471CA">
      <w:start w:val="1"/>
      <w:numFmt w:val="lowerRoman"/>
      <w:lvlText w:val="%3."/>
      <w:lvlJc w:val="right"/>
      <w:pPr>
        <w:ind w:left="2160" w:hanging="180"/>
      </w:pPr>
    </w:lvl>
    <w:lvl w:ilvl="3" w:tplc="D56C4DDE">
      <w:start w:val="1"/>
      <w:numFmt w:val="decimal"/>
      <w:lvlText w:val="%4."/>
      <w:lvlJc w:val="left"/>
      <w:pPr>
        <w:ind w:left="2880" w:hanging="360"/>
      </w:pPr>
    </w:lvl>
    <w:lvl w:ilvl="4" w:tplc="B3F69554">
      <w:start w:val="1"/>
      <w:numFmt w:val="lowerLetter"/>
      <w:lvlText w:val="%5."/>
      <w:lvlJc w:val="left"/>
      <w:pPr>
        <w:ind w:left="3600" w:hanging="360"/>
      </w:pPr>
    </w:lvl>
    <w:lvl w:ilvl="5" w:tplc="621C3B0A">
      <w:start w:val="1"/>
      <w:numFmt w:val="lowerRoman"/>
      <w:lvlText w:val="%6."/>
      <w:lvlJc w:val="right"/>
      <w:pPr>
        <w:ind w:left="4320" w:hanging="180"/>
      </w:pPr>
    </w:lvl>
    <w:lvl w:ilvl="6" w:tplc="43044160">
      <w:start w:val="1"/>
      <w:numFmt w:val="decimal"/>
      <w:lvlText w:val="%7."/>
      <w:lvlJc w:val="left"/>
      <w:pPr>
        <w:ind w:left="5040" w:hanging="360"/>
      </w:pPr>
    </w:lvl>
    <w:lvl w:ilvl="7" w:tplc="903CF63C">
      <w:start w:val="1"/>
      <w:numFmt w:val="lowerLetter"/>
      <w:lvlText w:val="%8."/>
      <w:lvlJc w:val="left"/>
      <w:pPr>
        <w:ind w:left="5760" w:hanging="360"/>
      </w:pPr>
    </w:lvl>
    <w:lvl w:ilvl="8" w:tplc="045A2E38">
      <w:start w:val="1"/>
      <w:numFmt w:val="lowerRoman"/>
      <w:lvlText w:val="%9."/>
      <w:lvlJc w:val="right"/>
      <w:pPr>
        <w:ind w:left="6480" w:hanging="180"/>
      </w:pPr>
    </w:lvl>
  </w:abstractNum>
  <w:abstractNum w:abstractNumId="6" w15:restartNumberingAfterBreak="0">
    <w:nsid w:val="32F93D0A"/>
    <w:multiLevelType w:val="hybridMultilevel"/>
    <w:tmpl w:val="FFFFFFFF"/>
    <w:lvl w:ilvl="0" w:tplc="8FD8E8AA">
      <w:start w:val="2"/>
      <w:numFmt w:val="decimal"/>
      <w:lvlText w:val="%1."/>
      <w:lvlJc w:val="left"/>
      <w:pPr>
        <w:ind w:left="720" w:hanging="360"/>
      </w:pPr>
    </w:lvl>
    <w:lvl w:ilvl="1" w:tplc="7696F58E">
      <w:start w:val="1"/>
      <w:numFmt w:val="lowerLetter"/>
      <w:lvlText w:val="%2."/>
      <w:lvlJc w:val="left"/>
      <w:pPr>
        <w:ind w:left="1440" w:hanging="360"/>
      </w:pPr>
    </w:lvl>
    <w:lvl w:ilvl="2" w:tplc="08E6C48E">
      <w:start w:val="1"/>
      <w:numFmt w:val="lowerRoman"/>
      <w:lvlText w:val="%3."/>
      <w:lvlJc w:val="right"/>
      <w:pPr>
        <w:ind w:left="2160" w:hanging="180"/>
      </w:pPr>
    </w:lvl>
    <w:lvl w:ilvl="3" w:tplc="2C74A3AE">
      <w:start w:val="1"/>
      <w:numFmt w:val="decimal"/>
      <w:lvlText w:val="%4."/>
      <w:lvlJc w:val="left"/>
      <w:pPr>
        <w:ind w:left="2880" w:hanging="360"/>
      </w:pPr>
    </w:lvl>
    <w:lvl w:ilvl="4" w:tplc="D4B49EB6">
      <w:start w:val="1"/>
      <w:numFmt w:val="lowerLetter"/>
      <w:lvlText w:val="%5."/>
      <w:lvlJc w:val="left"/>
      <w:pPr>
        <w:ind w:left="3600" w:hanging="360"/>
      </w:pPr>
    </w:lvl>
    <w:lvl w:ilvl="5" w:tplc="254E812A">
      <w:start w:val="1"/>
      <w:numFmt w:val="lowerRoman"/>
      <w:lvlText w:val="%6."/>
      <w:lvlJc w:val="right"/>
      <w:pPr>
        <w:ind w:left="4320" w:hanging="180"/>
      </w:pPr>
    </w:lvl>
    <w:lvl w:ilvl="6" w:tplc="B8AE5DEC">
      <w:start w:val="1"/>
      <w:numFmt w:val="decimal"/>
      <w:lvlText w:val="%7."/>
      <w:lvlJc w:val="left"/>
      <w:pPr>
        <w:ind w:left="5040" w:hanging="360"/>
      </w:pPr>
    </w:lvl>
    <w:lvl w:ilvl="7" w:tplc="7AF2254C">
      <w:start w:val="1"/>
      <w:numFmt w:val="lowerLetter"/>
      <w:lvlText w:val="%8."/>
      <w:lvlJc w:val="left"/>
      <w:pPr>
        <w:ind w:left="5760" w:hanging="360"/>
      </w:pPr>
    </w:lvl>
    <w:lvl w:ilvl="8" w:tplc="43BE4B94">
      <w:start w:val="1"/>
      <w:numFmt w:val="lowerRoman"/>
      <w:lvlText w:val="%9."/>
      <w:lvlJc w:val="right"/>
      <w:pPr>
        <w:ind w:left="6480" w:hanging="180"/>
      </w:pPr>
    </w:lvl>
  </w:abstractNum>
  <w:abstractNum w:abstractNumId="7" w15:restartNumberingAfterBreak="0">
    <w:nsid w:val="335872B8"/>
    <w:multiLevelType w:val="hybridMultilevel"/>
    <w:tmpl w:val="39944286"/>
    <w:lvl w:ilvl="0" w:tplc="FFFFFFFF">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47A546"/>
    <w:multiLevelType w:val="hybridMultilevel"/>
    <w:tmpl w:val="FFFFFFFF"/>
    <w:lvl w:ilvl="0" w:tplc="2E7E1468">
      <w:start w:val="2"/>
      <w:numFmt w:val="decimal"/>
      <w:lvlText w:val="%1."/>
      <w:lvlJc w:val="left"/>
      <w:pPr>
        <w:ind w:left="720" w:hanging="360"/>
      </w:pPr>
    </w:lvl>
    <w:lvl w:ilvl="1" w:tplc="5E94EE1C">
      <w:start w:val="1"/>
      <w:numFmt w:val="lowerLetter"/>
      <w:lvlText w:val="%2."/>
      <w:lvlJc w:val="left"/>
      <w:pPr>
        <w:ind w:left="1440" w:hanging="360"/>
      </w:pPr>
    </w:lvl>
    <w:lvl w:ilvl="2" w:tplc="66FAF7A6">
      <w:start w:val="1"/>
      <w:numFmt w:val="lowerRoman"/>
      <w:lvlText w:val="%3."/>
      <w:lvlJc w:val="right"/>
      <w:pPr>
        <w:ind w:left="2160" w:hanging="180"/>
      </w:pPr>
    </w:lvl>
    <w:lvl w:ilvl="3" w:tplc="63A419CA">
      <w:start w:val="1"/>
      <w:numFmt w:val="decimal"/>
      <w:lvlText w:val="%4."/>
      <w:lvlJc w:val="left"/>
      <w:pPr>
        <w:ind w:left="2880" w:hanging="360"/>
      </w:pPr>
    </w:lvl>
    <w:lvl w:ilvl="4" w:tplc="E14CD0DC">
      <w:start w:val="1"/>
      <w:numFmt w:val="lowerLetter"/>
      <w:lvlText w:val="%5."/>
      <w:lvlJc w:val="left"/>
      <w:pPr>
        <w:ind w:left="3600" w:hanging="360"/>
      </w:pPr>
    </w:lvl>
    <w:lvl w:ilvl="5" w:tplc="2154FEBC">
      <w:start w:val="1"/>
      <w:numFmt w:val="lowerRoman"/>
      <w:lvlText w:val="%6."/>
      <w:lvlJc w:val="right"/>
      <w:pPr>
        <w:ind w:left="4320" w:hanging="180"/>
      </w:pPr>
    </w:lvl>
    <w:lvl w:ilvl="6" w:tplc="F84ABD16">
      <w:start w:val="1"/>
      <w:numFmt w:val="decimal"/>
      <w:lvlText w:val="%7."/>
      <w:lvlJc w:val="left"/>
      <w:pPr>
        <w:ind w:left="5040" w:hanging="360"/>
      </w:pPr>
    </w:lvl>
    <w:lvl w:ilvl="7" w:tplc="7FB81E98">
      <w:start w:val="1"/>
      <w:numFmt w:val="lowerLetter"/>
      <w:lvlText w:val="%8."/>
      <w:lvlJc w:val="left"/>
      <w:pPr>
        <w:ind w:left="5760" w:hanging="360"/>
      </w:pPr>
    </w:lvl>
    <w:lvl w:ilvl="8" w:tplc="2F703050">
      <w:start w:val="1"/>
      <w:numFmt w:val="lowerRoman"/>
      <w:lvlText w:val="%9."/>
      <w:lvlJc w:val="right"/>
      <w:pPr>
        <w:ind w:left="6480" w:hanging="180"/>
      </w:pPr>
    </w:lvl>
  </w:abstractNum>
  <w:abstractNum w:abstractNumId="9" w15:restartNumberingAfterBreak="0">
    <w:nsid w:val="3567E796"/>
    <w:multiLevelType w:val="hybridMultilevel"/>
    <w:tmpl w:val="B49C7510"/>
    <w:lvl w:ilvl="0" w:tplc="7C622836">
      <w:start w:val="1"/>
      <w:numFmt w:val="decimal"/>
      <w:lvlText w:val="(%1)"/>
      <w:lvlJc w:val="left"/>
      <w:pPr>
        <w:ind w:left="720" w:hanging="360"/>
      </w:pPr>
    </w:lvl>
    <w:lvl w:ilvl="1" w:tplc="03AADEA2">
      <w:start w:val="1"/>
      <w:numFmt w:val="lowerLetter"/>
      <w:lvlText w:val="%2."/>
      <w:lvlJc w:val="left"/>
      <w:pPr>
        <w:ind w:left="1440" w:hanging="360"/>
      </w:pPr>
    </w:lvl>
    <w:lvl w:ilvl="2" w:tplc="7938ECEA">
      <w:start w:val="1"/>
      <w:numFmt w:val="lowerRoman"/>
      <w:lvlText w:val="%3."/>
      <w:lvlJc w:val="right"/>
      <w:pPr>
        <w:ind w:left="2160" w:hanging="180"/>
      </w:pPr>
    </w:lvl>
    <w:lvl w:ilvl="3" w:tplc="78DE6B6A">
      <w:start w:val="1"/>
      <w:numFmt w:val="decimal"/>
      <w:lvlText w:val="%4."/>
      <w:lvlJc w:val="left"/>
      <w:pPr>
        <w:ind w:left="2880" w:hanging="360"/>
      </w:pPr>
    </w:lvl>
    <w:lvl w:ilvl="4" w:tplc="5C9ADDF2">
      <w:start w:val="1"/>
      <w:numFmt w:val="lowerLetter"/>
      <w:lvlText w:val="%5."/>
      <w:lvlJc w:val="left"/>
      <w:pPr>
        <w:ind w:left="3600" w:hanging="360"/>
      </w:pPr>
    </w:lvl>
    <w:lvl w:ilvl="5" w:tplc="07F81D56">
      <w:start w:val="1"/>
      <w:numFmt w:val="lowerRoman"/>
      <w:lvlText w:val="%6."/>
      <w:lvlJc w:val="right"/>
      <w:pPr>
        <w:ind w:left="4320" w:hanging="180"/>
      </w:pPr>
    </w:lvl>
    <w:lvl w:ilvl="6" w:tplc="D9FAC8C2">
      <w:start w:val="1"/>
      <w:numFmt w:val="decimal"/>
      <w:lvlText w:val="%7."/>
      <w:lvlJc w:val="left"/>
      <w:pPr>
        <w:ind w:left="5040" w:hanging="360"/>
      </w:pPr>
    </w:lvl>
    <w:lvl w:ilvl="7" w:tplc="30626EE2">
      <w:start w:val="1"/>
      <w:numFmt w:val="lowerLetter"/>
      <w:lvlText w:val="%8."/>
      <w:lvlJc w:val="left"/>
      <w:pPr>
        <w:ind w:left="5760" w:hanging="360"/>
      </w:pPr>
    </w:lvl>
    <w:lvl w:ilvl="8" w:tplc="5E067976">
      <w:start w:val="1"/>
      <w:numFmt w:val="lowerRoman"/>
      <w:lvlText w:val="%9."/>
      <w:lvlJc w:val="right"/>
      <w:pPr>
        <w:ind w:left="6480" w:hanging="180"/>
      </w:pPr>
    </w:lvl>
  </w:abstractNum>
  <w:abstractNum w:abstractNumId="10" w15:restartNumberingAfterBreak="0">
    <w:nsid w:val="3A875D90"/>
    <w:multiLevelType w:val="hybridMultilevel"/>
    <w:tmpl w:val="4F7A9328"/>
    <w:lvl w:ilvl="0" w:tplc="F35E0B24">
      <w:start w:val="1"/>
      <w:numFmt w:val="decimal"/>
      <w:lvlText w:val="%1."/>
      <w:lvlJc w:val="left"/>
      <w:pPr>
        <w:ind w:left="720" w:hanging="360"/>
      </w:pPr>
    </w:lvl>
    <w:lvl w:ilvl="1" w:tplc="AC78F6BE">
      <w:start w:val="1"/>
      <w:numFmt w:val="lowerLetter"/>
      <w:lvlText w:val="%2."/>
      <w:lvlJc w:val="left"/>
      <w:pPr>
        <w:ind w:left="1440" w:hanging="360"/>
      </w:pPr>
    </w:lvl>
    <w:lvl w:ilvl="2" w:tplc="79A4F77C">
      <w:start w:val="1"/>
      <w:numFmt w:val="lowerRoman"/>
      <w:lvlText w:val="%3."/>
      <w:lvlJc w:val="right"/>
      <w:pPr>
        <w:ind w:left="2160" w:hanging="180"/>
      </w:pPr>
    </w:lvl>
    <w:lvl w:ilvl="3" w:tplc="D3A62962">
      <w:start w:val="1"/>
      <w:numFmt w:val="decimal"/>
      <w:lvlText w:val="%4."/>
      <w:lvlJc w:val="left"/>
      <w:pPr>
        <w:ind w:left="2880" w:hanging="360"/>
      </w:pPr>
    </w:lvl>
    <w:lvl w:ilvl="4" w:tplc="D8EA23C0">
      <w:start w:val="1"/>
      <w:numFmt w:val="lowerLetter"/>
      <w:lvlText w:val="%5."/>
      <w:lvlJc w:val="left"/>
      <w:pPr>
        <w:ind w:left="3600" w:hanging="360"/>
      </w:pPr>
    </w:lvl>
    <w:lvl w:ilvl="5" w:tplc="D0A4C6B6">
      <w:start w:val="1"/>
      <w:numFmt w:val="lowerRoman"/>
      <w:lvlText w:val="%6."/>
      <w:lvlJc w:val="right"/>
      <w:pPr>
        <w:ind w:left="4320" w:hanging="180"/>
      </w:pPr>
    </w:lvl>
    <w:lvl w:ilvl="6" w:tplc="C580645C">
      <w:start w:val="1"/>
      <w:numFmt w:val="decimal"/>
      <w:lvlText w:val="%7."/>
      <w:lvlJc w:val="left"/>
      <w:pPr>
        <w:ind w:left="5040" w:hanging="360"/>
      </w:pPr>
    </w:lvl>
    <w:lvl w:ilvl="7" w:tplc="80F0E92A">
      <w:start w:val="1"/>
      <w:numFmt w:val="lowerLetter"/>
      <w:lvlText w:val="%8."/>
      <w:lvlJc w:val="left"/>
      <w:pPr>
        <w:ind w:left="5760" w:hanging="360"/>
      </w:pPr>
    </w:lvl>
    <w:lvl w:ilvl="8" w:tplc="B0D678A2">
      <w:start w:val="1"/>
      <w:numFmt w:val="lowerRoman"/>
      <w:lvlText w:val="%9."/>
      <w:lvlJc w:val="right"/>
      <w:pPr>
        <w:ind w:left="6480" w:hanging="180"/>
      </w:pPr>
    </w:lvl>
  </w:abstractNum>
  <w:abstractNum w:abstractNumId="11" w15:restartNumberingAfterBreak="0">
    <w:nsid w:val="3F69E25E"/>
    <w:multiLevelType w:val="hybridMultilevel"/>
    <w:tmpl w:val="FFFFFFFF"/>
    <w:lvl w:ilvl="0" w:tplc="2B606C02">
      <w:start w:val="3"/>
      <w:numFmt w:val="decimal"/>
      <w:lvlText w:val="%1."/>
      <w:lvlJc w:val="left"/>
      <w:pPr>
        <w:ind w:left="720" w:hanging="360"/>
      </w:pPr>
    </w:lvl>
    <w:lvl w:ilvl="1" w:tplc="F4E0FCB4">
      <w:start w:val="1"/>
      <w:numFmt w:val="lowerLetter"/>
      <w:lvlText w:val="%2."/>
      <w:lvlJc w:val="left"/>
      <w:pPr>
        <w:ind w:left="1440" w:hanging="360"/>
      </w:pPr>
    </w:lvl>
    <w:lvl w:ilvl="2" w:tplc="3ADC6DB8">
      <w:start w:val="1"/>
      <w:numFmt w:val="lowerRoman"/>
      <w:lvlText w:val="%3."/>
      <w:lvlJc w:val="right"/>
      <w:pPr>
        <w:ind w:left="2160" w:hanging="180"/>
      </w:pPr>
    </w:lvl>
    <w:lvl w:ilvl="3" w:tplc="BCBC0C4A">
      <w:start w:val="1"/>
      <w:numFmt w:val="decimal"/>
      <w:lvlText w:val="%4."/>
      <w:lvlJc w:val="left"/>
      <w:pPr>
        <w:ind w:left="2880" w:hanging="360"/>
      </w:pPr>
    </w:lvl>
    <w:lvl w:ilvl="4" w:tplc="C29E98EA">
      <w:start w:val="1"/>
      <w:numFmt w:val="lowerLetter"/>
      <w:lvlText w:val="%5."/>
      <w:lvlJc w:val="left"/>
      <w:pPr>
        <w:ind w:left="3600" w:hanging="360"/>
      </w:pPr>
    </w:lvl>
    <w:lvl w:ilvl="5" w:tplc="B1CA0432">
      <w:start w:val="1"/>
      <w:numFmt w:val="lowerRoman"/>
      <w:lvlText w:val="%6."/>
      <w:lvlJc w:val="right"/>
      <w:pPr>
        <w:ind w:left="4320" w:hanging="180"/>
      </w:pPr>
    </w:lvl>
    <w:lvl w:ilvl="6" w:tplc="6A78E10E">
      <w:start w:val="1"/>
      <w:numFmt w:val="decimal"/>
      <w:lvlText w:val="%7."/>
      <w:lvlJc w:val="left"/>
      <w:pPr>
        <w:ind w:left="5040" w:hanging="360"/>
      </w:pPr>
    </w:lvl>
    <w:lvl w:ilvl="7" w:tplc="764A860C">
      <w:start w:val="1"/>
      <w:numFmt w:val="lowerLetter"/>
      <w:lvlText w:val="%8."/>
      <w:lvlJc w:val="left"/>
      <w:pPr>
        <w:ind w:left="5760" w:hanging="360"/>
      </w:pPr>
    </w:lvl>
    <w:lvl w:ilvl="8" w:tplc="02B89ACC">
      <w:start w:val="1"/>
      <w:numFmt w:val="lowerRoman"/>
      <w:lvlText w:val="%9."/>
      <w:lvlJc w:val="right"/>
      <w:pPr>
        <w:ind w:left="6480" w:hanging="180"/>
      </w:pPr>
    </w:lvl>
  </w:abstractNum>
  <w:abstractNum w:abstractNumId="12" w15:restartNumberingAfterBreak="0">
    <w:nsid w:val="41C34F89"/>
    <w:multiLevelType w:val="hybridMultilevel"/>
    <w:tmpl w:val="FFFFFFFF"/>
    <w:lvl w:ilvl="0" w:tplc="BC6AB158">
      <w:start w:val="3"/>
      <w:numFmt w:val="decimal"/>
      <w:lvlText w:val="%1."/>
      <w:lvlJc w:val="left"/>
      <w:pPr>
        <w:ind w:left="720" w:hanging="360"/>
      </w:pPr>
    </w:lvl>
    <w:lvl w:ilvl="1" w:tplc="243A3220">
      <w:start w:val="1"/>
      <w:numFmt w:val="lowerLetter"/>
      <w:lvlText w:val="%2."/>
      <w:lvlJc w:val="left"/>
      <w:pPr>
        <w:ind w:left="1440" w:hanging="360"/>
      </w:pPr>
    </w:lvl>
    <w:lvl w:ilvl="2" w:tplc="56B85CD6">
      <w:start w:val="1"/>
      <w:numFmt w:val="lowerRoman"/>
      <w:lvlText w:val="%3."/>
      <w:lvlJc w:val="right"/>
      <w:pPr>
        <w:ind w:left="2160" w:hanging="180"/>
      </w:pPr>
    </w:lvl>
    <w:lvl w:ilvl="3" w:tplc="EF8EC7C0">
      <w:start w:val="1"/>
      <w:numFmt w:val="decimal"/>
      <w:lvlText w:val="%4."/>
      <w:lvlJc w:val="left"/>
      <w:pPr>
        <w:ind w:left="2880" w:hanging="360"/>
      </w:pPr>
    </w:lvl>
    <w:lvl w:ilvl="4" w:tplc="9F3E9694">
      <w:start w:val="1"/>
      <w:numFmt w:val="lowerLetter"/>
      <w:lvlText w:val="%5."/>
      <w:lvlJc w:val="left"/>
      <w:pPr>
        <w:ind w:left="3600" w:hanging="360"/>
      </w:pPr>
    </w:lvl>
    <w:lvl w:ilvl="5" w:tplc="48567FD2">
      <w:start w:val="1"/>
      <w:numFmt w:val="lowerRoman"/>
      <w:lvlText w:val="%6."/>
      <w:lvlJc w:val="right"/>
      <w:pPr>
        <w:ind w:left="4320" w:hanging="180"/>
      </w:pPr>
    </w:lvl>
    <w:lvl w:ilvl="6" w:tplc="35567D3E">
      <w:start w:val="1"/>
      <w:numFmt w:val="decimal"/>
      <w:lvlText w:val="%7."/>
      <w:lvlJc w:val="left"/>
      <w:pPr>
        <w:ind w:left="5040" w:hanging="360"/>
      </w:pPr>
    </w:lvl>
    <w:lvl w:ilvl="7" w:tplc="435A65B8">
      <w:start w:val="1"/>
      <w:numFmt w:val="lowerLetter"/>
      <w:lvlText w:val="%8."/>
      <w:lvlJc w:val="left"/>
      <w:pPr>
        <w:ind w:left="5760" w:hanging="360"/>
      </w:pPr>
    </w:lvl>
    <w:lvl w:ilvl="8" w:tplc="D8F86176">
      <w:start w:val="1"/>
      <w:numFmt w:val="lowerRoman"/>
      <w:lvlText w:val="%9."/>
      <w:lvlJc w:val="right"/>
      <w:pPr>
        <w:ind w:left="6480" w:hanging="180"/>
      </w:pPr>
    </w:lvl>
  </w:abstractNum>
  <w:abstractNum w:abstractNumId="13" w15:restartNumberingAfterBreak="0">
    <w:nsid w:val="48E0790D"/>
    <w:multiLevelType w:val="hybridMultilevel"/>
    <w:tmpl w:val="161EF336"/>
    <w:lvl w:ilvl="0" w:tplc="E0B64B4A">
      <w:start w:val="1"/>
      <w:numFmt w:val="decimal"/>
      <w:lvlText w:val="(%1)"/>
      <w:lvlJc w:val="left"/>
      <w:pPr>
        <w:ind w:left="720" w:hanging="360"/>
      </w:pPr>
    </w:lvl>
    <w:lvl w:ilvl="1" w:tplc="B1104CEA">
      <w:start w:val="1"/>
      <w:numFmt w:val="lowerLetter"/>
      <w:lvlText w:val="%2."/>
      <w:lvlJc w:val="left"/>
      <w:pPr>
        <w:ind w:left="1440" w:hanging="360"/>
      </w:pPr>
    </w:lvl>
    <w:lvl w:ilvl="2" w:tplc="46081244">
      <w:start w:val="1"/>
      <w:numFmt w:val="lowerRoman"/>
      <w:lvlText w:val="%3."/>
      <w:lvlJc w:val="right"/>
      <w:pPr>
        <w:ind w:left="2160" w:hanging="180"/>
      </w:pPr>
    </w:lvl>
    <w:lvl w:ilvl="3" w:tplc="3BC20E0E">
      <w:start w:val="1"/>
      <w:numFmt w:val="decimal"/>
      <w:lvlText w:val="%4."/>
      <w:lvlJc w:val="left"/>
      <w:pPr>
        <w:ind w:left="2880" w:hanging="360"/>
      </w:pPr>
    </w:lvl>
    <w:lvl w:ilvl="4" w:tplc="891EE46E">
      <w:start w:val="1"/>
      <w:numFmt w:val="lowerLetter"/>
      <w:lvlText w:val="%5."/>
      <w:lvlJc w:val="left"/>
      <w:pPr>
        <w:ind w:left="3600" w:hanging="360"/>
      </w:pPr>
    </w:lvl>
    <w:lvl w:ilvl="5" w:tplc="DBAE6484">
      <w:start w:val="1"/>
      <w:numFmt w:val="lowerRoman"/>
      <w:lvlText w:val="%6."/>
      <w:lvlJc w:val="right"/>
      <w:pPr>
        <w:ind w:left="4320" w:hanging="180"/>
      </w:pPr>
    </w:lvl>
    <w:lvl w:ilvl="6" w:tplc="8DA09444">
      <w:start w:val="1"/>
      <w:numFmt w:val="decimal"/>
      <w:lvlText w:val="%7."/>
      <w:lvlJc w:val="left"/>
      <w:pPr>
        <w:ind w:left="5040" w:hanging="360"/>
      </w:pPr>
    </w:lvl>
    <w:lvl w:ilvl="7" w:tplc="988809E8">
      <w:start w:val="1"/>
      <w:numFmt w:val="lowerLetter"/>
      <w:lvlText w:val="%8."/>
      <w:lvlJc w:val="left"/>
      <w:pPr>
        <w:ind w:left="5760" w:hanging="360"/>
      </w:pPr>
    </w:lvl>
    <w:lvl w:ilvl="8" w:tplc="87DED5B4">
      <w:start w:val="1"/>
      <w:numFmt w:val="lowerRoman"/>
      <w:lvlText w:val="%9."/>
      <w:lvlJc w:val="right"/>
      <w:pPr>
        <w:ind w:left="6480" w:hanging="180"/>
      </w:pPr>
    </w:lvl>
  </w:abstractNum>
  <w:abstractNum w:abstractNumId="14"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15" w15:restartNumberingAfterBreak="0">
    <w:nsid w:val="5A469FC5"/>
    <w:multiLevelType w:val="hybridMultilevel"/>
    <w:tmpl w:val="FFFFFFFF"/>
    <w:lvl w:ilvl="0" w:tplc="8A7C25A6">
      <w:start w:val="1"/>
      <w:numFmt w:val="decimal"/>
      <w:lvlText w:val="%1."/>
      <w:lvlJc w:val="left"/>
      <w:pPr>
        <w:ind w:left="720" w:hanging="360"/>
      </w:pPr>
    </w:lvl>
    <w:lvl w:ilvl="1" w:tplc="A5AC2022">
      <w:start w:val="1"/>
      <w:numFmt w:val="lowerLetter"/>
      <w:lvlText w:val="%2."/>
      <w:lvlJc w:val="left"/>
      <w:pPr>
        <w:ind w:left="1440" w:hanging="360"/>
      </w:pPr>
    </w:lvl>
    <w:lvl w:ilvl="2" w:tplc="FF50695E">
      <w:start w:val="1"/>
      <w:numFmt w:val="lowerRoman"/>
      <w:lvlText w:val="%3."/>
      <w:lvlJc w:val="right"/>
      <w:pPr>
        <w:ind w:left="2160" w:hanging="180"/>
      </w:pPr>
    </w:lvl>
    <w:lvl w:ilvl="3" w:tplc="9F8C4026">
      <w:start w:val="1"/>
      <w:numFmt w:val="decimal"/>
      <w:lvlText w:val="%4."/>
      <w:lvlJc w:val="left"/>
      <w:pPr>
        <w:ind w:left="2880" w:hanging="360"/>
      </w:pPr>
    </w:lvl>
    <w:lvl w:ilvl="4" w:tplc="802EDBB0">
      <w:start w:val="1"/>
      <w:numFmt w:val="lowerLetter"/>
      <w:lvlText w:val="%5."/>
      <w:lvlJc w:val="left"/>
      <w:pPr>
        <w:ind w:left="3600" w:hanging="360"/>
      </w:pPr>
    </w:lvl>
    <w:lvl w:ilvl="5" w:tplc="8F1496A0">
      <w:start w:val="1"/>
      <w:numFmt w:val="lowerRoman"/>
      <w:lvlText w:val="%6."/>
      <w:lvlJc w:val="right"/>
      <w:pPr>
        <w:ind w:left="4320" w:hanging="180"/>
      </w:pPr>
    </w:lvl>
    <w:lvl w:ilvl="6" w:tplc="0A2A28F0">
      <w:start w:val="1"/>
      <w:numFmt w:val="decimal"/>
      <w:lvlText w:val="%7."/>
      <w:lvlJc w:val="left"/>
      <w:pPr>
        <w:ind w:left="5040" w:hanging="360"/>
      </w:pPr>
    </w:lvl>
    <w:lvl w:ilvl="7" w:tplc="09A2F058">
      <w:start w:val="1"/>
      <w:numFmt w:val="lowerLetter"/>
      <w:lvlText w:val="%8."/>
      <w:lvlJc w:val="left"/>
      <w:pPr>
        <w:ind w:left="5760" w:hanging="360"/>
      </w:pPr>
    </w:lvl>
    <w:lvl w:ilvl="8" w:tplc="10B8DD7E">
      <w:start w:val="1"/>
      <w:numFmt w:val="lowerRoman"/>
      <w:lvlText w:val="%9."/>
      <w:lvlJc w:val="right"/>
      <w:pPr>
        <w:ind w:left="6480" w:hanging="180"/>
      </w:pPr>
    </w:lvl>
  </w:abstractNum>
  <w:abstractNum w:abstractNumId="16" w15:restartNumberingAfterBreak="0">
    <w:nsid w:val="5B93630A"/>
    <w:multiLevelType w:val="hybridMultilevel"/>
    <w:tmpl w:val="FFFFFFFF"/>
    <w:lvl w:ilvl="0" w:tplc="E9400496">
      <w:start w:val="1"/>
      <w:numFmt w:val="decimal"/>
      <w:lvlText w:val="%1."/>
      <w:lvlJc w:val="left"/>
      <w:pPr>
        <w:ind w:left="1440" w:hanging="360"/>
      </w:pPr>
    </w:lvl>
    <w:lvl w:ilvl="1" w:tplc="6D9A32DC">
      <w:start w:val="1"/>
      <w:numFmt w:val="lowerLetter"/>
      <w:lvlText w:val="%2."/>
      <w:lvlJc w:val="left"/>
      <w:pPr>
        <w:ind w:left="2160" w:hanging="360"/>
      </w:pPr>
    </w:lvl>
    <w:lvl w:ilvl="2" w:tplc="AF90C43A">
      <w:start w:val="1"/>
      <w:numFmt w:val="lowerRoman"/>
      <w:lvlText w:val="%3."/>
      <w:lvlJc w:val="right"/>
      <w:pPr>
        <w:ind w:left="2880" w:hanging="180"/>
      </w:pPr>
    </w:lvl>
    <w:lvl w:ilvl="3" w:tplc="998E5960">
      <w:start w:val="1"/>
      <w:numFmt w:val="decimal"/>
      <w:lvlText w:val="%4."/>
      <w:lvlJc w:val="left"/>
      <w:pPr>
        <w:ind w:left="3600" w:hanging="360"/>
      </w:pPr>
    </w:lvl>
    <w:lvl w:ilvl="4" w:tplc="12247168">
      <w:start w:val="1"/>
      <w:numFmt w:val="lowerLetter"/>
      <w:lvlText w:val="%5."/>
      <w:lvlJc w:val="left"/>
      <w:pPr>
        <w:ind w:left="4320" w:hanging="360"/>
      </w:pPr>
    </w:lvl>
    <w:lvl w:ilvl="5" w:tplc="1D3839A2">
      <w:start w:val="1"/>
      <w:numFmt w:val="lowerRoman"/>
      <w:lvlText w:val="%6."/>
      <w:lvlJc w:val="right"/>
      <w:pPr>
        <w:ind w:left="5040" w:hanging="180"/>
      </w:pPr>
    </w:lvl>
    <w:lvl w:ilvl="6" w:tplc="8E98EF88">
      <w:start w:val="1"/>
      <w:numFmt w:val="decimal"/>
      <w:lvlText w:val="%7."/>
      <w:lvlJc w:val="left"/>
      <w:pPr>
        <w:ind w:left="5760" w:hanging="360"/>
      </w:pPr>
    </w:lvl>
    <w:lvl w:ilvl="7" w:tplc="F56E3E4C">
      <w:start w:val="1"/>
      <w:numFmt w:val="lowerLetter"/>
      <w:lvlText w:val="%8."/>
      <w:lvlJc w:val="left"/>
      <w:pPr>
        <w:ind w:left="6480" w:hanging="360"/>
      </w:pPr>
    </w:lvl>
    <w:lvl w:ilvl="8" w:tplc="55F29110">
      <w:start w:val="1"/>
      <w:numFmt w:val="lowerRoman"/>
      <w:lvlText w:val="%9."/>
      <w:lvlJc w:val="right"/>
      <w:pPr>
        <w:ind w:left="7200" w:hanging="180"/>
      </w:pPr>
    </w:lvl>
  </w:abstractNum>
  <w:abstractNum w:abstractNumId="17" w15:restartNumberingAfterBreak="0">
    <w:nsid w:val="5FB4BA24"/>
    <w:multiLevelType w:val="hybridMultilevel"/>
    <w:tmpl w:val="FFFFFFFF"/>
    <w:lvl w:ilvl="0" w:tplc="2C60AFCA">
      <w:start w:val="4"/>
      <w:numFmt w:val="decimal"/>
      <w:lvlText w:val="%1."/>
      <w:lvlJc w:val="left"/>
      <w:pPr>
        <w:ind w:left="720" w:hanging="360"/>
      </w:pPr>
    </w:lvl>
    <w:lvl w:ilvl="1" w:tplc="82348924">
      <w:start w:val="1"/>
      <w:numFmt w:val="lowerLetter"/>
      <w:lvlText w:val="%2."/>
      <w:lvlJc w:val="left"/>
      <w:pPr>
        <w:ind w:left="1440" w:hanging="360"/>
      </w:pPr>
    </w:lvl>
    <w:lvl w:ilvl="2" w:tplc="B9568FA2">
      <w:start w:val="1"/>
      <w:numFmt w:val="lowerRoman"/>
      <w:lvlText w:val="%3."/>
      <w:lvlJc w:val="right"/>
      <w:pPr>
        <w:ind w:left="2160" w:hanging="180"/>
      </w:pPr>
    </w:lvl>
    <w:lvl w:ilvl="3" w:tplc="9CDEA04E">
      <w:start w:val="1"/>
      <w:numFmt w:val="decimal"/>
      <w:lvlText w:val="%4."/>
      <w:lvlJc w:val="left"/>
      <w:pPr>
        <w:ind w:left="2880" w:hanging="360"/>
      </w:pPr>
    </w:lvl>
    <w:lvl w:ilvl="4" w:tplc="70669630">
      <w:start w:val="1"/>
      <w:numFmt w:val="lowerLetter"/>
      <w:lvlText w:val="%5."/>
      <w:lvlJc w:val="left"/>
      <w:pPr>
        <w:ind w:left="3600" w:hanging="360"/>
      </w:pPr>
    </w:lvl>
    <w:lvl w:ilvl="5" w:tplc="1526C1B8">
      <w:start w:val="1"/>
      <w:numFmt w:val="lowerRoman"/>
      <w:lvlText w:val="%6."/>
      <w:lvlJc w:val="right"/>
      <w:pPr>
        <w:ind w:left="4320" w:hanging="180"/>
      </w:pPr>
    </w:lvl>
    <w:lvl w:ilvl="6" w:tplc="28A2557A">
      <w:start w:val="1"/>
      <w:numFmt w:val="decimal"/>
      <w:lvlText w:val="%7."/>
      <w:lvlJc w:val="left"/>
      <w:pPr>
        <w:ind w:left="5040" w:hanging="360"/>
      </w:pPr>
    </w:lvl>
    <w:lvl w:ilvl="7" w:tplc="BBE48F24">
      <w:start w:val="1"/>
      <w:numFmt w:val="lowerLetter"/>
      <w:lvlText w:val="%8."/>
      <w:lvlJc w:val="left"/>
      <w:pPr>
        <w:ind w:left="5760" w:hanging="360"/>
      </w:pPr>
    </w:lvl>
    <w:lvl w:ilvl="8" w:tplc="B928DC28">
      <w:start w:val="1"/>
      <w:numFmt w:val="lowerRoman"/>
      <w:lvlText w:val="%9."/>
      <w:lvlJc w:val="right"/>
      <w:pPr>
        <w:ind w:left="6480" w:hanging="180"/>
      </w:pPr>
    </w:lvl>
  </w:abstractNum>
  <w:abstractNum w:abstractNumId="18"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66A75C42"/>
    <w:multiLevelType w:val="hybridMultilevel"/>
    <w:tmpl w:val="97DC725E"/>
    <w:lvl w:ilvl="0" w:tplc="FFFFFFFF">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31B146"/>
    <w:multiLevelType w:val="hybridMultilevel"/>
    <w:tmpl w:val="FFFFFFFF"/>
    <w:lvl w:ilvl="0" w:tplc="98F0AC3E">
      <w:start w:val="4"/>
      <w:numFmt w:val="decimal"/>
      <w:lvlText w:val="%1."/>
      <w:lvlJc w:val="left"/>
      <w:pPr>
        <w:ind w:left="720" w:hanging="360"/>
      </w:pPr>
    </w:lvl>
    <w:lvl w:ilvl="1" w:tplc="6D2EF45A">
      <w:start w:val="1"/>
      <w:numFmt w:val="lowerLetter"/>
      <w:lvlText w:val="%2."/>
      <w:lvlJc w:val="left"/>
      <w:pPr>
        <w:ind w:left="1440" w:hanging="360"/>
      </w:pPr>
    </w:lvl>
    <w:lvl w:ilvl="2" w:tplc="D32E2AB8">
      <w:start w:val="1"/>
      <w:numFmt w:val="lowerRoman"/>
      <w:lvlText w:val="%3."/>
      <w:lvlJc w:val="right"/>
      <w:pPr>
        <w:ind w:left="2160" w:hanging="180"/>
      </w:pPr>
    </w:lvl>
    <w:lvl w:ilvl="3" w:tplc="22800504">
      <w:start w:val="1"/>
      <w:numFmt w:val="decimal"/>
      <w:lvlText w:val="%4."/>
      <w:lvlJc w:val="left"/>
      <w:pPr>
        <w:ind w:left="2880" w:hanging="360"/>
      </w:pPr>
    </w:lvl>
    <w:lvl w:ilvl="4" w:tplc="B5E0D438">
      <w:start w:val="1"/>
      <w:numFmt w:val="lowerLetter"/>
      <w:lvlText w:val="%5."/>
      <w:lvlJc w:val="left"/>
      <w:pPr>
        <w:ind w:left="3600" w:hanging="360"/>
      </w:pPr>
    </w:lvl>
    <w:lvl w:ilvl="5" w:tplc="14CC33C6">
      <w:start w:val="1"/>
      <w:numFmt w:val="lowerRoman"/>
      <w:lvlText w:val="%6."/>
      <w:lvlJc w:val="right"/>
      <w:pPr>
        <w:ind w:left="4320" w:hanging="180"/>
      </w:pPr>
    </w:lvl>
    <w:lvl w:ilvl="6" w:tplc="ABC09180">
      <w:start w:val="1"/>
      <w:numFmt w:val="decimal"/>
      <w:lvlText w:val="%7."/>
      <w:lvlJc w:val="left"/>
      <w:pPr>
        <w:ind w:left="5040" w:hanging="360"/>
      </w:pPr>
    </w:lvl>
    <w:lvl w:ilvl="7" w:tplc="5A002E8C">
      <w:start w:val="1"/>
      <w:numFmt w:val="lowerLetter"/>
      <w:lvlText w:val="%8."/>
      <w:lvlJc w:val="left"/>
      <w:pPr>
        <w:ind w:left="5760" w:hanging="360"/>
      </w:pPr>
    </w:lvl>
    <w:lvl w:ilvl="8" w:tplc="321A9216">
      <w:start w:val="1"/>
      <w:numFmt w:val="lowerRoman"/>
      <w:lvlText w:val="%9."/>
      <w:lvlJc w:val="right"/>
      <w:pPr>
        <w:ind w:left="6480" w:hanging="180"/>
      </w:pPr>
    </w:lvl>
  </w:abstractNum>
  <w:abstractNum w:abstractNumId="21"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633758040">
    <w:abstractNumId w:val="1"/>
  </w:num>
  <w:num w:numId="2" w16cid:durableId="1099254990">
    <w:abstractNumId w:val="10"/>
  </w:num>
  <w:num w:numId="3" w16cid:durableId="1761636115">
    <w:abstractNumId w:val="0"/>
  </w:num>
  <w:num w:numId="4" w16cid:durableId="906499971">
    <w:abstractNumId w:val="13"/>
  </w:num>
  <w:num w:numId="5" w16cid:durableId="1692220254">
    <w:abstractNumId w:val="9"/>
  </w:num>
  <w:num w:numId="6" w16cid:durableId="1828014383">
    <w:abstractNumId w:val="5"/>
  </w:num>
  <w:num w:numId="7" w16cid:durableId="468059935">
    <w:abstractNumId w:val="17"/>
  </w:num>
  <w:num w:numId="8" w16cid:durableId="2102489879">
    <w:abstractNumId w:val="3"/>
  </w:num>
  <w:num w:numId="9" w16cid:durableId="341199827">
    <w:abstractNumId w:val="8"/>
  </w:num>
  <w:num w:numId="10" w16cid:durableId="1202397627">
    <w:abstractNumId w:val="15"/>
  </w:num>
  <w:num w:numId="11" w16cid:durableId="1709452023">
    <w:abstractNumId w:val="12"/>
  </w:num>
  <w:num w:numId="12" w16cid:durableId="738402218">
    <w:abstractNumId w:val="6"/>
  </w:num>
  <w:num w:numId="13" w16cid:durableId="573978622">
    <w:abstractNumId w:val="16"/>
  </w:num>
  <w:num w:numId="14" w16cid:durableId="1456631053">
    <w:abstractNumId w:val="20"/>
  </w:num>
  <w:num w:numId="15" w16cid:durableId="822547360">
    <w:abstractNumId w:val="11"/>
  </w:num>
  <w:num w:numId="16" w16cid:durableId="60373156">
    <w:abstractNumId w:val="14"/>
  </w:num>
  <w:num w:numId="17" w16cid:durableId="755398781">
    <w:abstractNumId w:val="2"/>
  </w:num>
  <w:num w:numId="18" w16cid:durableId="2135128712">
    <w:abstractNumId w:val="4"/>
  </w:num>
  <w:num w:numId="19" w16cid:durableId="1945722257">
    <w:abstractNumId w:val="18"/>
  </w:num>
  <w:num w:numId="20" w16cid:durableId="1072511323">
    <w:abstractNumId w:val="21"/>
  </w:num>
  <w:num w:numId="21" w16cid:durableId="1818455210">
    <w:abstractNumId w:val="19"/>
  </w:num>
  <w:num w:numId="22" w16cid:durableId="206726435">
    <w:abstractNumId w:val="7"/>
  </w:num>
  <w:num w:numId="23" w16cid:durableId="143408674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4A3"/>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81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5994"/>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3F8"/>
    <w:rsid w:val="00050B04"/>
    <w:rsid w:val="00051B48"/>
    <w:rsid w:val="000520A6"/>
    <w:rsid w:val="00053237"/>
    <w:rsid w:val="0005382B"/>
    <w:rsid w:val="00053DEB"/>
    <w:rsid w:val="00053E87"/>
    <w:rsid w:val="00054677"/>
    <w:rsid w:val="0005467E"/>
    <w:rsid w:val="00054700"/>
    <w:rsid w:val="000554D5"/>
    <w:rsid w:val="000557CF"/>
    <w:rsid w:val="00057227"/>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39B"/>
    <w:rsid w:val="0007375C"/>
    <w:rsid w:val="00073760"/>
    <w:rsid w:val="00073A1C"/>
    <w:rsid w:val="00074ACD"/>
    <w:rsid w:val="00076249"/>
    <w:rsid w:val="000762EC"/>
    <w:rsid w:val="00076783"/>
    <w:rsid w:val="00077549"/>
    <w:rsid w:val="00077871"/>
    <w:rsid w:val="00077D2E"/>
    <w:rsid w:val="00081186"/>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376"/>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51C"/>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01F"/>
    <w:rsid w:val="000B66F1"/>
    <w:rsid w:val="000B77EF"/>
    <w:rsid w:val="000B7EC6"/>
    <w:rsid w:val="000B7F10"/>
    <w:rsid w:val="000C007A"/>
    <w:rsid w:val="000C1875"/>
    <w:rsid w:val="000C26D1"/>
    <w:rsid w:val="000C339B"/>
    <w:rsid w:val="000C36AE"/>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3C4D"/>
    <w:rsid w:val="000D4F31"/>
    <w:rsid w:val="000D50DB"/>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4EB7"/>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2C01"/>
    <w:rsid w:val="001034CA"/>
    <w:rsid w:val="00104503"/>
    <w:rsid w:val="001045CA"/>
    <w:rsid w:val="001054B0"/>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17CFA"/>
    <w:rsid w:val="00121078"/>
    <w:rsid w:val="00121855"/>
    <w:rsid w:val="00121DDC"/>
    <w:rsid w:val="00121E29"/>
    <w:rsid w:val="0012202A"/>
    <w:rsid w:val="001223B0"/>
    <w:rsid w:val="001227CF"/>
    <w:rsid w:val="00122EE1"/>
    <w:rsid w:val="00123C64"/>
    <w:rsid w:val="00124189"/>
    <w:rsid w:val="001246C1"/>
    <w:rsid w:val="001254CC"/>
    <w:rsid w:val="001255A5"/>
    <w:rsid w:val="0012597C"/>
    <w:rsid w:val="001261C9"/>
    <w:rsid w:val="0012620D"/>
    <w:rsid w:val="0012637F"/>
    <w:rsid w:val="00126618"/>
    <w:rsid w:val="001267FD"/>
    <w:rsid w:val="001276BA"/>
    <w:rsid w:val="00127EFD"/>
    <w:rsid w:val="00127F6F"/>
    <w:rsid w:val="0013028F"/>
    <w:rsid w:val="00130A37"/>
    <w:rsid w:val="00131118"/>
    <w:rsid w:val="0013140B"/>
    <w:rsid w:val="00131DB4"/>
    <w:rsid w:val="001320C7"/>
    <w:rsid w:val="00132486"/>
    <w:rsid w:val="0013280D"/>
    <w:rsid w:val="00132868"/>
    <w:rsid w:val="00133389"/>
    <w:rsid w:val="00134271"/>
    <w:rsid w:val="00134979"/>
    <w:rsid w:val="001353D0"/>
    <w:rsid w:val="0013550C"/>
    <w:rsid w:val="00135C10"/>
    <w:rsid w:val="001370BD"/>
    <w:rsid w:val="00137192"/>
    <w:rsid w:val="00137741"/>
    <w:rsid w:val="00137DC9"/>
    <w:rsid w:val="00137F26"/>
    <w:rsid w:val="0014031C"/>
    <w:rsid w:val="001404FF"/>
    <w:rsid w:val="00141A37"/>
    <w:rsid w:val="00141CFA"/>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59D"/>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871C7"/>
    <w:rsid w:val="00190048"/>
    <w:rsid w:val="001909E6"/>
    <w:rsid w:val="0019122A"/>
    <w:rsid w:val="0019177A"/>
    <w:rsid w:val="00191B79"/>
    <w:rsid w:val="00191DB6"/>
    <w:rsid w:val="00192203"/>
    <w:rsid w:val="0019295E"/>
    <w:rsid w:val="0019375C"/>
    <w:rsid w:val="00193BA2"/>
    <w:rsid w:val="00193FCD"/>
    <w:rsid w:val="001941A9"/>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166E"/>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390"/>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619"/>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458"/>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37B47"/>
    <w:rsid w:val="00240642"/>
    <w:rsid w:val="00240E94"/>
    <w:rsid w:val="00241944"/>
    <w:rsid w:val="00242879"/>
    <w:rsid w:val="00244799"/>
    <w:rsid w:val="00244B02"/>
    <w:rsid w:val="00245F00"/>
    <w:rsid w:val="00246553"/>
    <w:rsid w:val="00246764"/>
    <w:rsid w:val="00247355"/>
    <w:rsid w:val="00247589"/>
    <w:rsid w:val="002477EE"/>
    <w:rsid w:val="0025013B"/>
    <w:rsid w:val="002503C5"/>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646"/>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6D67"/>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5F1"/>
    <w:rsid w:val="002E4BF9"/>
    <w:rsid w:val="002E4D7E"/>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1EA"/>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64C"/>
    <w:rsid w:val="003056B5"/>
    <w:rsid w:val="00305D57"/>
    <w:rsid w:val="00305F74"/>
    <w:rsid w:val="00306A96"/>
    <w:rsid w:val="003070B7"/>
    <w:rsid w:val="00307340"/>
    <w:rsid w:val="00307E87"/>
    <w:rsid w:val="00310DDF"/>
    <w:rsid w:val="00310DE4"/>
    <w:rsid w:val="003119D9"/>
    <w:rsid w:val="00311BD4"/>
    <w:rsid w:val="003124D6"/>
    <w:rsid w:val="00312919"/>
    <w:rsid w:val="00312945"/>
    <w:rsid w:val="00312B5F"/>
    <w:rsid w:val="00312E3D"/>
    <w:rsid w:val="0031311E"/>
    <w:rsid w:val="0031372C"/>
    <w:rsid w:val="00313B96"/>
    <w:rsid w:val="00314524"/>
    <w:rsid w:val="00314CC2"/>
    <w:rsid w:val="0031545D"/>
    <w:rsid w:val="00315543"/>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2EAE"/>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2FE"/>
    <w:rsid w:val="003519E7"/>
    <w:rsid w:val="00351E2B"/>
    <w:rsid w:val="00351F59"/>
    <w:rsid w:val="003521EA"/>
    <w:rsid w:val="0035263A"/>
    <w:rsid w:val="00352862"/>
    <w:rsid w:val="00352DDB"/>
    <w:rsid w:val="0035373C"/>
    <w:rsid w:val="003543F8"/>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383D"/>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0F29"/>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3844"/>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06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32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1E28"/>
    <w:rsid w:val="003E265C"/>
    <w:rsid w:val="003E3C7D"/>
    <w:rsid w:val="003E3D64"/>
    <w:rsid w:val="003E44AC"/>
    <w:rsid w:val="003E48AE"/>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0CB7"/>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58FC"/>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820"/>
    <w:rsid w:val="00425A3E"/>
    <w:rsid w:val="00425A8C"/>
    <w:rsid w:val="00426776"/>
    <w:rsid w:val="004269D7"/>
    <w:rsid w:val="00426E87"/>
    <w:rsid w:val="00427CCB"/>
    <w:rsid w:val="00430308"/>
    <w:rsid w:val="00431900"/>
    <w:rsid w:val="0043257D"/>
    <w:rsid w:val="00433B49"/>
    <w:rsid w:val="004341A4"/>
    <w:rsid w:val="0043422C"/>
    <w:rsid w:val="004343AE"/>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754"/>
    <w:rsid w:val="00467EA1"/>
    <w:rsid w:val="004700DF"/>
    <w:rsid w:val="00470162"/>
    <w:rsid w:val="00470416"/>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E3"/>
    <w:rsid w:val="00480EFF"/>
    <w:rsid w:val="00481171"/>
    <w:rsid w:val="00481293"/>
    <w:rsid w:val="00481649"/>
    <w:rsid w:val="00481880"/>
    <w:rsid w:val="00481C17"/>
    <w:rsid w:val="00482A3E"/>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4CA2"/>
    <w:rsid w:val="004A549C"/>
    <w:rsid w:val="004A5FE9"/>
    <w:rsid w:val="004A6217"/>
    <w:rsid w:val="004A6A4A"/>
    <w:rsid w:val="004A6B0B"/>
    <w:rsid w:val="004B0624"/>
    <w:rsid w:val="004B0EEE"/>
    <w:rsid w:val="004B15B5"/>
    <w:rsid w:val="004B174C"/>
    <w:rsid w:val="004B2186"/>
    <w:rsid w:val="004B2722"/>
    <w:rsid w:val="004B2804"/>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B7D2D"/>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C76F5"/>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42C"/>
    <w:rsid w:val="004F383E"/>
    <w:rsid w:val="004F39DD"/>
    <w:rsid w:val="004F4361"/>
    <w:rsid w:val="004F4775"/>
    <w:rsid w:val="004F6426"/>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0D48"/>
    <w:rsid w:val="00541C26"/>
    <w:rsid w:val="00541E02"/>
    <w:rsid w:val="005429CB"/>
    <w:rsid w:val="00543111"/>
    <w:rsid w:val="005431F6"/>
    <w:rsid w:val="005437F5"/>
    <w:rsid w:val="00543DB4"/>
    <w:rsid w:val="00544371"/>
    <w:rsid w:val="00544A57"/>
    <w:rsid w:val="005463E1"/>
    <w:rsid w:val="0054703D"/>
    <w:rsid w:val="00547388"/>
    <w:rsid w:val="00547696"/>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AC6"/>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6FF"/>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B3"/>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9E5C4"/>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7B3"/>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4F"/>
    <w:rsid w:val="005C7B6E"/>
    <w:rsid w:val="005D0332"/>
    <w:rsid w:val="005D058B"/>
    <w:rsid w:val="005D05DB"/>
    <w:rsid w:val="005D0A41"/>
    <w:rsid w:val="005D0EDD"/>
    <w:rsid w:val="005D121D"/>
    <w:rsid w:val="005D1616"/>
    <w:rsid w:val="005D1754"/>
    <w:rsid w:val="005D230C"/>
    <w:rsid w:val="005D2EFE"/>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416"/>
    <w:rsid w:val="005E5BCB"/>
    <w:rsid w:val="005E64AA"/>
    <w:rsid w:val="005E68DA"/>
    <w:rsid w:val="005E7243"/>
    <w:rsid w:val="005E7F49"/>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5F7"/>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2C52"/>
    <w:rsid w:val="0062300E"/>
    <w:rsid w:val="00623483"/>
    <w:rsid w:val="00623655"/>
    <w:rsid w:val="00623B53"/>
    <w:rsid w:val="0062597F"/>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1D4"/>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57504"/>
    <w:rsid w:val="00660596"/>
    <w:rsid w:val="00660EB1"/>
    <w:rsid w:val="00660EF3"/>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277C"/>
    <w:rsid w:val="0067305E"/>
    <w:rsid w:val="006739F7"/>
    <w:rsid w:val="00673DA9"/>
    <w:rsid w:val="00674074"/>
    <w:rsid w:val="00674703"/>
    <w:rsid w:val="0067665D"/>
    <w:rsid w:val="00676836"/>
    <w:rsid w:val="00676F9A"/>
    <w:rsid w:val="00677385"/>
    <w:rsid w:val="006774F3"/>
    <w:rsid w:val="00677558"/>
    <w:rsid w:val="0068019C"/>
    <w:rsid w:val="006801E1"/>
    <w:rsid w:val="00681143"/>
    <w:rsid w:val="00681520"/>
    <w:rsid w:val="00682BC2"/>
    <w:rsid w:val="00683C94"/>
    <w:rsid w:val="00684943"/>
    <w:rsid w:val="00685640"/>
    <w:rsid w:val="00685794"/>
    <w:rsid w:val="00685878"/>
    <w:rsid w:val="00685C33"/>
    <w:rsid w:val="00686528"/>
    <w:rsid w:val="0068668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6DA"/>
    <w:rsid w:val="006A7E4E"/>
    <w:rsid w:val="006A7FEC"/>
    <w:rsid w:val="006B052A"/>
    <w:rsid w:val="006B064A"/>
    <w:rsid w:val="006B0E9A"/>
    <w:rsid w:val="006B2278"/>
    <w:rsid w:val="006B23C5"/>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B7B6C"/>
    <w:rsid w:val="006C022B"/>
    <w:rsid w:val="006C0386"/>
    <w:rsid w:val="006C0AEC"/>
    <w:rsid w:val="006C0D0C"/>
    <w:rsid w:val="006C0D5A"/>
    <w:rsid w:val="006C11BB"/>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3A2C"/>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515"/>
    <w:rsid w:val="00716B26"/>
    <w:rsid w:val="00716CF2"/>
    <w:rsid w:val="00717873"/>
    <w:rsid w:val="00717F5B"/>
    <w:rsid w:val="00720270"/>
    <w:rsid w:val="00720528"/>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07D"/>
    <w:rsid w:val="007476AD"/>
    <w:rsid w:val="007502DA"/>
    <w:rsid w:val="00750D67"/>
    <w:rsid w:val="00750F0E"/>
    <w:rsid w:val="00751210"/>
    <w:rsid w:val="007518C6"/>
    <w:rsid w:val="00752C3A"/>
    <w:rsid w:val="007532DA"/>
    <w:rsid w:val="007541BC"/>
    <w:rsid w:val="00754626"/>
    <w:rsid w:val="007549AC"/>
    <w:rsid w:val="007557A6"/>
    <w:rsid w:val="00755CA8"/>
    <w:rsid w:val="00756878"/>
    <w:rsid w:val="00756B9A"/>
    <w:rsid w:val="00756BBA"/>
    <w:rsid w:val="007571CB"/>
    <w:rsid w:val="007572AD"/>
    <w:rsid w:val="007607D6"/>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6757"/>
    <w:rsid w:val="0077749D"/>
    <w:rsid w:val="007774BB"/>
    <w:rsid w:val="00777D35"/>
    <w:rsid w:val="00777F5D"/>
    <w:rsid w:val="0078002B"/>
    <w:rsid w:val="0078071F"/>
    <w:rsid w:val="00780749"/>
    <w:rsid w:val="00780DDC"/>
    <w:rsid w:val="00781C4A"/>
    <w:rsid w:val="00781DFE"/>
    <w:rsid w:val="00781F9D"/>
    <w:rsid w:val="007824D1"/>
    <w:rsid w:val="00782978"/>
    <w:rsid w:val="00783153"/>
    <w:rsid w:val="007839D0"/>
    <w:rsid w:val="00783B40"/>
    <w:rsid w:val="007849BD"/>
    <w:rsid w:val="00784CA4"/>
    <w:rsid w:val="00784CBD"/>
    <w:rsid w:val="00785608"/>
    <w:rsid w:val="007862D9"/>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97F05"/>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0C7"/>
    <w:rsid w:val="007A710F"/>
    <w:rsid w:val="007A7FC2"/>
    <w:rsid w:val="007B003A"/>
    <w:rsid w:val="007B1507"/>
    <w:rsid w:val="007B169D"/>
    <w:rsid w:val="007B2457"/>
    <w:rsid w:val="007B26C9"/>
    <w:rsid w:val="007B2C29"/>
    <w:rsid w:val="007B2F68"/>
    <w:rsid w:val="007B32B4"/>
    <w:rsid w:val="007B32D3"/>
    <w:rsid w:val="007B389D"/>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E3C"/>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4A8"/>
    <w:rsid w:val="007F37E7"/>
    <w:rsid w:val="007F3D56"/>
    <w:rsid w:val="007F46BE"/>
    <w:rsid w:val="007F4D8C"/>
    <w:rsid w:val="007F501D"/>
    <w:rsid w:val="007F5089"/>
    <w:rsid w:val="007F5092"/>
    <w:rsid w:val="007F510F"/>
    <w:rsid w:val="007F5225"/>
    <w:rsid w:val="007F5424"/>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1B6"/>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98D"/>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786"/>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8E0"/>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6E9"/>
    <w:rsid w:val="0086677F"/>
    <w:rsid w:val="008679F0"/>
    <w:rsid w:val="008700C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059"/>
    <w:rsid w:val="00884EDD"/>
    <w:rsid w:val="00884FF2"/>
    <w:rsid w:val="00885580"/>
    <w:rsid w:val="008856C5"/>
    <w:rsid w:val="008859B7"/>
    <w:rsid w:val="0088608D"/>
    <w:rsid w:val="00886384"/>
    <w:rsid w:val="0088641E"/>
    <w:rsid w:val="00886F8C"/>
    <w:rsid w:val="00887DBF"/>
    <w:rsid w:val="0089386B"/>
    <w:rsid w:val="00893FE7"/>
    <w:rsid w:val="008947E4"/>
    <w:rsid w:val="008950F3"/>
    <w:rsid w:val="00895619"/>
    <w:rsid w:val="0089578E"/>
    <w:rsid w:val="00896BC7"/>
    <w:rsid w:val="00897E35"/>
    <w:rsid w:val="008A059A"/>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A7F0E"/>
    <w:rsid w:val="008B069E"/>
    <w:rsid w:val="008B12A4"/>
    <w:rsid w:val="008B1350"/>
    <w:rsid w:val="008B18FC"/>
    <w:rsid w:val="008B2868"/>
    <w:rsid w:val="008B3B9E"/>
    <w:rsid w:val="008B3E84"/>
    <w:rsid w:val="008B3F86"/>
    <w:rsid w:val="008B5054"/>
    <w:rsid w:val="008B5AC8"/>
    <w:rsid w:val="008B5AE9"/>
    <w:rsid w:val="008B5CF0"/>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3D6F"/>
    <w:rsid w:val="008D4F13"/>
    <w:rsid w:val="008D514D"/>
    <w:rsid w:val="008D5981"/>
    <w:rsid w:val="008D6275"/>
    <w:rsid w:val="008D63C9"/>
    <w:rsid w:val="008D6BD4"/>
    <w:rsid w:val="008D6DCF"/>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3C"/>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36"/>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7B4"/>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BD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1D83"/>
    <w:rsid w:val="00972323"/>
    <w:rsid w:val="00972717"/>
    <w:rsid w:val="009738AF"/>
    <w:rsid w:val="009738ED"/>
    <w:rsid w:val="00973D12"/>
    <w:rsid w:val="00973E97"/>
    <w:rsid w:val="009745A5"/>
    <w:rsid w:val="00974ED5"/>
    <w:rsid w:val="009750C0"/>
    <w:rsid w:val="009759FA"/>
    <w:rsid w:val="00975B07"/>
    <w:rsid w:val="00977225"/>
    <w:rsid w:val="00977814"/>
    <w:rsid w:val="00977A65"/>
    <w:rsid w:val="0098001A"/>
    <w:rsid w:val="00980259"/>
    <w:rsid w:val="009807AD"/>
    <w:rsid w:val="00980EC1"/>
    <w:rsid w:val="00981170"/>
    <w:rsid w:val="0098148D"/>
    <w:rsid w:val="00981BE7"/>
    <w:rsid w:val="00981C5E"/>
    <w:rsid w:val="00982113"/>
    <w:rsid w:val="0098294F"/>
    <w:rsid w:val="00982D2C"/>
    <w:rsid w:val="0098417E"/>
    <w:rsid w:val="00984FEA"/>
    <w:rsid w:val="00985043"/>
    <w:rsid w:val="00985094"/>
    <w:rsid w:val="009850CF"/>
    <w:rsid w:val="0098536D"/>
    <w:rsid w:val="00985C6A"/>
    <w:rsid w:val="00986387"/>
    <w:rsid w:val="009869DE"/>
    <w:rsid w:val="00986ED2"/>
    <w:rsid w:val="009872CC"/>
    <w:rsid w:val="00987454"/>
    <w:rsid w:val="00990240"/>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5FA3"/>
    <w:rsid w:val="00996329"/>
    <w:rsid w:val="0099670B"/>
    <w:rsid w:val="0099693C"/>
    <w:rsid w:val="00996E02"/>
    <w:rsid w:val="009977FC"/>
    <w:rsid w:val="009A1BE2"/>
    <w:rsid w:val="009A26D4"/>
    <w:rsid w:val="009A2CE2"/>
    <w:rsid w:val="009A31AA"/>
    <w:rsid w:val="009A3C44"/>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8D7"/>
    <w:rsid w:val="009B3BF8"/>
    <w:rsid w:val="009B4EE3"/>
    <w:rsid w:val="009B5215"/>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3E10"/>
    <w:rsid w:val="009D45AA"/>
    <w:rsid w:val="009D4D95"/>
    <w:rsid w:val="009D56B8"/>
    <w:rsid w:val="009D5AF0"/>
    <w:rsid w:val="009D5D2A"/>
    <w:rsid w:val="009D5E55"/>
    <w:rsid w:val="009D62E7"/>
    <w:rsid w:val="009D66C9"/>
    <w:rsid w:val="009D6B47"/>
    <w:rsid w:val="009D73BF"/>
    <w:rsid w:val="009D764B"/>
    <w:rsid w:val="009D7C0C"/>
    <w:rsid w:val="009E08DE"/>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1F2E"/>
    <w:rsid w:val="00A027CC"/>
    <w:rsid w:val="00A0291C"/>
    <w:rsid w:val="00A02F5A"/>
    <w:rsid w:val="00A033E6"/>
    <w:rsid w:val="00A035D0"/>
    <w:rsid w:val="00A03B31"/>
    <w:rsid w:val="00A03D25"/>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5F9F"/>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2886"/>
    <w:rsid w:val="00A3351D"/>
    <w:rsid w:val="00A3369C"/>
    <w:rsid w:val="00A34349"/>
    <w:rsid w:val="00A34D05"/>
    <w:rsid w:val="00A35123"/>
    <w:rsid w:val="00A359DF"/>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617A"/>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6122"/>
    <w:rsid w:val="00A56A84"/>
    <w:rsid w:val="00A5717D"/>
    <w:rsid w:val="00A57523"/>
    <w:rsid w:val="00A61221"/>
    <w:rsid w:val="00A613DE"/>
    <w:rsid w:val="00A61585"/>
    <w:rsid w:val="00A61699"/>
    <w:rsid w:val="00A61C62"/>
    <w:rsid w:val="00A62A35"/>
    <w:rsid w:val="00A6333C"/>
    <w:rsid w:val="00A63344"/>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8DA"/>
    <w:rsid w:val="00A91F2A"/>
    <w:rsid w:val="00A92561"/>
    <w:rsid w:val="00A927BE"/>
    <w:rsid w:val="00A929ED"/>
    <w:rsid w:val="00A92A86"/>
    <w:rsid w:val="00A942E6"/>
    <w:rsid w:val="00A94502"/>
    <w:rsid w:val="00A94CFA"/>
    <w:rsid w:val="00A95605"/>
    <w:rsid w:val="00A968DE"/>
    <w:rsid w:val="00A96E04"/>
    <w:rsid w:val="00A96FBF"/>
    <w:rsid w:val="00A97103"/>
    <w:rsid w:val="00AA02A6"/>
    <w:rsid w:val="00AA091C"/>
    <w:rsid w:val="00AA127C"/>
    <w:rsid w:val="00AA1A7B"/>
    <w:rsid w:val="00AA1EDA"/>
    <w:rsid w:val="00AA26F6"/>
    <w:rsid w:val="00AA27F7"/>
    <w:rsid w:val="00AA2967"/>
    <w:rsid w:val="00AA3DB8"/>
    <w:rsid w:val="00AA3F39"/>
    <w:rsid w:val="00AA4233"/>
    <w:rsid w:val="00AA5067"/>
    <w:rsid w:val="00AA511F"/>
    <w:rsid w:val="00AA791E"/>
    <w:rsid w:val="00AA7B6C"/>
    <w:rsid w:val="00AB040C"/>
    <w:rsid w:val="00AB0A0E"/>
    <w:rsid w:val="00AB25F3"/>
    <w:rsid w:val="00AB2CFA"/>
    <w:rsid w:val="00AB46D7"/>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572"/>
    <w:rsid w:val="00AD2985"/>
    <w:rsid w:val="00AD318F"/>
    <w:rsid w:val="00AD4948"/>
    <w:rsid w:val="00AD557B"/>
    <w:rsid w:val="00AD56C0"/>
    <w:rsid w:val="00AD723A"/>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1D4"/>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10F"/>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DFD"/>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583"/>
    <w:rsid w:val="00B41991"/>
    <w:rsid w:val="00B41B37"/>
    <w:rsid w:val="00B41FA8"/>
    <w:rsid w:val="00B424FB"/>
    <w:rsid w:val="00B435A8"/>
    <w:rsid w:val="00B4488D"/>
    <w:rsid w:val="00B455BD"/>
    <w:rsid w:val="00B45F5C"/>
    <w:rsid w:val="00B46455"/>
    <w:rsid w:val="00B46C4B"/>
    <w:rsid w:val="00B5015E"/>
    <w:rsid w:val="00B5017A"/>
    <w:rsid w:val="00B518E0"/>
    <w:rsid w:val="00B51A1C"/>
    <w:rsid w:val="00B51E92"/>
    <w:rsid w:val="00B5237A"/>
    <w:rsid w:val="00B525A6"/>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7E2C"/>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4B01"/>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3292"/>
    <w:rsid w:val="00B93DA3"/>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4766"/>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19D2"/>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0A9"/>
    <w:rsid w:val="00C11950"/>
    <w:rsid w:val="00C124C7"/>
    <w:rsid w:val="00C1276F"/>
    <w:rsid w:val="00C12A6C"/>
    <w:rsid w:val="00C12B07"/>
    <w:rsid w:val="00C12E94"/>
    <w:rsid w:val="00C12EBA"/>
    <w:rsid w:val="00C12FCF"/>
    <w:rsid w:val="00C130C4"/>
    <w:rsid w:val="00C13BF5"/>
    <w:rsid w:val="00C13D17"/>
    <w:rsid w:val="00C142AC"/>
    <w:rsid w:val="00C157D8"/>
    <w:rsid w:val="00C1635A"/>
    <w:rsid w:val="00C169EE"/>
    <w:rsid w:val="00C17179"/>
    <w:rsid w:val="00C1732B"/>
    <w:rsid w:val="00C17422"/>
    <w:rsid w:val="00C17AAF"/>
    <w:rsid w:val="00C17C56"/>
    <w:rsid w:val="00C17D82"/>
    <w:rsid w:val="00C2040D"/>
    <w:rsid w:val="00C20B13"/>
    <w:rsid w:val="00C21160"/>
    <w:rsid w:val="00C211D7"/>
    <w:rsid w:val="00C21360"/>
    <w:rsid w:val="00C21FD4"/>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340"/>
    <w:rsid w:val="00C507C8"/>
    <w:rsid w:val="00C5087A"/>
    <w:rsid w:val="00C51864"/>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2FED"/>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5257"/>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B7CFC"/>
    <w:rsid w:val="00CC00D8"/>
    <w:rsid w:val="00CC0719"/>
    <w:rsid w:val="00CC0D71"/>
    <w:rsid w:val="00CC1A4A"/>
    <w:rsid w:val="00CC2EF2"/>
    <w:rsid w:val="00CC345F"/>
    <w:rsid w:val="00CC34DB"/>
    <w:rsid w:val="00CC3625"/>
    <w:rsid w:val="00CC3915"/>
    <w:rsid w:val="00CC3C3B"/>
    <w:rsid w:val="00CC5DAA"/>
    <w:rsid w:val="00CC623B"/>
    <w:rsid w:val="00CC62ED"/>
    <w:rsid w:val="00CC6423"/>
    <w:rsid w:val="00CC728B"/>
    <w:rsid w:val="00CC75A4"/>
    <w:rsid w:val="00CD0696"/>
    <w:rsid w:val="00CD0B95"/>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4FE"/>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0AD"/>
    <w:rsid w:val="00CF44E2"/>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1C9"/>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2D8"/>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2F9A"/>
    <w:rsid w:val="00D534CB"/>
    <w:rsid w:val="00D535F1"/>
    <w:rsid w:val="00D53802"/>
    <w:rsid w:val="00D53A25"/>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2802"/>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1F3F"/>
    <w:rsid w:val="00D7262A"/>
    <w:rsid w:val="00D73A9D"/>
    <w:rsid w:val="00D73D8E"/>
    <w:rsid w:val="00D74FF8"/>
    <w:rsid w:val="00D7500A"/>
    <w:rsid w:val="00D756B1"/>
    <w:rsid w:val="00D757E8"/>
    <w:rsid w:val="00D758CE"/>
    <w:rsid w:val="00D75B38"/>
    <w:rsid w:val="00D764A5"/>
    <w:rsid w:val="00D76BA1"/>
    <w:rsid w:val="00D77FFB"/>
    <w:rsid w:val="00D8011E"/>
    <w:rsid w:val="00D80DBD"/>
    <w:rsid w:val="00D8113C"/>
    <w:rsid w:val="00D81212"/>
    <w:rsid w:val="00D815B5"/>
    <w:rsid w:val="00D816BF"/>
    <w:rsid w:val="00D81973"/>
    <w:rsid w:val="00D81DAB"/>
    <w:rsid w:val="00D821B4"/>
    <w:rsid w:val="00D82422"/>
    <w:rsid w:val="00D82C97"/>
    <w:rsid w:val="00D82CF9"/>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419"/>
    <w:rsid w:val="00D937FE"/>
    <w:rsid w:val="00D93CD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675F"/>
    <w:rsid w:val="00DA7202"/>
    <w:rsid w:val="00DA72B2"/>
    <w:rsid w:val="00DA72BA"/>
    <w:rsid w:val="00DB066B"/>
    <w:rsid w:val="00DB0A2D"/>
    <w:rsid w:val="00DB0A6C"/>
    <w:rsid w:val="00DB0D23"/>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158"/>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5740"/>
    <w:rsid w:val="00DD63CC"/>
    <w:rsid w:val="00DD6723"/>
    <w:rsid w:val="00DD7966"/>
    <w:rsid w:val="00DD79D4"/>
    <w:rsid w:val="00DD7F4E"/>
    <w:rsid w:val="00DE01E7"/>
    <w:rsid w:val="00DE093A"/>
    <w:rsid w:val="00DE0986"/>
    <w:rsid w:val="00DE0BAA"/>
    <w:rsid w:val="00DE1814"/>
    <w:rsid w:val="00DE183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2A42"/>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3FD1"/>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2B10"/>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37A3F"/>
    <w:rsid w:val="00E4054B"/>
    <w:rsid w:val="00E406E4"/>
    <w:rsid w:val="00E40C4B"/>
    <w:rsid w:val="00E4104B"/>
    <w:rsid w:val="00E41135"/>
    <w:rsid w:val="00E412DF"/>
    <w:rsid w:val="00E4425F"/>
    <w:rsid w:val="00E44839"/>
    <w:rsid w:val="00E4538B"/>
    <w:rsid w:val="00E45DEA"/>
    <w:rsid w:val="00E464CD"/>
    <w:rsid w:val="00E5002E"/>
    <w:rsid w:val="00E50A6F"/>
    <w:rsid w:val="00E516EA"/>
    <w:rsid w:val="00E51C8C"/>
    <w:rsid w:val="00E52448"/>
    <w:rsid w:val="00E54B25"/>
    <w:rsid w:val="00E54E03"/>
    <w:rsid w:val="00E54F4F"/>
    <w:rsid w:val="00E54F90"/>
    <w:rsid w:val="00E54FA8"/>
    <w:rsid w:val="00E5526F"/>
    <w:rsid w:val="00E55A01"/>
    <w:rsid w:val="00E55F4E"/>
    <w:rsid w:val="00E56A7E"/>
    <w:rsid w:val="00E56C72"/>
    <w:rsid w:val="00E56EAF"/>
    <w:rsid w:val="00E574DD"/>
    <w:rsid w:val="00E5755E"/>
    <w:rsid w:val="00E6029F"/>
    <w:rsid w:val="00E60466"/>
    <w:rsid w:val="00E604C6"/>
    <w:rsid w:val="00E615A2"/>
    <w:rsid w:val="00E61614"/>
    <w:rsid w:val="00E61EF5"/>
    <w:rsid w:val="00E62279"/>
    <w:rsid w:val="00E622DE"/>
    <w:rsid w:val="00E625A8"/>
    <w:rsid w:val="00E63E9E"/>
    <w:rsid w:val="00E63FC3"/>
    <w:rsid w:val="00E64750"/>
    <w:rsid w:val="00E648DF"/>
    <w:rsid w:val="00E64FA9"/>
    <w:rsid w:val="00E6518E"/>
    <w:rsid w:val="00E6522C"/>
    <w:rsid w:val="00E65AA5"/>
    <w:rsid w:val="00E65D67"/>
    <w:rsid w:val="00E65D98"/>
    <w:rsid w:val="00E663E9"/>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5F49"/>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2C16"/>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02E"/>
    <w:rsid w:val="00EE4289"/>
    <w:rsid w:val="00EE531D"/>
    <w:rsid w:val="00EE5A8D"/>
    <w:rsid w:val="00EE5BCA"/>
    <w:rsid w:val="00EE6459"/>
    <w:rsid w:val="00EE6FE4"/>
    <w:rsid w:val="00EE77D6"/>
    <w:rsid w:val="00EF132E"/>
    <w:rsid w:val="00EF136D"/>
    <w:rsid w:val="00EF1554"/>
    <w:rsid w:val="00EF1FEE"/>
    <w:rsid w:val="00EF2A05"/>
    <w:rsid w:val="00EF2D06"/>
    <w:rsid w:val="00EF33DE"/>
    <w:rsid w:val="00EF3A49"/>
    <w:rsid w:val="00EF42B9"/>
    <w:rsid w:val="00EF4639"/>
    <w:rsid w:val="00EF47FD"/>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8E3"/>
    <w:rsid w:val="00F17B36"/>
    <w:rsid w:val="00F1DB83"/>
    <w:rsid w:val="00F206B7"/>
    <w:rsid w:val="00F20FB7"/>
    <w:rsid w:val="00F21056"/>
    <w:rsid w:val="00F21194"/>
    <w:rsid w:val="00F220C1"/>
    <w:rsid w:val="00F227F2"/>
    <w:rsid w:val="00F23B27"/>
    <w:rsid w:val="00F23C94"/>
    <w:rsid w:val="00F24401"/>
    <w:rsid w:val="00F244AE"/>
    <w:rsid w:val="00F245F4"/>
    <w:rsid w:val="00F247B1"/>
    <w:rsid w:val="00F247EB"/>
    <w:rsid w:val="00F24B5E"/>
    <w:rsid w:val="00F25573"/>
    <w:rsid w:val="00F25CCB"/>
    <w:rsid w:val="00F25CED"/>
    <w:rsid w:val="00F263A9"/>
    <w:rsid w:val="00F263C6"/>
    <w:rsid w:val="00F27EE1"/>
    <w:rsid w:val="00F3030A"/>
    <w:rsid w:val="00F31064"/>
    <w:rsid w:val="00F31D66"/>
    <w:rsid w:val="00F3237A"/>
    <w:rsid w:val="00F32434"/>
    <w:rsid w:val="00F3265A"/>
    <w:rsid w:val="00F32C67"/>
    <w:rsid w:val="00F32DE8"/>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5779"/>
    <w:rsid w:val="00F563CC"/>
    <w:rsid w:val="00F5696E"/>
    <w:rsid w:val="00F56BD1"/>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A2C"/>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4B5F"/>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142"/>
    <w:rsid w:val="00FA49F3"/>
    <w:rsid w:val="00FA4FD4"/>
    <w:rsid w:val="00FA5431"/>
    <w:rsid w:val="00FA54F3"/>
    <w:rsid w:val="00FA5D38"/>
    <w:rsid w:val="00FA5F78"/>
    <w:rsid w:val="00FA63D4"/>
    <w:rsid w:val="00FA6493"/>
    <w:rsid w:val="00FA64C1"/>
    <w:rsid w:val="00FA66D0"/>
    <w:rsid w:val="00FA6E6B"/>
    <w:rsid w:val="00FA771C"/>
    <w:rsid w:val="00FA7BF8"/>
    <w:rsid w:val="00FA7CB8"/>
    <w:rsid w:val="00FB0CED"/>
    <w:rsid w:val="00FB1686"/>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545"/>
    <w:rsid w:val="00FC4B81"/>
    <w:rsid w:val="00FC54C4"/>
    <w:rsid w:val="00FC5C42"/>
    <w:rsid w:val="00FC6147"/>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0C9"/>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9B4"/>
    <w:rsid w:val="00FF0BFE"/>
    <w:rsid w:val="00FF0E16"/>
    <w:rsid w:val="00FF17FD"/>
    <w:rsid w:val="00FF251E"/>
    <w:rsid w:val="00FF28E1"/>
    <w:rsid w:val="00FF2991"/>
    <w:rsid w:val="00FF2BE2"/>
    <w:rsid w:val="00FF3545"/>
    <w:rsid w:val="00FF3F99"/>
    <w:rsid w:val="00FF54DB"/>
    <w:rsid w:val="00FF5616"/>
    <w:rsid w:val="00FF6833"/>
    <w:rsid w:val="00FF7171"/>
    <w:rsid w:val="01457894"/>
    <w:rsid w:val="014B725A"/>
    <w:rsid w:val="0170F134"/>
    <w:rsid w:val="01929654"/>
    <w:rsid w:val="01A5810D"/>
    <w:rsid w:val="01D48A6D"/>
    <w:rsid w:val="01EAA9E9"/>
    <w:rsid w:val="01F1B8E6"/>
    <w:rsid w:val="02394ADA"/>
    <w:rsid w:val="02A1B0FA"/>
    <w:rsid w:val="02ECC64D"/>
    <w:rsid w:val="02FA4DCA"/>
    <w:rsid w:val="0323F21F"/>
    <w:rsid w:val="033679BC"/>
    <w:rsid w:val="033E3791"/>
    <w:rsid w:val="0341A501"/>
    <w:rsid w:val="03E3045F"/>
    <w:rsid w:val="03F60F76"/>
    <w:rsid w:val="043C2C18"/>
    <w:rsid w:val="054B140A"/>
    <w:rsid w:val="05B914D4"/>
    <w:rsid w:val="0600C291"/>
    <w:rsid w:val="0647B5C4"/>
    <w:rsid w:val="06E3D634"/>
    <w:rsid w:val="0715CD6F"/>
    <w:rsid w:val="072D5A88"/>
    <w:rsid w:val="07522C00"/>
    <w:rsid w:val="07E91B75"/>
    <w:rsid w:val="0816AF7D"/>
    <w:rsid w:val="083A1672"/>
    <w:rsid w:val="088C3029"/>
    <w:rsid w:val="09682343"/>
    <w:rsid w:val="096C1F52"/>
    <w:rsid w:val="0A499AC3"/>
    <w:rsid w:val="0A4CA6DC"/>
    <w:rsid w:val="0A91B05B"/>
    <w:rsid w:val="0AE356F2"/>
    <w:rsid w:val="0B03F3A4"/>
    <w:rsid w:val="0B0577A4"/>
    <w:rsid w:val="0B5AFE21"/>
    <w:rsid w:val="0B9EF5CB"/>
    <w:rsid w:val="0BA83A3B"/>
    <w:rsid w:val="0BD70828"/>
    <w:rsid w:val="0C23A2BA"/>
    <w:rsid w:val="0C6543E5"/>
    <w:rsid w:val="0C97CB23"/>
    <w:rsid w:val="0C9FC405"/>
    <w:rsid w:val="0CA07DC7"/>
    <w:rsid w:val="0E1B3EFC"/>
    <w:rsid w:val="0E4B7DB2"/>
    <w:rsid w:val="0FB1CB83"/>
    <w:rsid w:val="1023CC6B"/>
    <w:rsid w:val="106FB3FB"/>
    <w:rsid w:val="10A18B06"/>
    <w:rsid w:val="10AAC570"/>
    <w:rsid w:val="11182AF0"/>
    <w:rsid w:val="11A51E0D"/>
    <w:rsid w:val="11A96417"/>
    <w:rsid w:val="11C5B2F9"/>
    <w:rsid w:val="120BA14D"/>
    <w:rsid w:val="12310DE9"/>
    <w:rsid w:val="1270CBAD"/>
    <w:rsid w:val="127AD7F1"/>
    <w:rsid w:val="128B3E08"/>
    <w:rsid w:val="12AA9DF5"/>
    <w:rsid w:val="12C62D4E"/>
    <w:rsid w:val="12DDAB2D"/>
    <w:rsid w:val="1354BB1C"/>
    <w:rsid w:val="139AAB91"/>
    <w:rsid w:val="13C43EFD"/>
    <w:rsid w:val="1461ED9D"/>
    <w:rsid w:val="14866DD4"/>
    <w:rsid w:val="1501FC72"/>
    <w:rsid w:val="152DFD76"/>
    <w:rsid w:val="159D591E"/>
    <w:rsid w:val="166AFE61"/>
    <w:rsid w:val="1672760A"/>
    <w:rsid w:val="1697EB97"/>
    <w:rsid w:val="16FCA0D0"/>
    <w:rsid w:val="1701E8FA"/>
    <w:rsid w:val="171D7537"/>
    <w:rsid w:val="174A5148"/>
    <w:rsid w:val="177918A9"/>
    <w:rsid w:val="17CA2C79"/>
    <w:rsid w:val="17CAB010"/>
    <w:rsid w:val="1806E596"/>
    <w:rsid w:val="1832969D"/>
    <w:rsid w:val="1911D5B5"/>
    <w:rsid w:val="1918678C"/>
    <w:rsid w:val="197972CD"/>
    <w:rsid w:val="1A3B1668"/>
    <w:rsid w:val="1A486D4C"/>
    <w:rsid w:val="1A717315"/>
    <w:rsid w:val="1A7FD7C3"/>
    <w:rsid w:val="1B6347A2"/>
    <w:rsid w:val="1B6C3D60"/>
    <w:rsid w:val="1BAA638D"/>
    <w:rsid w:val="1BD008F7"/>
    <w:rsid w:val="1BFA3BD9"/>
    <w:rsid w:val="1C11B8E8"/>
    <w:rsid w:val="1C6CEE6F"/>
    <w:rsid w:val="1D12070B"/>
    <w:rsid w:val="1E19A1F6"/>
    <w:rsid w:val="1E2BCE54"/>
    <w:rsid w:val="1E7BE19C"/>
    <w:rsid w:val="1E8A23CB"/>
    <w:rsid w:val="1EB0CC3E"/>
    <w:rsid w:val="1EC3865D"/>
    <w:rsid w:val="1F14D9F9"/>
    <w:rsid w:val="1F696F59"/>
    <w:rsid w:val="1F763C50"/>
    <w:rsid w:val="1F8B78BC"/>
    <w:rsid w:val="1FF02D90"/>
    <w:rsid w:val="1FFA29FD"/>
    <w:rsid w:val="20049FA1"/>
    <w:rsid w:val="2043C4EF"/>
    <w:rsid w:val="207417C1"/>
    <w:rsid w:val="207D216F"/>
    <w:rsid w:val="20B98D3A"/>
    <w:rsid w:val="2128CB52"/>
    <w:rsid w:val="21C382FC"/>
    <w:rsid w:val="220EF70E"/>
    <w:rsid w:val="222519DB"/>
    <w:rsid w:val="222E8005"/>
    <w:rsid w:val="225EDACB"/>
    <w:rsid w:val="22884A20"/>
    <w:rsid w:val="22934C1C"/>
    <w:rsid w:val="22E036FB"/>
    <w:rsid w:val="238A9E58"/>
    <w:rsid w:val="2410CC8D"/>
    <w:rsid w:val="244BAACD"/>
    <w:rsid w:val="24606C14"/>
    <w:rsid w:val="248DEBD5"/>
    <w:rsid w:val="24CFC43C"/>
    <w:rsid w:val="2545DE13"/>
    <w:rsid w:val="2555008B"/>
    <w:rsid w:val="25AABDD4"/>
    <w:rsid w:val="25D376BA"/>
    <w:rsid w:val="26378A1F"/>
    <w:rsid w:val="265F6F14"/>
    <w:rsid w:val="26761AC2"/>
    <w:rsid w:val="26A18BCA"/>
    <w:rsid w:val="26AB1CC8"/>
    <w:rsid w:val="26EBC395"/>
    <w:rsid w:val="2727C5C4"/>
    <w:rsid w:val="2732A222"/>
    <w:rsid w:val="27377C46"/>
    <w:rsid w:val="2784211B"/>
    <w:rsid w:val="27B027D1"/>
    <w:rsid w:val="27DF5603"/>
    <w:rsid w:val="27F455DC"/>
    <w:rsid w:val="28EB0095"/>
    <w:rsid w:val="29C83509"/>
    <w:rsid w:val="2A740A25"/>
    <w:rsid w:val="2A7D59E9"/>
    <w:rsid w:val="2B0F8829"/>
    <w:rsid w:val="2B2987B9"/>
    <w:rsid w:val="2B2EFA74"/>
    <w:rsid w:val="2B4179B5"/>
    <w:rsid w:val="2B55F29B"/>
    <w:rsid w:val="2BDD36E3"/>
    <w:rsid w:val="2C62E955"/>
    <w:rsid w:val="2C69E9DC"/>
    <w:rsid w:val="2C9D1116"/>
    <w:rsid w:val="2CD35333"/>
    <w:rsid w:val="2DF112BD"/>
    <w:rsid w:val="2DF46CC6"/>
    <w:rsid w:val="2E05BA3D"/>
    <w:rsid w:val="2E368867"/>
    <w:rsid w:val="2E41B2D2"/>
    <w:rsid w:val="2E63104D"/>
    <w:rsid w:val="2E79FB45"/>
    <w:rsid w:val="2EB480BB"/>
    <w:rsid w:val="2F089F38"/>
    <w:rsid w:val="2F0AB807"/>
    <w:rsid w:val="2F754923"/>
    <w:rsid w:val="2FA18A9E"/>
    <w:rsid w:val="2FA80C7E"/>
    <w:rsid w:val="2FF69227"/>
    <w:rsid w:val="3019B00B"/>
    <w:rsid w:val="3067B91D"/>
    <w:rsid w:val="30E6FAF7"/>
    <w:rsid w:val="317E057F"/>
    <w:rsid w:val="31AE619D"/>
    <w:rsid w:val="31D5E86B"/>
    <w:rsid w:val="32130ADB"/>
    <w:rsid w:val="328F106E"/>
    <w:rsid w:val="32DB766F"/>
    <w:rsid w:val="334F44DD"/>
    <w:rsid w:val="33709F65"/>
    <w:rsid w:val="3372E64A"/>
    <w:rsid w:val="33E45048"/>
    <w:rsid w:val="3403E545"/>
    <w:rsid w:val="3414802A"/>
    <w:rsid w:val="343C70C1"/>
    <w:rsid w:val="34428DCC"/>
    <w:rsid w:val="34566B5C"/>
    <w:rsid w:val="34749267"/>
    <w:rsid w:val="3474FBC1"/>
    <w:rsid w:val="347BE692"/>
    <w:rsid w:val="34BDE4F4"/>
    <w:rsid w:val="34D1CCF2"/>
    <w:rsid w:val="34E4B8BB"/>
    <w:rsid w:val="350E3D33"/>
    <w:rsid w:val="35177869"/>
    <w:rsid w:val="3517F80B"/>
    <w:rsid w:val="353DA481"/>
    <w:rsid w:val="3572F2F4"/>
    <w:rsid w:val="35BAEC84"/>
    <w:rsid w:val="36B348CA"/>
    <w:rsid w:val="37B1C0F6"/>
    <w:rsid w:val="37DBA2CB"/>
    <w:rsid w:val="3818D962"/>
    <w:rsid w:val="381950C5"/>
    <w:rsid w:val="384F192B"/>
    <w:rsid w:val="3857EB0B"/>
    <w:rsid w:val="386DF245"/>
    <w:rsid w:val="38752641"/>
    <w:rsid w:val="38CCF840"/>
    <w:rsid w:val="38E0FF46"/>
    <w:rsid w:val="39208DAE"/>
    <w:rsid w:val="3923B260"/>
    <w:rsid w:val="39486CE4"/>
    <w:rsid w:val="39619541"/>
    <w:rsid w:val="3979758F"/>
    <w:rsid w:val="398409CF"/>
    <w:rsid w:val="39CEFD55"/>
    <w:rsid w:val="3A28D9C9"/>
    <w:rsid w:val="3A346597"/>
    <w:rsid w:val="3A74B4E0"/>
    <w:rsid w:val="3AC3A1A9"/>
    <w:rsid w:val="3B0C8FA9"/>
    <w:rsid w:val="3B1273B5"/>
    <w:rsid w:val="3B16979C"/>
    <w:rsid w:val="3B219DC2"/>
    <w:rsid w:val="3C449A4A"/>
    <w:rsid w:val="3C623145"/>
    <w:rsid w:val="3CB267FD"/>
    <w:rsid w:val="3CDD8766"/>
    <w:rsid w:val="3D228A4E"/>
    <w:rsid w:val="3D3705FC"/>
    <w:rsid w:val="3D739F71"/>
    <w:rsid w:val="3D8E589C"/>
    <w:rsid w:val="3DB472B7"/>
    <w:rsid w:val="3DCDE892"/>
    <w:rsid w:val="3E5AF770"/>
    <w:rsid w:val="3E602A5A"/>
    <w:rsid w:val="3E6BBEF0"/>
    <w:rsid w:val="3E76E738"/>
    <w:rsid w:val="3EAE12DB"/>
    <w:rsid w:val="3F1B3DBF"/>
    <w:rsid w:val="3F4442F0"/>
    <w:rsid w:val="3F6D7B7E"/>
    <w:rsid w:val="3FA559F0"/>
    <w:rsid w:val="409A97D6"/>
    <w:rsid w:val="40C0B4D3"/>
    <w:rsid w:val="40D3B7AC"/>
    <w:rsid w:val="40F6F40F"/>
    <w:rsid w:val="41629434"/>
    <w:rsid w:val="422E195F"/>
    <w:rsid w:val="42632C0A"/>
    <w:rsid w:val="426AD86B"/>
    <w:rsid w:val="429BF366"/>
    <w:rsid w:val="42A654E7"/>
    <w:rsid w:val="42D2A742"/>
    <w:rsid w:val="43624EE1"/>
    <w:rsid w:val="4371C489"/>
    <w:rsid w:val="43E2CE9E"/>
    <w:rsid w:val="44415176"/>
    <w:rsid w:val="448A3561"/>
    <w:rsid w:val="44D37352"/>
    <w:rsid w:val="44FE1F42"/>
    <w:rsid w:val="45243A71"/>
    <w:rsid w:val="4576785A"/>
    <w:rsid w:val="45868EFE"/>
    <w:rsid w:val="4602B082"/>
    <w:rsid w:val="4618D765"/>
    <w:rsid w:val="4626EFEC"/>
    <w:rsid w:val="466C95B1"/>
    <w:rsid w:val="4674684D"/>
    <w:rsid w:val="46BAB5E2"/>
    <w:rsid w:val="46E51786"/>
    <w:rsid w:val="47302C87"/>
    <w:rsid w:val="475870C9"/>
    <w:rsid w:val="47682339"/>
    <w:rsid w:val="47A2CE9D"/>
    <w:rsid w:val="47C2C04D"/>
    <w:rsid w:val="47F7084A"/>
    <w:rsid w:val="482D916A"/>
    <w:rsid w:val="4892B32E"/>
    <w:rsid w:val="48BD80A2"/>
    <w:rsid w:val="48BFB77E"/>
    <w:rsid w:val="48CD1054"/>
    <w:rsid w:val="48EE41C9"/>
    <w:rsid w:val="49161547"/>
    <w:rsid w:val="49226BC9"/>
    <w:rsid w:val="495E90AE"/>
    <w:rsid w:val="49EE5204"/>
    <w:rsid w:val="4A2EC5BC"/>
    <w:rsid w:val="4A392B44"/>
    <w:rsid w:val="4A42ACE7"/>
    <w:rsid w:val="4A769E13"/>
    <w:rsid w:val="4AA3D024"/>
    <w:rsid w:val="4AEC3C87"/>
    <w:rsid w:val="4AEE3F5D"/>
    <w:rsid w:val="4B9ADC01"/>
    <w:rsid w:val="4BA949B9"/>
    <w:rsid w:val="4BD4FBA5"/>
    <w:rsid w:val="4BDE7D48"/>
    <w:rsid w:val="4C08218F"/>
    <w:rsid w:val="4C0BB794"/>
    <w:rsid w:val="4C0E2BCF"/>
    <w:rsid w:val="4D2608C8"/>
    <w:rsid w:val="4D48ECD0"/>
    <w:rsid w:val="4D52C278"/>
    <w:rsid w:val="4D57D76C"/>
    <w:rsid w:val="4D62AE73"/>
    <w:rsid w:val="4E86E657"/>
    <w:rsid w:val="4ED8602C"/>
    <w:rsid w:val="4EDC6BFF"/>
    <w:rsid w:val="4EE6F579"/>
    <w:rsid w:val="50783C60"/>
    <w:rsid w:val="50808D92"/>
    <w:rsid w:val="5095D7A9"/>
    <w:rsid w:val="50B1EE6B"/>
    <w:rsid w:val="50C99157"/>
    <w:rsid w:val="517C5A25"/>
    <w:rsid w:val="51AB5A48"/>
    <w:rsid w:val="51C379ED"/>
    <w:rsid w:val="51CACEC9"/>
    <w:rsid w:val="51D22641"/>
    <w:rsid w:val="51EA247B"/>
    <w:rsid w:val="524C9C60"/>
    <w:rsid w:val="52732B22"/>
    <w:rsid w:val="52A3CF30"/>
    <w:rsid w:val="52AEDBE1"/>
    <w:rsid w:val="5316AA1C"/>
    <w:rsid w:val="532466E7"/>
    <w:rsid w:val="5327F649"/>
    <w:rsid w:val="5385BD64"/>
    <w:rsid w:val="5394481C"/>
    <w:rsid w:val="53BCCDC7"/>
    <w:rsid w:val="53F37250"/>
    <w:rsid w:val="547715E0"/>
    <w:rsid w:val="54810466"/>
    <w:rsid w:val="54A350C3"/>
    <w:rsid w:val="554BAD83"/>
    <w:rsid w:val="556C5DE9"/>
    <w:rsid w:val="557BDDEB"/>
    <w:rsid w:val="5583E1D4"/>
    <w:rsid w:val="55CAED18"/>
    <w:rsid w:val="55FCE7BA"/>
    <w:rsid w:val="566879EB"/>
    <w:rsid w:val="56A2F885"/>
    <w:rsid w:val="5717AE4C"/>
    <w:rsid w:val="572BAEC7"/>
    <w:rsid w:val="572FEC7F"/>
    <w:rsid w:val="5784628E"/>
    <w:rsid w:val="57BB534E"/>
    <w:rsid w:val="57F834F5"/>
    <w:rsid w:val="583106C2"/>
    <w:rsid w:val="583B26B0"/>
    <w:rsid w:val="58C0E6C1"/>
    <w:rsid w:val="58E6F140"/>
    <w:rsid w:val="5930A5FE"/>
    <w:rsid w:val="593AF10E"/>
    <w:rsid w:val="59486B4A"/>
    <w:rsid w:val="59C7675F"/>
    <w:rsid w:val="5A13F5E2"/>
    <w:rsid w:val="5A2ADE38"/>
    <w:rsid w:val="5A9C1FB7"/>
    <w:rsid w:val="5B07ABF3"/>
    <w:rsid w:val="5BB68246"/>
    <w:rsid w:val="5BEA3545"/>
    <w:rsid w:val="5C3E8FA9"/>
    <w:rsid w:val="5C4D40A1"/>
    <w:rsid w:val="5C66C15E"/>
    <w:rsid w:val="5CC2FEDB"/>
    <w:rsid w:val="5D2E5733"/>
    <w:rsid w:val="5D8BA786"/>
    <w:rsid w:val="5D914F36"/>
    <w:rsid w:val="5D93DA5C"/>
    <w:rsid w:val="5E2CFFC8"/>
    <w:rsid w:val="5E2FDBE4"/>
    <w:rsid w:val="5E48561C"/>
    <w:rsid w:val="5E68D004"/>
    <w:rsid w:val="5E7319C5"/>
    <w:rsid w:val="5E9CB1F7"/>
    <w:rsid w:val="5EA986EA"/>
    <w:rsid w:val="5EF2799F"/>
    <w:rsid w:val="5F1F5A7A"/>
    <w:rsid w:val="5FA3644D"/>
    <w:rsid w:val="5FC5BBD0"/>
    <w:rsid w:val="6009F3EE"/>
    <w:rsid w:val="604E41AD"/>
    <w:rsid w:val="604FA36E"/>
    <w:rsid w:val="60D04925"/>
    <w:rsid w:val="613AAF8D"/>
    <w:rsid w:val="617B9C37"/>
    <w:rsid w:val="61E18B3D"/>
    <w:rsid w:val="620028E2"/>
    <w:rsid w:val="625A4D5A"/>
    <w:rsid w:val="632E2A82"/>
    <w:rsid w:val="63CFF2EE"/>
    <w:rsid w:val="63D63FA4"/>
    <w:rsid w:val="63F5472A"/>
    <w:rsid w:val="63FE1EDA"/>
    <w:rsid w:val="642F1C58"/>
    <w:rsid w:val="64C6A898"/>
    <w:rsid w:val="654C7CE1"/>
    <w:rsid w:val="65545F90"/>
    <w:rsid w:val="6573B3E5"/>
    <w:rsid w:val="658C70EF"/>
    <w:rsid w:val="659BE6F2"/>
    <w:rsid w:val="6685C4A8"/>
    <w:rsid w:val="670529AD"/>
    <w:rsid w:val="68043F4D"/>
    <w:rsid w:val="6815F26E"/>
    <w:rsid w:val="68D18FFD"/>
    <w:rsid w:val="6981B89C"/>
    <w:rsid w:val="69C3D9A6"/>
    <w:rsid w:val="6A6488AE"/>
    <w:rsid w:val="6B3066B4"/>
    <w:rsid w:val="6B445474"/>
    <w:rsid w:val="6B4A4F2C"/>
    <w:rsid w:val="6BB73AC9"/>
    <w:rsid w:val="6BF1C283"/>
    <w:rsid w:val="6C2BC2FA"/>
    <w:rsid w:val="6C6FE729"/>
    <w:rsid w:val="6C72154E"/>
    <w:rsid w:val="6C8A8D81"/>
    <w:rsid w:val="6CCC3715"/>
    <w:rsid w:val="6D4481A0"/>
    <w:rsid w:val="6D9C2970"/>
    <w:rsid w:val="6DC8D5B1"/>
    <w:rsid w:val="6DD90D2C"/>
    <w:rsid w:val="6E8D0372"/>
    <w:rsid w:val="6EE3C7DD"/>
    <w:rsid w:val="6FDAC4A2"/>
    <w:rsid w:val="700C9F25"/>
    <w:rsid w:val="7020C5CD"/>
    <w:rsid w:val="705CDAC5"/>
    <w:rsid w:val="707B67CF"/>
    <w:rsid w:val="70FDD2C5"/>
    <w:rsid w:val="7122AACF"/>
    <w:rsid w:val="712AEB6B"/>
    <w:rsid w:val="71505A4E"/>
    <w:rsid w:val="715084D6"/>
    <w:rsid w:val="71ADDA34"/>
    <w:rsid w:val="71B8CEDC"/>
    <w:rsid w:val="71C45B5F"/>
    <w:rsid w:val="71DE791C"/>
    <w:rsid w:val="71DF42FF"/>
    <w:rsid w:val="7267A24D"/>
    <w:rsid w:val="729FAFAC"/>
    <w:rsid w:val="730A2902"/>
    <w:rsid w:val="73A8C334"/>
    <w:rsid w:val="746BCC90"/>
    <w:rsid w:val="75976BF5"/>
    <w:rsid w:val="76476054"/>
    <w:rsid w:val="76483369"/>
    <w:rsid w:val="764EE435"/>
    <w:rsid w:val="765DB279"/>
    <w:rsid w:val="767E8A92"/>
    <w:rsid w:val="776E17F1"/>
    <w:rsid w:val="776F40EC"/>
    <w:rsid w:val="779AB8FF"/>
    <w:rsid w:val="77BA1B8E"/>
    <w:rsid w:val="77DFAB75"/>
    <w:rsid w:val="781DA64C"/>
    <w:rsid w:val="78DB21BE"/>
    <w:rsid w:val="79418B21"/>
    <w:rsid w:val="796156F7"/>
    <w:rsid w:val="796F771C"/>
    <w:rsid w:val="79B976AD"/>
    <w:rsid w:val="79D3BFBB"/>
    <w:rsid w:val="7A16F982"/>
    <w:rsid w:val="7A8299FE"/>
    <w:rsid w:val="7A887CDC"/>
    <w:rsid w:val="7AA42007"/>
    <w:rsid w:val="7AEE1B61"/>
    <w:rsid w:val="7B52C7B1"/>
    <w:rsid w:val="7B929E82"/>
    <w:rsid w:val="7BC680A2"/>
    <w:rsid w:val="7C5F3007"/>
    <w:rsid w:val="7C6A718F"/>
    <w:rsid w:val="7CA74E73"/>
    <w:rsid w:val="7CE0C6C2"/>
    <w:rsid w:val="7D3A352C"/>
    <w:rsid w:val="7DBA3AC0"/>
    <w:rsid w:val="7DC1DEE9"/>
    <w:rsid w:val="7E8D67D1"/>
    <w:rsid w:val="7ECC061B"/>
    <w:rsid w:val="7F1845C4"/>
    <w:rsid w:val="7F1CCE9B"/>
    <w:rsid w:val="7F20A72C"/>
    <w:rsid w:val="7F4628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C0ADA527-ABF3-4620-9A3D-A4F7C058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95"/>
    <w:pPr>
      <w:spacing w:after="200" w:line="276" w:lineRule="auto"/>
    </w:pPr>
    <w:rPr>
      <w:rFonts w:ascii="Arial" w:hAnsi="Arial" w:cs="Times New Roman"/>
      <w:sz w:val="24"/>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eastAsiaTheme="majorEastAsia" w:cstheme="majorBidi"/>
      <w:b/>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19"/>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9"/>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0"/>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F178E3"/>
    <w:rPr>
      <w:color w:val="605E5C"/>
      <w:shd w:val="clear" w:color="auto" w:fill="E1DFDD"/>
    </w:rPr>
  </w:style>
  <w:style w:type="paragraph" w:customStyle="1" w:styleId="CS-Paragraphnumbering">
    <w:name w:val="CS - Paragraph numbering"/>
    <w:basedOn w:val="Normal"/>
    <w:rsid w:val="00131DB4"/>
    <w:pPr>
      <w:numPr>
        <w:numId w:val="22"/>
      </w:numPr>
      <w:spacing w:after="120"/>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ccesscanberra.act.gov.au/business-and-work/security/security-industry-licenc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4884</Words>
  <Characters>25569</Characters>
  <Application>Microsoft Office Word</Application>
  <DocSecurity>0</DocSecurity>
  <Lines>573</Lines>
  <Paragraphs>187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2019-05-17T13:51:00Z</cp:lastPrinted>
  <dcterms:created xsi:type="dcterms:W3CDTF">2024-05-14T02:08:00Z</dcterms:created>
  <dcterms:modified xsi:type="dcterms:W3CDTF">2024-05-14T02:08:00Z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2024-04-11T01:40:12Z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0104badf-0cb1-4d78-b48d-dfbd1378a858</vt:lpwstr>
  </property>
  <property fmtid="{D5CDD505-2E9C-101B-9397-08002B2CF9AE}" pid="8" name="MSIP_Label_69af8531-eb46-4968-8cb3-105d2f5ea87e_ContentBits">
    <vt:lpwstr>0</vt:lpwstr>
  </property>
</Properties>
</file>