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E722" w14:textId="77777777" w:rsidR="00324DC2" w:rsidRDefault="00324DC2" w:rsidP="00324DC2">
      <w:pPr>
        <w:spacing w:before="120"/>
        <w:rPr>
          <w:rFonts w:ascii="Arial" w:hAnsi="Arial" w:cs="Arial"/>
        </w:rPr>
      </w:pPr>
      <w:bookmarkStart w:id="0" w:name="_Toc44738651"/>
      <w:r>
        <w:rPr>
          <w:rFonts w:ascii="Arial" w:hAnsi="Arial" w:cs="Arial"/>
        </w:rPr>
        <w:t>Australian Capital Territory</w:t>
      </w:r>
    </w:p>
    <w:p w14:paraId="2887E24A" w14:textId="293FCACF" w:rsidR="00324DC2" w:rsidRPr="002F1A2A" w:rsidRDefault="00324DC2" w:rsidP="00324DC2">
      <w:pPr>
        <w:pStyle w:val="Heading1"/>
      </w:pPr>
      <w:r>
        <w:t>City Renewal Authority and Suburban Land Agency</w:t>
      </w:r>
      <w:r w:rsidRPr="002F1A2A">
        <w:t xml:space="preserve"> (</w:t>
      </w:r>
      <w:r>
        <w:t xml:space="preserve">Authority </w:t>
      </w:r>
      <w:r w:rsidR="0079328C">
        <w:t xml:space="preserve">Board </w:t>
      </w:r>
      <w:r w:rsidR="00DF1681">
        <w:t>Chair</w:t>
      </w:r>
      <w:r w:rsidRPr="002F1A2A">
        <w:t xml:space="preserve">) </w:t>
      </w:r>
      <w:r>
        <w:t>Appointment 20</w:t>
      </w:r>
      <w:r w:rsidR="00C876B8">
        <w:t>2</w:t>
      </w:r>
      <w:r w:rsidR="006904FA">
        <w:t>4</w:t>
      </w:r>
      <w:r w:rsidR="00073983">
        <w:t xml:space="preserve"> </w:t>
      </w:r>
    </w:p>
    <w:p w14:paraId="0000E9AF" w14:textId="685F9EF4" w:rsidR="00324DC2" w:rsidRPr="002F1A2A" w:rsidRDefault="00324DC2" w:rsidP="00153670">
      <w:pPr>
        <w:pStyle w:val="Heading2"/>
        <w:spacing w:before="340" w:after="0"/>
      </w:pPr>
      <w:r w:rsidRPr="002F1A2A">
        <w:t xml:space="preserve">Disallowable instrument </w:t>
      </w:r>
      <w:r w:rsidRPr="00A63A20">
        <w:t>DI20</w:t>
      </w:r>
      <w:r w:rsidR="00C876B8" w:rsidRPr="00A63A20">
        <w:t>2</w:t>
      </w:r>
      <w:r w:rsidR="006904FA" w:rsidRPr="00A63A20">
        <w:t>4</w:t>
      </w:r>
      <w:r w:rsidR="0079328C" w:rsidRPr="00A63A20">
        <w:t>-</w:t>
      </w:r>
      <w:r w:rsidR="001243AD">
        <w:t>95</w:t>
      </w:r>
    </w:p>
    <w:p w14:paraId="3E1185E9" w14:textId="77777777" w:rsidR="00324DC2" w:rsidRDefault="00324DC2" w:rsidP="00153670">
      <w:pPr>
        <w:pStyle w:val="madeunder"/>
        <w:spacing w:before="300" w:after="0"/>
      </w:pPr>
      <w:r>
        <w:t xml:space="preserve">made under the  </w:t>
      </w:r>
    </w:p>
    <w:p w14:paraId="414B2359" w14:textId="79FC94DA" w:rsidR="00324DC2" w:rsidRPr="00136B89" w:rsidRDefault="00324DC2" w:rsidP="00153670">
      <w:pPr>
        <w:pStyle w:val="CoverActName"/>
        <w:spacing w:before="320" w:after="0"/>
        <w:jc w:val="left"/>
      </w:pPr>
      <w:r>
        <w:rPr>
          <w:rFonts w:cs="Arial"/>
          <w:sz w:val="20"/>
        </w:rPr>
        <w:t>City Renewal Authority and Suburban Land Agency Act 2017, s</w:t>
      </w:r>
      <w:r w:rsidR="00CD65CF">
        <w:rPr>
          <w:rFonts w:cs="Arial"/>
          <w:sz w:val="20"/>
        </w:rPr>
        <w:t xml:space="preserve"> </w:t>
      </w:r>
      <w:r>
        <w:rPr>
          <w:rFonts w:cs="Arial"/>
          <w:sz w:val="20"/>
        </w:rPr>
        <w:t>15 (Establishment of governing board for authority)</w:t>
      </w:r>
    </w:p>
    <w:p w14:paraId="7A97DD94" w14:textId="77777777" w:rsidR="00324DC2" w:rsidRPr="002F1A2A" w:rsidRDefault="00324DC2" w:rsidP="00153670">
      <w:pPr>
        <w:pStyle w:val="Heading3"/>
        <w:ind w:right="567"/>
      </w:pPr>
      <w:r w:rsidRPr="002F1A2A">
        <w:t>EXPLANATORY STATEMENT</w:t>
      </w:r>
    </w:p>
    <w:p w14:paraId="2F1C6536" w14:textId="77777777" w:rsidR="00324DC2" w:rsidRDefault="00324DC2" w:rsidP="00324DC2">
      <w:pPr>
        <w:pStyle w:val="N-line3"/>
        <w:pBdr>
          <w:bottom w:val="none" w:sz="0" w:space="0" w:color="auto"/>
        </w:pBdr>
      </w:pPr>
    </w:p>
    <w:p w14:paraId="6F639890" w14:textId="77777777" w:rsidR="00324DC2" w:rsidRDefault="00324DC2" w:rsidP="00324DC2">
      <w:pPr>
        <w:pStyle w:val="N-line3"/>
        <w:pBdr>
          <w:top w:val="single" w:sz="12" w:space="1" w:color="auto"/>
          <w:bottom w:val="none" w:sz="0" w:space="0" w:color="auto"/>
        </w:pBdr>
      </w:pPr>
    </w:p>
    <w:bookmarkEnd w:id="0"/>
    <w:p w14:paraId="5AE0C53F" w14:textId="47EDFF25" w:rsidR="00324DC2" w:rsidRDefault="00324DC2" w:rsidP="00324DC2">
      <w:r>
        <w:t xml:space="preserve">This explanatory statement relates to the </w:t>
      </w:r>
      <w:r>
        <w:rPr>
          <w:i/>
        </w:rPr>
        <w:t xml:space="preserve">City Renewal Authority and Suburban Land Agency (Authority </w:t>
      </w:r>
      <w:r w:rsidR="0079328C">
        <w:rPr>
          <w:i/>
        </w:rPr>
        <w:t xml:space="preserve">Board </w:t>
      </w:r>
      <w:r w:rsidR="00DF1681">
        <w:rPr>
          <w:i/>
        </w:rPr>
        <w:t>Chair</w:t>
      </w:r>
      <w:r>
        <w:rPr>
          <w:i/>
        </w:rPr>
        <w:t>) Appointment 20</w:t>
      </w:r>
      <w:r w:rsidR="00C876B8">
        <w:rPr>
          <w:i/>
        </w:rPr>
        <w:t>2</w:t>
      </w:r>
      <w:r w:rsidR="006904FA">
        <w:rPr>
          <w:i/>
        </w:rPr>
        <w:t>4</w:t>
      </w:r>
      <w:r>
        <w:rPr>
          <w:i/>
        </w:rPr>
        <w:t xml:space="preserve"> </w:t>
      </w:r>
      <w:r>
        <w:t>as made by the Chief Minister. It has been prepared in order to assist the reader of the instrument and to help inform debate on it. It does not form part of the instrument and has not been endorsed by the Legislative Assembly.</w:t>
      </w:r>
    </w:p>
    <w:p w14:paraId="7BFBE251" w14:textId="77777777" w:rsidR="00324DC2" w:rsidRDefault="00324DC2" w:rsidP="00324DC2"/>
    <w:p w14:paraId="19C6CA72" w14:textId="114939B6" w:rsidR="00324DC2" w:rsidRDefault="00324DC2" w:rsidP="00324DC2">
      <w:r>
        <w:rPr>
          <w:b/>
        </w:rPr>
        <w:t>Overview</w:t>
      </w:r>
    </w:p>
    <w:p w14:paraId="7A5127D1" w14:textId="239A59B0" w:rsidR="00324DC2" w:rsidRDefault="00324DC2" w:rsidP="00324DC2">
      <w:r>
        <w:t xml:space="preserve">Section 7 of the </w:t>
      </w:r>
      <w:r>
        <w:rPr>
          <w:i/>
        </w:rPr>
        <w:t>City Renewal Authority and Suburban Land Agency Act 2017</w:t>
      </w:r>
      <w:r>
        <w:t xml:space="preserve"> (the</w:t>
      </w:r>
      <w:r w:rsidR="00F42A48">
        <w:t> </w:t>
      </w:r>
      <w:r w:rsidRPr="0079328C">
        <w:rPr>
          <w:b/>
          <w:bCs/>
          <w:i/>
          <w:iCs/>
        </w:rPr>
        <w:t>Act</w:t>
      </w:r>
      <w:r>
        <w:t>) establishes the City Renewal Authority (</w:t>
      </w:r>
      <w:r w:rsidR="0079328C">
        <w:t xml:space="preserve">the </w:t>
      </w:r>
      <w:r w:rsidR="0079328C">
        <w:rPr>
          <w:b/>
          <w:bCs/>
          <w:i/>
          <w:iCs/>
        </w:rPr>
        <w:t>a</w:t>
      </w:r>
      <w:r w:rsidR="00C020A4" w:rsidRPr="0079328C">
        <w:rPr>
          <w:b/>
          <w:bCs/>
          <w:i/>
          <w:iCs/>
        </w:rPr>
        <w:t>uthority</w:t>
      </w:r>
      <w:r>
        <w:t>). Section 15 of the</w:t>
      </w:r>
      <w:r w:rsidR="00F42A48">
        <w:t> </w:t>
      </w:r>
      <w:r>
        <w:t xml:space="preserve">Act establishes </w:t>
      </w:r>
      <w:r w:rsidR="00F64C12">
        <w:t xml:space="preserve">the </w:t>
      </w:r>
      <w:r>
        <w:t xml:space="preserve">governing board for the </w:t>
      </w:r>
      <w:r w:rsidR="0079328C">
        <w:t>a</w:t>
      </w:r>
      <w:r w:rsidR="00C020A4">
        <w:t>uthority</w:t>
      </w:r>
      <w:r>
        <w:t xml:space="preserve">. For the purposes of the </w:t>
      </w:r>
      <w:r>
        <w:rPr>
          <w:i/>
        </w:rPr>
        <w:t>Financial Management Act 1996</w:t>
      </w:r>
      <w:r>
        <w:t xml:space="preserve"> (</w:t>
      </w:r>
      <w:r w:rsidR="0079328C">
        <w:t xml:space="preserve">the </w:t>
      </w:r>
      <w:r w:rsidRPr="0079328C">
        <w:rPr>
          <w:b/>
          <w:bCs/>
          <w:i/>
          <w:iCs/>
        </w:rPr>
        <w:t>FMA</w:t>
      </w:r>
      <w:r>
        <w:t xml:space="preserve">) the </w:t>
      </w:r>
      <w:r w:rsidR="0079328C">
        <w:t>a</w:t>
      </w:r>
      <w:r w:rsidR="00C020A4">
        <w:t>uthority</w:t>
      </w:r>
      <w:r>
        <w:t xml:space="preserve"> is a territory authority, and therefore </w:t>
      </w:r>
      <w:r w:rsidR="0079328C">
        <w:t>p</w:t>
      </w:r>
      <w:r>
        <w:t>arts 8 and 9 of that Act apply. Section 78</w:t>
      </w:r>
      <w:r w:rsidR="0079328C">
        <w:t xml:space="preserve"> </w:t>
      </w:r>
      <w:r>
        <w:t>(7)</w:t>
      </w:r>
      <w:r w:rsidR="0079328C">
        <w:t xml:space="preserve"> </w:t>
      </w:r>
      <w:r>
        <w:t>(b) of the FMA provides that an appointment of a member to a governing board of a territory authority is an appointment under the provision of the establishing Act that establishes the governing board. In this case, s</w:t>
      </w:r>
      <w:r w:rsidR="0079328C">
        <w:t xml:space="preserve">ection </w:t>
      </w:r>
      <w:r>
        <w:t>15 of the Act is the relevant provision of the establishing Act.</w:t>
      </w:r>
    </w:p>
    <w:p w14:paraId="167163CE" w14:textId="77777777" w:rsidR="00324DC2" w:rsidRDefault="00324DC2" w:rsidP="00324DC2"/>
    <w:p w14:paraId="170E9873" w14:textId="35980FD9" w:rsidR="00324DC2" w:rsidRDefault="00324DC2" w:rsidP="00324DC2">
      <w:r>
        <w:t xml:space="preserve">Section 78 of the FMA provides for the appointment of authority boards generally. The Minister with responsibility for a territory authority may appoint members of the </w:t>
      </w:r>
      <w:r w:rsidR="004765EE">
        <w:t xml:space="preserve">governing board of the </w:t>
      </w:r>
      <w:r>
        <w:t>authority. The Minister must apply the criteria in s</w:t>
      </w:r>
      <w:r w:rsidR="0079328C">
        <w:t xml:space="preserve">ection </w:t>
      </w:r>
      <w:r>
        <w:t>78 of the FMA and must, as far as practicable, ensure that each discipline and area of expertise mentioned in s</w:t>
      </w:r>
      <w:r w:rsidR="0079328C">
        <w:t xml:space="preserve">ection </w:t>
      </w:r>
      <w:r>
        <w:t>21</w:t>
      </w:r>
      <w:r w:rsidR="0079328C">
        <w:t xml:space="preserve"> </w:t>
      </w:r>
      <w:r>
        <w:t>(2) of the Act is represented among the appointed members. A member must have knowledge of and experience in at least one of the disciplines and areas of expertise prescribed in s</w:t>
      </w:r>
      <w:r w:rsidR="0079328C">
        <w:t xml:space="preserve">ection </w:t>
      </w:r>
      <w:r>
        <w:t>21</w:t>
      </w:r>
      <w:r w:rsidR="0079328C">
        <w:t xml:space="preserve"> </w:t>
      </w:r>
      <w:r>
        <w:t>(2) of the Act.</w:t>
      </w:r>
    </w:p>
    <w:p w14:paraId="25FB399D" w14:textId="77777777" w:rsidR="00324DC2" w:rsidRDefault="00324DC2" w:rsidP="00324DC2"/>
    <w:p w14:paraId="526FDB26" w14:textId="01A68A8B" w:rsidR="004765EE" w:rsidRPr="004765EE" w:rsidRDefault="004765EE" w:rsidP="004765EE">
      <w:pPr>
        <w:keepNext/>
        <w:rPr>
          <w:b/>
          <w:bCs/>
        </w:rPr>
      </w:pPr>
      <w:r w:rsidRPr="004765EE">
        <w:rPr>
          <w:b/>
          <w:bCs/>
        </w:rPr>
        <w:t>Appointment</w:t>
      </w:r>
    </w:p>
    <w:p w14:paraId="2678C03B" w14:textId="07ADDBEF" w:rsidR="00FA4841" w:rsidRDefault="00324DC2" w:rsidP="00324DC2">
      <w:pPr>
        <w:rPr>
          <w:rFonts w:cs="Calibri"/>
          <w:szCs w:val="24"/>
          <w:lang w:val="en-GB"/>
        </w:rPr>
      </w:pPr>
      <w:r>
        <w:t xml:space="preserve">This instrument appoints </w:t>
      </w:r>
      <w:r w:rsidR="00055070">
        <w:t>M</w:t>
      </w:r>
      <w:r w:rsidR="00A53DD7">
        <w:t xml:space="preserve">s </w:t>
      </w:r>
      <w:r w:rsidR="006904FA">
        <w:t>Marcia Doheny</w:t>
      </w:r>
      <w:r w:rsidR="00DF1681">
        <w:t xml:space="preserve"> </w:t>
      </w:r>
      <w:r>
        <w:t xml:space="preserve">as </w:t>
      </w:r>
      <w:r w:rsidR="00FA4841">
        <w:t>authority board chair</w:t>
      </w:r>
      <w:r>
        <w:t xml:space="preserve"> for </w:t>
      </w:r>
      <w:r w:rsidR="00C876B8">
        <w:t xml:space="preserve">the </w:t>
      </w:r>
      <w:r>
        <w:t xml:space="preserve">period </w:t>
      </w:r>
      <w:r w:rsidR="006904FA">
        <w:t>1</w:t>
      </w:r>
      <w:r w:rsidR="008B3B17">
        <w:t> </w:t>
      </w:r>
      <w:r w:rsidR="006904FA">
        <w:t xml:space="preserve">July 2024 </w:t>
      </w:r>
      <w:r w:rsidR="00C876B8">
        <w:t xml:space="preserve">to </w:t>
      </w:r>
      <w:r w:rsidR="00DF1681">
        <w:t>30</w:t>
      </w:r>
      <w:r w:rsidR="00A53DD7">
        <w:t xml:space="preserve"> June 202</w:t>
      </w:r>
      <w:r w:rsidR="006904FA">
        <w:t>7</w:t>
      </w:r>
      <w:r>
        <w:t xml:space="preserve">. </w:t>
      </w:r>
      <w:r w:rsidR="00CE7169">
        <w:t xml:space="preserve">Ms </w:t>
      </w:r>
      <w:r w:rsidR="006904FA">
        <w:t xml:space="preserve">Doheny’s </w:t>
      </w:r>
      <w:r w:rsidR="00CD65CF">
        <w:t>was previously appointed</w:t>
      </w:r>
      <w:r w:rsidR="006904FA">
        <w:t xml:space="preserve"> as the </w:t>
      </w:r>
      <w:r w:rsidR="00FA4841">
        <w:t>deputy c</w:t>
      </w:r>
      <w:r w:rsidR="006904FA">
        <w:t xml:space="preserve">hair </w:t>
      </w:r>
      <w:r w:rsidR="00E96DEF">
        <w:t>from 1</w:t>
      </w:r>
      <w:r w:rsidR="008B3B17">
        <w:t> </w:t>
      </w:r>
      <w:r w:rsidR="00E96DEF">
        <w:t>January 2023</w:t>
      </w:r>
      <w:r w:rsidR="00CD65CF">
        <w:t>.</w:t>
      </w:r>
    </w:p>
    <w:p w14:paraId="1DDDA793" w14:textId="77777777" w:rsidR="00FA4841" w:rsidRDefault="00FA4841" w:rsidP="00324DC2">
      <w:pPr>
        <w:rPr>
          <w:rFonts w:cs="Calibri"/>
          <w:szCs w:val="24"/>
          <w:lang w:val="en-GB"/>
        </w:rPr>
      </w:pPr>
    </w:p>
    <w:p w14:paraId="1294FBEA" w14:textId="2B22EAA9" w:rsidR="00FA4841" w:rsidRDefault="008B3B17" w:rsidP="00324DC2">
      <w:pPr>
        <w:rPr>
          <w:rFonts w:cs="Calibri"/>
          <w:szCs w:val="24"/>
          <w:lang w:val="en-GB"/>
        </w:rPr>
      </w:pPr>
      <w:r>
        <w:rPr>
          <w:rFonts w:cs="Calibri"/>
          <w:szCs w:val="24"/>
          <w:lang w:val="en-GB"/>
        </w:rPr>
        <w:t>T</w:t>
      </w:r>
      <w:r w:rsidR="00FA4841">
        <w:rPr>
          <w:rFonts w:cs="Calibri"/>
          <w:szCs w:val="24"/>
          <w:lang w:val="en-GB"/>
        </w:rPr>
        <w:t xml:space="preserve">his instrument </w:t>
      </w:r>
      <w:r w:rsidR="00FA4841" w:rsidRPr="00767E85">
        <w:t xml:space="preserve">revokes the </w:t>
      </w:r>
      <w:r w:rsidR="00FA4841" w:rsidRPr="00767E85">
        <w:rPr>
          <w:i/>
          <w:iCs/>
        </w:rPr>
        <w:t>City Renewal Authority and Suburban Land Agency (Authority Board Chair) Appointment 2023 (No 1)</w:t>
      </w:r>
      <w:r w:rsidR="00FA4841">
        <w:t xml:space="preserve"> (DI2023-134).</w:t>
      </w:r>
    </w:p>
    <w:p w14:paraId="2BE3B31F" w14:textId="77777777" w:rsidR="00E22990" w:rsidRDefault="00E22990" w:rsidP="00324DC2">
      <w:pPr>
        <w:rPr>
          <w:rFonts w:cs="Arial"/>
          <w:szCs w:val="24"/>
        </w:rPr>
      </w:pPr>
    </w:p>
    <w:p w14:paraId="468551F9" w14:textId="744CDBFD" w:rsidR="006904FA" w:rsidRDefault="006904FA" w:rsidP="006904FA">
      <w:r>
        <w:t xml:space="preserve">Ms Doheny is an experienced lawyer, senior executive, Non-Executive Director, </w:t>
      </w:r>
      <w:r w:rsidR="00CD65CF">
        <w:t>c</w:t>
      </w:r>
      <w:r>
        <w:t xml:space="preserve">hair and member of planning panels and audit and risk committees. She </w:t>
      </w:r>
      <w:r w:rsidR="00A63A20">
        <w:t xml:space="preserve">has </w:t>
      </w:r>
      <w:r>
        <w:t xml:space="preserve">strengths in law, governance, many aspects of environment, planning and development, organisational development, state and local government and audit, risk and compliance. Her executive roles have included Chief Executive of the NSW Office of Local Government, Director of Legal &amp; Governance with </w:t>
      </w:r>
      <w:r w:rsidR="00F42A48">
        <w:t xml:space="preserve">the </w:t>
      </w:r>
      <w:r>
        <w:t>City of Sydney Council</w:t>
      </w:r>
      <w:r w:rsidR="00F42A48">
        <w:t>,</w:t>
      </w:r>
      <w:r>
        <w:t xml:space="preserve"> and Director of Legal &amp; Governance with the NSW Department of Finance &amp; Services. She has worked as a lawyer in NSW, </w:t>
      </w:r>
      <w:r w:rsidR="00CD65CF">
        <w:t xml:space="preserve">the </w:t>
      </w:r>
      <w:r>
        <w:t>UK, South Australia, and, most recently</w:t>
      </w:r>
      <w:r w:rsidR="00F42A48">
        <w:t>,</w:t>
      </w:r>
      <w:r>
        <w:t xml:space="preserve"> as a special counsel in the environment and planning team at Allens.</w:t>
      </w:r>
    </w:p>
    <w:p w14:paraId="0D94B6D4" w14:textId="77777777" w:rsidR="006904FA" w:rsidRDefault="006904FA" w:rsidP="006904FA"/>
    <w:p w14:paraId="2BF26EA8" w14:textId="12753C41" w:rsidR="006904FA" w:rsidRDefault="006904FA" w:rsidP="006904FA">
      <w:r>
        <w:t>Ms Doheny is an experienced board member and audit and risk chair, with experience in understanding governance obligations, risk and probity requirements, particularly in a government context.</w:t>
      </w:r>
      <w:r w:rsidR="00E96DEF">
        <w:t xml:space="preserve"> </w:t>
      </w:r>
    </w:p>
    <w:p w14:paraId="76DAE29A" w14:textId="77777777" w:rsidR="006904FA" w:rsidRDefault="006904FA" w:rsidP="006904FA"/>
    <w:p w14:paraId="3DFD259B" w14:textId="6CAA8F84" w:rsidR="00C62D8B" w:rsidRPr="00DF1681" w:rsidRDefault="006904FA" w:rsidP="006904FA">
      <w:pPr>
        <w:rPr>
          <w:highlight w:val="cyan"/>
          <w:lang w:eastAsia="en-AU"/>
        </w:rPr>
      </w:pPr>
      <w:r>
        <w:t xml:space="preserve">Since </w:t>
      </w:r>
      <w:r w:rsidR="00F42A48">
        <w:t xml:space="preserve">being appointed to the board, first as </w:t>
      </w:r>
      <w:r w:rsidR="00A63A20">
        <w:t>deputy chair</w:t>
      </w:r>
      <w:r w:rsidR="00F42A48">
        <w:t>, and now as chair</w:t>
      </w:r>
      <w:r>
        <w:t xml:space="preserve">, Ms Doheny has actively participated in </w:t>
      </w:r>
      <w:r w:rsidR="008B3B17">
        <w:t>b</w:t>
      </w:r>
      <w:r>
        <w:t xml:space="preserve">oard discussions, provided advice and support to the </w:t>
      </w:r>
      <w:r w:rsidR="00FA4841">
        <w:t>incumbent c</w:t>
      </w:r>
      <w:r>
        <w:t xml:space="preserve">hair, demonstrated leadership within the </w:t>
      </w:r>
      <w:r w:rsidR="00FA4841">
        <w:t>b</w:t>
      </w:r>
      <w:r>
        <w:t>oard group and is the current Chair of the Board’s Significant Development Projects Committee and a member of the Audit and Risk Committee.</w:t>
      </w:r>
    </w:p>
    <w:p w14:paraId="0D1023B0" w14:textId="77777777" w:rsidR="006904FA" w:rsidRDefault="006904FA" w:rsidP="00324DC2">
      <w:pPr>
        <w:rPr>
          <w:szCs w:val="24"/>
        </w:rPr>
      </w:pPr>
    </w:p>
    <w:p w14:paraId="1009546C" w14:textId="048C5E91" w:rsidR="00324DC2" w:rsidRPr="00485E75" w:rsidRDefault="00324DC2" w:rsidP="00324DC2">
      <w:pPr>
        <w:rPr>
          <w:lang w:eastAsia="en-AU"/>
        </w:rPr>
      </w:pPr>
      <w:r w:rsidRPr="00485E75">
        <w:rPr>
          <w:szCs w:val="24"/>
        </w:rPr>
        <w:t>Considered against the terms of the Act, M</w:t>
      </w:r>
      <w:r w:rsidR="00012CEC" w:rsidRPr="00485E75">
        <w:rPr>
          <w:szCs w:val="24"/>
        </w:rPr>
        <w:t xml:space="preserve">s </w:t>
      </w:r>
      <w:r w:rsidR="00E96DEF">
        <w:rPr>
          <w:szCs w:val="24"/>
        </w:rPr>
        <w:t xml:space="preserve">Doheny </w:t>
      </w:r>
      <w:r w:rsidRPr="00485E75">
        <w:rPr>
          <w:szCs w:val="24"/>
        </w:rPr>
        <w:t>has knowledge or experience across the following disciplines:</w:t>
      </w:r>
    </w:p>
    <w:p w14:paraId="5437B81C" w14:textId="77777777" w:rsidR="00E96DEF" w:rsidRPr="00485E75" w:rsidRDefault="00E96DEF" w:rsidP="00E96DEF">
      <w:pPr>
        <w:pStyle w:val="ListParagraph"/>
        <w:numPr>
          <w:ilvl w:val="0"/>
          <w:numId w:val="1"/>
        </w:numPr>
        <w:rPr>
          <w:rFonts w:ascii="Times New Roman" w:hAnsi="Times New Roman"/>
          <w:sz w:val="24"/>
          <w:szCs w:val="24"/>
        </w:rPr>
      </w:pPr>
      <w:r w:rsidRPr="00485E75">
        <w:rPr>
          <w:rFonts w:ascii="Times New Roman" w:hAnsi="Times New Roman"/>
          <w:sz w:val="24"/>
          <w:szCs w:val="24"/>
        </w:rPr>
        <w:t xml:space="preserve">law, public administration and governance; </w:t>
      </w:r>
    </w:p>
    <w:p w14:paraId="053EBA81" w14:textId="77777777" w:rsidR="00E96DEF" w:rsidRPr="00485E75" w:rsidRDefault="00E96DEF" w:rsidP="00E96DEF">
      <w:pPr>
        <w:pStyle w:val="ListParagraph"/>
        <w:numPr>
          <w:ilvl w:val="0"/>
          <w:numId w:val="1"/>
        </w:numPr>
        <w:rPr>
          <w:rFonts w:ascii="Times New Roman" w:hAnsi="Times New Roman"/>
          <w:sz w:val="24"/>
          <w:szCs w:val="24"/>
        </w:rPr>
      </w:pPr>
      <w:r w:rsidRPr="00485E75">
        <w:rPr>
          <w:rFonts w:ascii="Times New Roman" w:hAnsi="Times New Roman"/>
          <w:sz w:val="24"/>
          <w:szCs w:val="24"/>
        </w:rPr>
        <w:t>environmentally sustainable development;</w:t>
      </w:r>
    </w:p>
    <w:p w14:paraId="31F01B62" w14:textId="27B52690" w:rsidR="00E96DEF" w:rsidRDefault="00E96DEF" w:rsidP="00A87C97">
      <w:pPr>
        <w:pStyle w:val="ListParagraph"/>
        <w:numPr>
          <w:ilvl w:val="0"/>
          <w:numId w:val="1"/>
        </w:numPr>
        <w:rPr>
          <w:rFonts w:ascii="Times New Roman" w:hAnsi="Times New Roman"/>
          <w:sz w:val="24"/>
          <w:szCs w:val="24"/>
        </w:rPr>
      </w:pPr>
      <w:r>
        <w:rPr>
          <w:rFonts w:ascii="Times New Roman" w:hAnsi="Times New Roman"/>
          <w:sz w:val="24"/>
          <w:szCs w:val="24"/>
        </w:rPr>
        <w:t>urban design;</w:t>
      </w:r>
    </w:p>
    <w:p w14:paraId="7387C4C3" w14:textId="60AE867E" w:rsidR="00485E75" w:rsidRPr="00485E75" w:rsidRDefault="00485E75"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 xml:space="preserve">urban renewal; </w:t>
      </w:r>
      <w:r w:rsidR="00E96DEF">
        <w:rPr>
          <w:rFonts w:ascii="Times New Roman" w:hAnsi="Times New Roman"/>
          <w:sz w:val="24"/>
          <w:szCs w:val="24"/>
        </w:rPr>
        <w:t>and</w:t>
      </w:r>
    </w:p>
    <w:p w14:paraId="2C2DB293" w14:textId="2AB0DD15" w:rsidR="00012CEC" w:rsidRPr="00485E75" w:rsidRDefault="00012CEC" w:rsidP="00A87C97">
      <w:pPr>
        <w:pStyle w:val="ListParagraph"/>
        <w:numPr>
          <w:ilvl w:val="0"/>
          <w:numId w:val="1"/>
        </w:numPr>
        <w:spacing w:after="0"/>
        <w:rPr>
          <w:rFonts w:ascii="Times New Roman" w:hAnsi="Times New Roman"/>
          <w:sz w:val="24"/>
          <w:szCs w:val="24"/>
        </w:rPr>
      </w:pPr>
      <w:r w:rsidRPr="00485E75">
        <w:rPr>
          <w:rFonts w:ascii="Times New Roman" w:hAnsi="Times New Roman"/>
          <w:sz w:val="24"/>
          <w:szCs w:val="24"/>
        </w:rPr>
        <w:t>affordable housing, community housing and public housing.</w:t>
      </w:r>
    </w:p>
    <w:p w14:paraId="0E640BE8" w14:textId="77777777" w:rsidR="00324DC2" w:rsidRDefault="00324DC2" w:rsidP="0079328C"/>
    <w:p w14:paraId="7D38D479" w14:textId="232AF03A" w:rsidR="00C62D8B" w:rsidRDefault="00C62D8B" w:rsidP="00C62D8B">
      <w:bookmarkStart w:id="1" w:name="_Hlk99633638"/>
      <w:r>
        <w:t>Section 21 (4) of the Act provides that a member of the board must not be a public servant. M</w:t>
      </w:r>
      <w:r w:rsidR="00A53DD7">
        <w:t xml:space="preserve">s </w:t>
      </w:r>
      <w:r w:rsidR="00E96DEF">
        <w:t>Doheny</w:t>
      </w:r>
      <w:r w:rsidR="00DF1681">
        <w:t xml:space="preserve"> </w:t>
      </w:r>
      <w:r>
        <w:t>is not a public servant.</w:t>
      </w:r>
    </w:p>
    <w:bookmarkEnd w:id="1"/>
    <w:p w14:paraId="73E0C64B" w14:textId="77777777" w:rsidR="0079328C" w:rsidRDefault="0079328C" w:rsidP="001E0AA7"/>
    <w:p w14:paraId="431F6342" w14:textId="68CE7648" w:rsidR="004765EE" w:rsidRPr="004765EE" w:rsidRDefault="004765EE" w:rsidP="001E0AA7">
      <w:pPr>
        <w:rPr>
          <w:b/>
          <w:bCs/>
        </w:rPr>
      </w:pPr>
      <w:r w:rsidRPr="004765EE">
        <w:rPr>
          <w:b/>
          <w:bCs/>
        </w:rPr>
        <w:t>Consultation</w:t>
      </w:r>
    </w:p>
    <w:p w14:paraId="2F296AC5" w14:textId="6C2B2226" w:rsidR="001E0AA7" w:rsidRDefault="001E0AA7" w:rsidP="001E0AA7">
      <w:r>
        <w:t xml:space="preserve">Division 19.3.3 of the </w:t>
      </w:r>
      <w:r>
        <w:rPr>
          <w:i/>
        </w:rPr>
        <w:t xml:space="preserve">Legislation Act </w:t>
      </w:r>
      <w:r w:rsidRPr="00DD6956">
        <w:rPr>
          <w:i/>
        </w:rPr>
        <w:t>2001</w:t>
      </w:r>
      <w:r>
        <w:t xml:space="preserve"> </w:t>
      </w:r>
      <w:r w:rsidR="00A10DB2">
        <w:t xml:space="preserve">(the </w:t>
      </w:r>
      <w:r w:rsidR="00A10DB2" w:rsidRPr="00A63A20">
        <w:rPr>
          <w:b/>
          <w:bCs/>
          <w:i/>
          <w:iCs/>
        </w:rPr>
        <w:t>Legislation Act</w:t>
      </w:r>
      <w:r w:rsidR="00A10DB2">
        <w:t xml:space="preserve">) </w:t>
      </w:r>
      <w:r>
        <w:t xml:space="preserve">applies as </w:t>
      </w:r>
      <w:r w:rsidR="00A53DD7">
        <w:t>Ms</w:t>
      </w:r>
      <w:r w:rsidR="00AE1DAA">
        <w:t> </w:t>
      </w:r>
      <w:r w:rsidR="00E96DEF">
        <w:t>Doheny</w:t>
      </w:r>
      <w:r w:rsidR="00DF1681">
        <w:t xml:space="preserve"> </w:t>
      </w:r>
      <w:r>
        <w:t xml:space="preserve">is not a public servant, </w:t>
      </w:r>
      <w:bookmarkStart w:id="2" w:name="_Hlk118723923"/>
      <w:r>
        <w:t>is appointed for longer than 6 months</w:t>
      </w:r>
      <w:r w:rsidR="00C62D8B">
        <w:t>,</w:t>
      </w:r>
      <w:bookmarkEnd w:id="2"/>
      <w:r w:rsidR="00C62D8B">
        <w:t xml:space="preserve"> </w:t>
      </w:r>
      <w:r>
        <w:t>and will have functions beyond advising the Minister. In accordance with s</w:t>
      </w:r>
      <w:r w:rsidR="0079328C">
        <w:t xml:space="preserve">ection </w:t>
      </w:r>
      <w:r>
        <w:t xml:space="preserve">228 of the Legislation </w:t>
      </w:r>
      <w:r w:rsidRPr="00EE51C0">
        <w:t xml:space="preserve">Act, </w:t>
      </w:r>
      <w:r>
        <w:t xml:space="preserve">the Standing Committee on </w:t>
      </w:r>
      <w:r w:rsidR="00C876B8" w:rsidRPr="00C876B8">
        <w:t xml:space="preserve">Planning, Transport and City Services </w:t>
      </w:r>
      <w:r>
        <w:t>has been consulted</w:t>
      </w:r>
      <w:r w:rsidR="00C020A4">
        <w:t xml:space="preserve"> </w:t>
      </w:r>
      <w:r w:rsidR="00C020A4" w:rsidRPr="00A63A20">
        <w:t>and noted the appointment</w:t>
      </w:r>
      <w:r w:rsidRPr="00A63A20">
        <w:t>. The</w:t>
      </w:r>
      <w:r w:rsidRPr="00EE51C0">
        <w:t xml:space="preserve"> appointment is a disallowable instrument by operation of s</w:t>
      </w:r>
      <w:r w:rsidR="0079328C">
        <w:t xml:space="preserve">ection </w:t>
      </w:r>
      <w:r w:rsidRPr="00EE51C0">
        <w:t>229 of the Legislation Act</w:t>
      </w:r>
      <w:r w:rsidRPr="002745DB">
        <w:t>.</w:t>
      </w:r>
    </w:p>
    <w:p w14:paraId="62F1D6D7" w14:textId="77777777" w:rsidR="00324DC2" w:rsidRDefault="00324DC2" w:rsidP="00324DC2"/>
    <w:p w14:paraId="36BAFF3B" w14:textId="7EF070F7" w:rsidR="004765EE" w:rsidRPr="004765EE" w:rsidRDefault="004765EE" w:rsidP="00324DC2">
      <w:pPr>
        <w:rPr>
          <w:b/>
          <w:bCs/>
        </w:rPr>
      </w:pPr>
      <w:r w:rsidRPr="004765EE">
        <w:rPr>
          <w:b/>
          <w:bCs/>
        </w:rPr>
        <w:t>Regulatory impact statement</w:t>
      </w:r>
    </w:p>
    <w:p w14:paraId="07D4FB36" w14:textId="3EDE51F3" w:rsidR="0079328C" w:rsidRDefault="00324DC2" w:rsidP="00324DC2">
      <w:r w:rsidRPr="0081787C">
        <w:t>The instrument is not likely to impose appreciable costs on the community, or part of</w:t>
      </w:r>
      <w:r>
        <w:t xml:space="preserve"> </w:t>
      </w:r>
      <w:r w:rsidRPr="0081787C">
        <w:t>the community and therefore a regulatory impact statement (</w:t>
      </w:r>
      <w:r w:rsidR="0079328C">
        <w:t xml:space="preserve">a </w:t>
      </w:r>
      <w:r w:rsidRPr="0079328C">
        <w:rPr>
          <w:b/>
          <w:bCs/>
          <w:i/>
          <w:iCs/>
        </w:rPr>
        <w:t>RIS</w:t>
      </w:r>
      <w:r w:rsidRPr="0081787C">
        <w:t>) is not required</w:t>
      </w:r>
      <w:r>
        <w:t xml:space="preserve"> </w:t>
      </w:r>
      <w:r w:rsidRPr="0081787C">
        <w:t>(Legislation Act, s</w:t>
      </w:r>
      <w:r w:rsidR="0079328C">
        <w:t xml:space="preserve">ection </w:t>
      </w:r>
      <w:r w:rsidRPr="0081787C">
        <w:t>34). Further, a RIS is unnecessary, in accordance with the</w:t>
      </w:r>
      <w:r>
        <w:t xml:space="preserve"> </w:t>
      </w:r>
      <w:r w:rsidRPr="0081787C">
        <w:t>Legislation Act</w:t>
      </w:r>
      <w:r w:rsidR="0079328C">
        <w:t xml:space="preserve">, </w:t>
      </w:r>
      <w:r w:rsidRPr="0081787C">
        <w:t>s</w:t>
      </w:r>
      <w:r w:rsidR="0079328C">
        <w:t xml:space="preserve">ection </w:t>
      </w:r>
      <w:r w:rsidRPr="0081787C">
        <w:t>36</w:t>
      </w:r>
      <w:r w:rsidR="0079328C">
        <w:t xml:space="preserve"> </w:t>
      </w:r>
      <w:r w:rsidRPr="0081787C">
        <w:t>(1)</w:t>
      </w:r>
      <w:r w:rsidR="0079328C">
        <w:t xml:space="preserve"> </w:t>
      </w:r>
      <w:r w:rsidRPr="0081787C">
        <w:t xml:space="preserve">(b), as the disallowable instrument does not operate to </w:t>
      </w:r>
      <w:r w:rsidRPr="0081787C">
        <w:lastRenderedPageBreak/>
        <w:t>the</w:t>
      </w:r>
      <w:r>
        <w:t xml:space="preserve"> </w:t>
      </w:r>
      <w:r w:rsidRPr="0081787C">
        <w:t>disadvantage of anyone by adversely affecting the person’s rights, or imposing</w:t>
      </w:r>
      <w:r>
        <w:t xml:space="preserve"> </w:t>
      </w:r>
      <w:r w:rsidRPr="0081787C">
        <w:t>liabilities on the person.</w:t>
      </w:r>
    </w:p>
    <w:p w14:paraId="316A8F54" w14:textId="77777777" w:rsidR="0079328C" w:rsidRDefault="0079328C" w:rsidP="00324DC2"/>
    <w:p w14:paraId="25F52D32" w14:textId="2CF94F33" w:rsidR="004765EE" w:rsidRDefault="004765EE" w:rsidP="004765EE">
      <w:pPr>
        <w:keepNext/>
        <w:rPr>
          <w:b/>
          <w:bCs/>
        </w:rPr>
      </w:pPr>
      <w:r w:rsidRPr="004765EE">
        <w:rPr>
          <w:b/>
          <w:bCs/>
        </w:rPr>
        <w:t>Remuneration</w:t>
      </w:r>
    </w:p>
    <w:p w14:paraId="72CBD6AF" w14:textId="7A49C24B" w:rsidR="00324DC2" w:rsidRDefault="00C020A4" w:rsidP="00324DC2">
      <w:bookmarkStart w:id="3" w:name="_Hlk128038416"/>
      <w:r>
        <w:t xml:space="preserve">Remuneration for the </w:t>
      </w:r>
      <w:r w:rsidR="0079328C">
        <w:t>b</w:t>
      </w:r>
      <w:r>
        <w:t xml:space="preserve">oard is set by </w:t>
      </w:r>
      <w:r w:rsidR="00092CFA">
        <w:t>the ACT Remuneration Tribunal under D</w:t>
      </w:r>
      <w:r>
        <w:t xml:space="preserve">etermination </w:t>
      </w:r>
      <w:r w:rsidR="00C876B8">
        <w:t>1</w:t>
      </w:r>
      <w:r w:rsidR="00E96DEF">
        <w:t>8</w:t>
      </w:r>
      <w:r>
        <w:t xml:space="preserve"> of 20</w:t>
      </w:r>
      <w:r w:rsidR="00C876B8">
        <w:t>2</w:t>
      </w:r>
      <w:r w:rsidR="00E96DEF">
        <w:t>3</w:t>
      </w:r>
      <w:r>
        <w:t xml:space="preserve"> </w:t>
      </w:r>
      <w:r w:rsidR="00092CFA">
        <w:t xml:space="preserve">(Part-time Public Office Holders) </w:t>
      </w:r>
      <w:r>
        <w:t xml:space="preserve">and is met by the </w:t>
      </w:r>
      <w:r w:rsidR="0079328C">
        <w:t>a</w:t>
      </w:r>
      <w:r>
        <w:t>uthority</w:t>
      </w:r>
      <w:r w:rsidR="0079328C">
        <w:t>’s</w:t>
      </w:r>
      <w:r>
        <w:t xml:space="preserve"> budget.</w:t>
      </w:r>
      <w:bookmarkEnd w:id="3"/>
    </w:p>
    <w:p w14:paraId="10F7FCF3" w14:textId="77777777" w:rsidR="00324DC2" w:rsidRDefault="00324DC2" w:rsidP="00324DC2"/>
    <w:p w14:paraId="254339E9" w14:textId="268A916A" w:rsidR="004765EE" w:rsidRPr="004765EE" w:rsidRDefault="004765EE" w:rsidP="009A7561">
      <w:pPr>
        <w:autoSpaceDE w:val="0"/>
        <w:autoSpaceDN w:val="0"/>
        <w:adjustRightInd w:val="0"/>
        <w:rPr>
          <w:b/>
          <w:bCs/>
        </w:rPr>
      </w:pPr>
      <w:r w:rsidRPr="004765EE">
        <w:rPr>
          <w:b/>
          <w:bCs/>
        </w:rPr>
        <w:t>Scrutiny Committee Terms of Reference</w:t>
      </w:r>
    </w:p>
    <w:p w14:paraId="552F287A" w14:textId="77777777" w:rsidR="00324DC2" w:rsidRDefault="00324DC2" w:rsidP="00324DC2">
      <w:r w:rsidRPr="0081787C">
        <w:t>The instrument is consistent with the Legislative Assembly’s Scrutiny of Bills</w:t>
      </w:r>
      <w:r>
        <w:t xml:space="preserve"> </w:t>
      </w:r>
      <w:r w:rsidRPr="0081787C">
        <w:t>Committee Terms of Reference. In particular, the instrument:</w:t>
      </w:r>
    </w:p>
    <w:p w14:paraId="0D30B5A0" w14:textId="3FCBA7B7"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w:t>
      </w:r>
      <w:r w:rsidR="0079328C">
        <w:rPr>
          <w:rFonts w:ascii="Times New Roman" w:hAnsi="Times New Roman"/>
          <w:sz w:val="24"/>
          <w:szCs w:val="20"/>
        </w:rPr>
        <w:t xml:space="preserve"> (s</w:t>
      </w:r>
      <w:r w:rsidRPr="0070019A">
        <w:rPr>
          <w:rFonts w:ascii="Times New Roman" w:hAnsi="Times New Roman"/>
          <w:sz w:val="24"/>
          <w:szCs w:val="20"/>
        </w:rPr>
        <w:t>ee s</w:t>
      </w:r>
      <w:r w:rsidR="0079328C">
        <w:rPr>
          <w:rFonts w:ascii="Times New Roman" w:hAnsi="Times New Roman"/>
          <w:sz w:val="24"/>
          <w:szCs w:val="20"/>
        </w:rPr>
        <w:t xml:space="preserve">ection </w:t>
      </w:r>
      <w:r w:rsidRPr="0070019A">
        <w:rPr>
          <w:rFonts w:ascii="Times New Roman" w:hAnsi="Times New Roman"/>
          <w:sz w:val="24"/>
          <w:szCs w:val="20"/>
        </w:rPr>
        <w:t>15 of the Act and s</w:t>
      </w:r>
      <w:r w:rsidR="0079328C">
        <w:rPr>
          <w:rFonts w:ascii="Times New Roman" w:hAnsi="Times New Roman"/>
          <w:sz w:val="24"/>
          <w:szCs w:val="20"/>
        </w:rPr>
        <w:t>ection</w:t>
      </w:r>
      <w:r w:rsidRPr="0070019A">
        <w:rPr>
          <w:rFonts w:ascii="Times New Roman" w:hAnsi="Times New Roman"/>
          <w:sz w:val="24"/>
          <w:szCs w:val="20"/>
        </w:rPr>
        <w:t xml:space="preserve"> 78</w:t>
      </w:r>
      <w:r w:rsidR="00F64C12">
        <w:rPr>
          <w:rFonts w:ascii="Times New Roman" w:hAnsi="Times New Roman"/>
          <w:sz w:val="24"/>
          <w:szCs w:val="20"/>
        </w:rPr>
        <w:t xml:space="preserve"> </w:t>
      </w:r>
      <w:r w:rsidRPr="0070019A">
        <w:rPr>
          <w:rFonts w:ascii="Times New Roman" w:hAnsi="Times New Roman"/>
          <w:sz w:val="24"/>
          <w:szCs w:val="20"/>
        </w:rPr>
        <w:t>of the FMA.</w:t>
      </w:r>
    </w:p>
    <w:p w14:paraId="20B484C8" w14:textId="31E578C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a </w:t>
      </w:r>
      <w:r w:rsidR="00F64C12">
        <w:rPr>
          <w:rFonts w:ascii="Times New Roman" w:hAnsi="Times New Roman"/>
          <w:sz w:val="24"/>
          <w:szCs w:val="20"/>
        </w:rPr>
        <w:t>member</w:t>
      </w:r>
      <w:r w:rsidRPr="0070019A">
        <w:rPr>
          <w:rFonts w:ascii="Times New Roman" w:hAnsi="Times New Roman"/>
          <w:sz w:val="24"/>
          <w:szCs w:val="20"/>
        </w:rPr>
        <w:t xml:space="preserve"> to the </w:t>
      </w:r>
      <w:r w:rsidR="0079328C">
        <w:rPr>
          <w:rFonts w:ascii="Times New Roman" w:hAnsi="Times New Roman"/>
          <w:sz w:val="24"/>
          <w:szCs w:val="20"/>
        </w:rPr>
        <w:t>b</w:t>
      </w:r>
      <w:r w:rsidRPr="0070019A">
        <w:rPr>
          <w:rFonts w:ascii="Times New Roman" w:hAnsi="Times New Roman"/>
          <w:sz w:val="24"/>
          <w:szCs w:val="20"/>
        </w:rPr>
        <w:t xml:space="preserve">oard is integral to </w:t>
      </w:r>
      <w:r w:rsidR="0079328C">
        <w:rPr>
          <w:rFonts w:ascii="Times New Roman" w:hAnsi="Times New Roman"/>
          <w:sz w:val="24"/>
          <w:szCs w:val="20"/>
        </w:rPr>
        <w:t>the authority’s</w:t>
      </w:r>
      <w:r w:rsidRPr="0070019A">
        <w:rPr>
          <w:rFonts w:ascii="Times New Roman" w:hAnsi="Times New Roman"/>
          <w:sz w:val="24"/>
          <w:szCs w:val="20"/>
        </w:rPr>
        <w:t xml:space="preserve"> operation</w:t>
      </w:r>
      <w:r w:rsidR="004765EE">
        <w:rPr>
          <w:rFonts w:ascii="Times New Roman" w:hAnsi="Times New Roman"/>
          <w:sz w:val="24"/>
          <w:szCs w:val="20"/>
        </w:rPr>
        <w:t>s</w:t>
      </w:r>
      <w:r w:rsidRPr="0070019A">
        <w:rPr>
          <w:rFonts w:ascii="Times New Roman" w:hAnsi="Times New Roman"/>
          <w:sz w:val="24"/>
          <w:szCs w:val="20"/>
        </w:rPr>
        <w:t xml:space="preserve"> and achieving the objects of the Act.</w:t>
      </w:r>
    </w:p>
    <w:p w14:paraId="4856B556" w14:textId="77777777" w:rsidR="00F64C12" w:rsidRPr="00F64C12" w:rsidRDefault="00324DC2" w:rsidP="00F64C12">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14:paraId="4177856D" w14:textId="3311C151" w:rsidR="001520D2" w:rsidRPr="00ED3F04" w:rsidRDefault="00324DC2" w:rsidP="00F64C12">
      <w:pPr>
        <w:pStyle w:val="ListParagraph"/>
        <w:numPr>
          <w:ilvl w:val="0"/>
          <w:numId w:val="2"/>
        </w:numPr>
        <w:spacing w:after="0" w:line="240" w:lineRule="auto"/>
        <w:rPr>
          <w:rFonts w:ascii="Times New Roman" w:hAnsi="Times New Roman"/>
          <w:sz w:val="24"/>
          <w:szCs w:val="24"/>
        </w:rPr>
      </w:pPr>
      <w:r w:rsidRPr="00ED3F04">
        <w:rPr>
          <w:rFonts w:ascii="Times New Roman" w:hAnsi="Times New Roman"/>
          <w:sz w:val="24"/>
          <w:szCs w:val="24"/>
        </w:rPr>
        <w:t>Does not make rights, liberties and/or obligations unduly dependent upon non</w:t>
      </w:r>
      <w:r w:rsidRPr="00ED3F04">
        <w:rPr>
          <w:rFonts w:ascii="Times New Roman" w:hAnsi="Times New Roman"/>
          <w:sz w:val="24"/>
          <w:szCs w:val="24"/>
        </w:rPr>
        <w:noBreakHyphen/>
        <w:t xml:space="preserve">reviewable decisions. The instrument enables formal appointment of a member of the </w:t>
      </w:r>
      <w:r w:rsidR="004765EE">
        <w:rPr>
          <w:rFonts w:ascii="Times New Roman" w:hAnsi="Times New Roman"/>
          <w:sz w:val="24"/>
          <w:szCs w:val="24"/>
        </w:rPr>
        <w:t>b</w:t>
      </w:r>
      <w:r w:rsidRPr="00ED3F04">
        <w:rPr>
          <w:rFonts w:ascii="Times New Roman" w:hAnsi="Times New Roman"/>
          <w:sz w:val="24"/>
          <w:szCs w:val="24"/>
        </w:rPr>
        <w:t>oard.</w:t>
      </w:r>
    </w:p>
    <w:p w14:paraId="214670A1" w14:textId="77777777" w:rsidR="00ED3F04" w:rsidRDefault="00ED3F04" w:rsidP="00324DC2">
      <w:pPr>
        <w:autoSpaceDE w:val="0"/>
        <w:autoSpaceDN w:val="0"/>
        <w:adjustRightInd w:val="0"/>
        <w:rPr>
          <w:b/>
          <w:bCs/>
          <w:szCs w:val="24"/>
          <w:lang w:eastAsia="en-AU"/>
        </w:rPr>
      </w:pPr>
    </w:p>
    <w:sectPr w:rsidR="00ED3F04" w:rsidSect="00B80B6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50532" w14:textId="77777777" w:rsidR="00B80B66" w:rsidRDefault="00B80B66" w:rsidP="00324DC2">
      <w:r>
        <w:separator/>
      </w:r>
    </w:p>
  </w:endnote>
  <w:endnote w:type="continuationSeparator" w:id="0">
    <w:p w14:paraId="17994AD2" w14:textId="77777777" w:rsidR="00B80B66" w:rsidRDefault="00B80B66" w:rsidP="0032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F4823" w14:textId="77777777" w:rsidR="00B0676B" w:rsidRDefault="00B067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B246F" w14:textId="349A2072" w:rsidR="00B0676B" w:rsidRPr="00B0676B" w:rsidRDefault="00B0676B" w:rsidP="00B0676B">
    <w:pPr>
      <w:pStyle w:val="Footer"/>
      <w:jc w:val="center"/>
      <w:rPr>
        <w:rFonts w:cs="Arial"/>
        <w:sz w:val="14"/>
      </w:rPr>
    </w:pPr>
    <w:r w:rsidRPr="00B067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CAE5E" w14:textId="77777777" w:rsidR="00B0676B" w:rsidRDefault="00B067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288502" w14:textId="77777777" w:rsidR="00B80B66" w:rsidRDefault="00B80B66" w:rsidP="00324DC2">
      <w:r>
        <w:separator/>
      </w:r>
    </w:p>
  </w:footnote>
  <w:footnote w:type="continuationSeparator" w:id="0">
    <w:p w14:paraId="07357FDA" w14:textId="77777777" w:rsidR="00B80B66" w:rsidRDefault="00B80B66" w:rsidP="00324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56C4E" w14:textId="77777777" w:rsidR="00B0676B" w:rsidRDefault="00B067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E49E" w14:textId="77777777" w:rsidR="00B0676B" w:rsidRDefault="00B067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3BEF6" w14:textId="77777777" w:rsidR="00B0676B" w:rsidRDefault="00B067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16cid:durableId="1024401961">
    <w:abstractNumId w:val="0"/>
  </w:num>
  <w:num w:numId="2" w16cid:durableId="1421632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DC2"/>
    <w:rsid w:val="00012CEC"/>
    <w:rsid w:val="0002242C"/>
    <w:rsid w:val="00023A05"/>
    <w:rsid w:val="0004506F"/>
    <w:rsid w:val="00055070"/>
    <w:rsid w:val="00073983"/>
    <w:rsid w:val="00092CFA"/>
    <w:rsid w:val="000E5347"/>
    <w:rsid w:val="000F1962"/>
    <w:rsid w:val="001243AD"/>
    <w:rsid w:val="00127D35"/>
    <w:rsid w:val="001361B8"/>
    <w:rsid w:val="00151D90"/>
    <w:rsid w:val="001520D2"/>
    <w:rsid w:val="00153670"/>
    <w:rsid w:val="00154352"/>
    <w:rsid w:val="00165ABE"/>
    <w:rsid w:val="00174116"/>
    <w:rsid w:val="001D5005"/>
    <w:rsid w:val="001E0AA7"/>
    <w:rsid w:val="00202B10"/>
    <w:rsid w:val="00224594"/>
    <w:rsid w:val="00284375"/>
    <w:rsid w:val="002E12CB"/>
    <w:rsid w:val="002F4F82"/>
    <w:rsid w:val="00324DC2"/>
    <w:rsid w:val="003935DE"/>
    <w:rsid w:val="003B3DF5"/>
    <w:rsid w:val="003E2AA1"/>
    <w:rsid w:val="00432A2D"/>
    <w:rsid w:val="00474FBF"/>
    <w:rsid w:val="004765EE"/>
    <w:rsid w:val="00485E75"/>
    <w:rsid w:val="005562C4"/>
    <w:rsid w:val="00573C79"/>
    <w:rsid w:val="00581312"/>
    <w:rsid w:val="00625175"/>
    <w:rsid w:val="00633CC4"/>
    <w:rsid w:val="0067712E"/>
    <w:rsid w:val="00687C9C"/>
    <w:rsid w:val="006904FA"/>
    <w:rsid w:val="00693E2D"/>
    <w:rsid w:val="00780370"/>
    <w:rsid w:val="0079328C"/>
    <w:rsid w:val="007D06F2"/>
    <w:rsid w:val="00841452"/>
    <w:rsid w:val="008722BA"/>
    <w:rsid w:val="00873648"/>
    <w:rsid w:val="008B3B17"/>
    <w:rsid w:val="009158E3"/>
    <w:rsid w:val="00985E80"/>
    <w:rsid w:val="009A7561"/>
    <w:rsid w:val="009E6CB3"/>
    <w:rsid w:val="00A10DB2"/>
    <w:rsid w:val="00A53DD7"/>
    <w:rsid w:val="00A63A20"/>
    <w:rsid w:val="00A87C97"/>
    <w:rsid w:val="00AC06B3"/>
    <w:rsid w:val="00AE1DAA"/>
    <w:rsid w:val="00B0676B"/>
    <w:rsid w:val="00B64DCB"/>
    <w:rsid w:val="00B80B66"/>
    <w:rsid w:val="00BC1D51"/>
    <w:rsid w:val="00C020A4"/>
    <w:rsid w:val="00C40FE7"/>
    <w:rsid w:val="00C62D8B"/>
    <w:rsid w:val="00C66421"/>
    <w:rsid w:val="00C876B8"/>
    <w:rsid w:val="00CB45D4"/>
    <w:rsid w:val="00CC2C99"/>
    <w:rsid w:val="00CC6B9F"/>
    <w:rsid w:val="00CD65CF"/>
    <w:rsid w:val="00CE7169"/>
    <w:rsid w:val="00D15CEF"/>
    <w:rsid w:val="00D41AA8"/>
    <w:rsid w:val="00DC3A87"/>
    <w:rsid w:val="00DC7CB4"/>
    <w:rsid w:val="00DF1681"/>
    <w:rsid w:val="00E21AD9"/>
    <w:rsid w:val="00E22990"/>
    <w:rsid w:val="00E32FA0"/>
    <w:rsid w:val="00E46E03"/>
    <w:rsid w:val="00E713BA"/>
    <w:rsid w:val="00E910B9"/>
    <w:rsid w:val="00E96DEF"/>
    <w:rsid w:val="00ED3F04"/>
    <w:rsid w:val="00F318B3"/>
    <w:rsid w:val="00F42A48"/>
    <w:rsid w:val="00F64C12"/>
    <w:rsid w:val="00F931EE"/>
    <w:rsid w:val="00FA4841"/>
    <w:rsid w:val="00FC107A"/>
    <w:rsid w:val="00FC5E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952DE6"/>
  <w15:chartTrackingRefBased/>
  <w15:docId w15:val="{5BECFF05-AE64-4CA6-AD31-7F837C4C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DC2"/>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24DC2"/>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324DC2"/>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24DC2"/>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4DC2"/>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324DC2"/>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324DC2"/>
    <w:rPr>
      <w:rFonts w:ascii="Arial" w:eastAsia="Times New Roman" w:hAnsi="Arial" w:cs="Arial"/>
      <w:b/>
      <w:bCs/>
      <w:sz w:val="28"/>
      <w:szCs w:val="28"/>
    </w:rPr>
  </w:style>
  <w:style w:type="paragraph" w:styleId="Footer">
    <w:name w:val="footer"/>
    <w:basedOn w:val="Normal"/>
    <w:link w:val="FooterChar"/>
    <w:uiPriority w:val="99"/>
    <w:rsid w:val="00324DC2"/>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324DC2"/>
    <w:rPr>
      <w:rFonts w:ascii="Arial" w:eastAsia="Times New Roman" w:hAnsi="Arial" w:cs="Times New Roman"/>
      <w:sz w:val="18"/>
      <w:szCs w:val="20"/>
    </w:rPr>
  </w:style>
  <w:style w:type="paragraph" w:customStyle="1" w:styleId="N-line3">
    <w:name w:val="N-line3"/>
    <w:basedOn w:val="Normal"/>
    <w:next w:val="Normal"/>
    <w:rsid w:val="00324DC2"/>
    <w:pPr>
      <w:pBdr>
        <w:bottom w:val="single" w:sz="12" w:space="1" w:color="auto"/>
      </w:pBdr>
      <w:jc w:val="both"/>
    </w:pPr>
  </w:style>
  <w:style w:type="paragraph" w:customStyle="1" w:styleId="madeunder">
    <w:name w:val="made under"/>
    <w:basedOn w:val="Normal"/>
    <w:rsid w:val="00324DC2"/>
    <w:pPr>
      <w:spacing w:before="180" w:after="60"/>
      <w:jc w:val="both"/>
    </w:pPr>
  </w:style>
  <w:style w:type="paragraph" w:customStyle="1" w:styleId="CoverActName">
    <w:name w:val="CoverActName"/>
    <w:basedOn w:val="Normal"/>
    <w:rsid w:val="00324DC2"/>
    <w:pPr>
      <w:tabs>
        <w:tab w:val="left" w:pos="2600"/>
      </w:tabs>
      <w:spacing w:before="200" w:after="60"/>
      <w:jc w:val="both"/>
    </w:pPr>
    <w:rPr>
      <w:rFonts w:ascii="Arial" w:hAnsi="Arial"/>
      <w:b/>
    </w:rPr>
  </w:style>
  <w:style w:type="paragraph" w:styleId="Header">
    <w:name w:val="header"/>
    <w:basedOn w:val="Normal"/>
    <w:link w:val="HeaderChar"/>
    <w:uiPriority w:val="99"/>
    <w:rsid w:val="00324DC2"/>
    <w:pPr>
      <w:tabs>
        <w:tab w:val="left" w:pos="2880"/>
        <w:tab w:val="center" w:pos="4153"/>
        <w:tab w:val="right" w:pos="8306"/>
      </w:tabs>
    </w:pPr>
  </w:style>
  <w:style w:type="character" w:customStyle="1" w:styleId="HeaderChar">
    <w:name w:val="Header Char"/>
    <w:basedOn w:val="DefaultParagraphFont"/>
    <w:link w:val="Header"/>
    <w:uiPriority w:val="99"/>
    <w:rsid w:val="00324DC2"/>
    <w:rPr>
      <w:rFonts w:ascii="Times New Roman" w:eastAsia="Times New Roman" w:hAnsi="Times New Roman" w:cs="Times New Roman"/>
      <w:sz w:val="24"/>
      <w:szCs w:val="20"/>
    </w:rPr>
  </w:style>
  <w:style w:type="paragraph" w:styleId="ListParagraph">
    <w:name w:val="List Paragraph"/>
    <w:basedOn w:val="Normal"/>
    <w:uiPriority w:val="34"/>
    <w:qFormat/>
    <w:rsid w:val="00324DC2"/>
    <w:pPr>
      <w:spacing w:after="160" w:line="259" w:lineRule="auto"/>
      <w:ind w:left="720"/>
      <w:contextualSpacing/>
    </w:pPr>
    <w:rPr>
      <w:rFonts w:asciiTheme="minorHAnsi" w:hAnsiTheme="minorHAnsi"/>
      <w:sz w:val="22"/>
      <w:szCs w:val="22"/>
    </w:rPr>
  </w:style>
  <w:style w:type="character" w:styleId="CommentReference">
    <w:name w:val="annotation reference"/>
    <w:basedOn w:val="DefaultParagraphFont"/>
    <w:uiPriority w:val="99"/>
    <w:semiHidden/>
    <w:unhideWhenUsed/>
    <w:rsid w:val="00073983"/>
    <w:rPr>
      <w:sz w:val="16"/>
      <w:szCs w:val="16"/>
    </w:rPr>
  </w:style>
  <w:style w:type="paragraph" w:styleId="CommentText">
    <w:name w:val="annotation text"/>
    <w:basedOn w:val="Normal"/>
    <w:link w:val="CommentTextChar"/>
    <w:uiPriority w:val="99"/>
    <w:unhideWhenUsed/>
    <w:rsid w:val="00073983"/>
    <w:rPr>
      <w:sz w:val="20"/>
    </w:rPr>
  </w:style>
  <w:style w:type="character" w:customStyle="1" w:styleId="CommentTextChar">
    <w:name w:val="Comment Text Char"/>
    <w:basedOn w:val="DefaultParagraphFont"/>
    <w:link w:val="CommentText"/>
    <w:uiPriority w:val="99"/>
    <w:rsid w:val="000739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73983"/>
    <w:rPr>
      <w:b/>
      <w:bCs/>
    </w:rPr>
  </w:style>
  <w:style w:type="character" w:customStyle="1" w:styleId="CommentSubjectChar">
    <w:name w:val="Comment Subject Char"/>
    <w:basedOn w:val="CommentTextChar"/>
    <w:link w:val="CommentSubject"/>
    <w:uiPriority w:val="99"/>
    <w:semiHidden/>
    <w:rsid w:val="00073983"/>
    <w:rPr>
      <w:rFonts w:ascii="Times New Roman" w:eastAsia="Times New Roman" w:hAnsi="Times New Roman" w:cs="Times New Roman"/>
      <w:b/>
      <w:bCs/>
      <w:sz w:val="20"/>
      <w:szCs w:val="20"/>
    </w:rPr>
  </w:style>
  <w:style w:type="paragraph" w:styleId="Revision">
    <w:name w:val="Revision"/>
    <w:hidden/>
    <w:uiPriority w:val="99"/>
    <w:semiHidden/>
    <w:rsid w:val="00073983"/>
    <w:pPr>
      <w:spacing w:after="0" w:line="240" w:lineRule="auto"/>
    </w:pPr>
    <w:rPr>
      <w:rFonts w:ascii="Times New Roman" w:eastAsia="Times New Roman" w:hAnsi="Times New Roman" w:cs="Times New Roman"/>
      <w:sz w:val="24"/>
      <w:szCs w:val="20"/>
    </w:rPr>
  </w:style>
  <w:style w:type="paragraph" w:styleId="BodyText">
    <w:name w:val="Body Text"/>
    <w:basedOn w:val="Normal"/>
    <w:link w:val="BodyTextChar"/>
    <w:unhideWhenUsed/>
    <w:qFormat/>
    <w:rsid w:val="00012CEC"/>
    <w:pPr>
      <w:spacing w:before="200"/>
    </w:pPr>
    <w:rPr>
      <w:rFonts w:ascii="Arial" w:hAnsi="Arial"/>
      <w:sz w:val="22"/>
      <w:szCs w:val="22"/>
    </w:rPr>
  </w:style>
  <w:style w:type="character" w:customStyle="1" w:styleId="BodyTextChar">
    <w:name w:val="Body Text Char"/>
    <w:basedOn w:val="DefaultParagraphFont"/>
    <w:link w:val="BodyText"/>
    <w:rsid w:val="00012CEC"/>
    <w:rPr>
      <w:rFonts w:ascii="Arial" w:eastAsia="Times New Roman" w:hAnsi="Arial" w:cs="Times New Roman"/>
    </w:rPr>
  </w:style>
  <w:style w:type="paragraph" w:customStyle="1" w:styleId="Default">
    <w:name w:val="Default"/>
    <w:rsid w:val="00012CEC"/>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A46470745</value>
    </field>
    <field name="Objective-Title">
      <value order="0">Attachment 02 - DI2024-x Explanatory Statement to Disallowable Instrument - Marcia Doheny</value>
    </field>
    <field name="Objective-Description">
      <value order="0"/>
    </field>
    <field name="Objective-CreationStamp">
      <value order="0">2024-05-03T08:47:45Z</value>
    </field>
    <field name="Objective-IsApproved">
      <value order="0">false</value>
    </field>
    <field name="Objective-IsPublished">
      <value order="0">false</value>
    </field>
    <field name="Objective-DatePublished">
      <value order="0"/>
    </field>
    <field name="Objective-ModificationStamp">
      <value order="0">2024-05-28T01:15:31Z</value>
    </field>
    <field name="Objective-Owner">
      <value order="0">Fiona Codd</value>
    </field>
    <field name="Objective-Path">
      <value order="0">Whole of ACT Government:EPSDD - Environment Planning and Sustainable Development Directorate:07. Ministerial, Cabinet and Government Relations:05. Cabinet:02. ACTIVE Cabinet Submissions:00. Waiting on Decision - Next Steps (Instruments):24/092 - Cabinet - [OOS 26-28 April 2024] RESTRICTED City Renewal Authority Board Appointments June 2024:Post Cabinet Appointment Instruments and Letters</value>
    </field>
    <field name="Objective-Parent">
      <value order="0">Post Cabinet Appointment Instruments and Letters</value>
    </field>
    <field name="Objective-State">
      <value order="0">Being Edited</value>
    </field>
    <field name="Objective-VersionId">
      <value order="0">vA58740420</value>
    </field>
    <field name="Objective-Version">
      <value order="0">6.1</value>
    </field>
    <field name="Objective-VersionNumber">
      <value order="0">10</value>
    </field>
    <field name="Objective-VersionComment">
      <value order="0"/>
    </field>
    <field name="Objective-FileNumber">
      <value order="0">1-2023/126939</value>
    </field>
    <field name="Objective-Classification">
      <value order="0"/>
    </field>
    <field name="Objective-Caveats">
      <value order="0"/>
    </field>
  </systemFields>
  <catalogues>
    <catalogue name="Document Type Catalogue" type="type" ori="id:cA11">
      <field name="Objective-Owner Agency">
        <value order="0">CRA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921</Words>
  <Characters>4884</Characters>
  <Application>Microsoft Office Word</Application>
  <DocSecurity>0</DocSecurity>
  <Lines>108</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2024-05-28T01:44:00Z</dcterms:created>
  <dcterms:modified xsi:type="dcterms:W3CDTF">2024-05-28T01:44:00Z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A46470745</vt:lpwstr>
  </property>
  <property fmtid="{D5CDD505-2E9C-101B-9397-08002B2CF9AE}" pid="4" name="Objective-Title">
    <vt:lpwstr>Attachment 02 - DI2024-x Explanatory Statement to Disallowable Instrument - Marcia Doheny</vt:lpwstr>
  </property>
  <property fmtid="{D5CDD505-2E9C-101B-9397-08002B2CF9AE}" pid="5" name="Objective-Comment">
    <vt:lpwstr/>
  </property>
  <property fmtid="{D5CDD505-2E9C-101B-9397-08002B2CF9AE}" pid="6" name="Objective-CreationStamp">
    <vt:filetime>2024-05-03T08:47:45Z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2024-05-28T01:15:31Z</vt:filetime>
  </property>
  <property fmtid="{D5CDD505-2E9C-101B-9397-08002B2CF9AE}" pid="11" name="Objective-Owner">
    <vt:lpwstr>Fiona Codd</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 - Next Steps (Instruments):24/092 - Cabinet - [OOS 26-28 April 2024] RESTRICTED City Renewal Authority Board Appointments June 2024:Post Cabinet Appointment Instruments and Letters:</vt:lpwstr>
  </property>
  <property fmtid="{D5CDD505-2E9C-101B-9397-08002B2CF9AE}" pid="13" name="Objective-Parent">
    <vt:lpwstr>Post Cabinet Appointment Instruments and Letters</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1-2023/126939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CRA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vA58740420</vt:lpwstr>
  </property>
  <property fmtid="{D5CDD505-2E9C-101B-9397-08002B2CF9AE}" pid="45" name="MSIP_Label_69af8531-eb46-4968-8cb3-105d2f5ea87e_Enabled">
    <vt:lpwstr>true</vt:lpwstr>
  </property>
  <property fmtid="{D5CDD505-2E9C-101B-9397-08002B2CF9AE}" pid="46" name="MSIP_Label_69af8531-eb46-4968-8cb3-105d2f5ea87e_SetDate">
    <vt:lpwstr>2024-05-06T02:13:51Z</vt:lpwstr>
  </property>
  <property fmtid="{D5CDD505-2E9C-101B-9397-08002B2CF9AE}" pid="47" name="MSIP_Label_69af8531-eb46-4968-8cb3-105d2f5ea87e_Method">
    <vt:lpwstr>Standard</vt:lpwstr>
  </property>
  <property fmtid="{D5CDD505-2E9C-101B-9397-08002B2CF9AE}" pid="48" name="MSIP_Label_69af8531-eb46-4968-8cb3-105d2f5ea87e_Name">
    <vt:lpwstr>Official - No Marking</vt:lpwstr>
  </property>
  <property fmtid="{D5CDD505-2E9C-101B-9397-08002B2CF9AE}" pid="49" name="MSIP_Label_69af8531-eb46-4968-8cb3-105d2f5ea87e_SiteId">
    <vt:lpwstr>b46c1908-0334-4236-b978-585ee88e4199</vt:lpwstr>
  </property>
  <property fmtid="{D5CDD505-2E9C-101B-9397-08002B2CF9AE}" pid="50" name="MSIP_Label_69af8531-eb46-4968-8cb3-105d2f5ea87e_ActionId">
    <vt:lpwstr>2d587641-f4a8-4e28-8635-166604b098b0</vt:lpwstr>
  </property>
  <property fmtid="{D5CDD505-2E9C-101B-9397-08002B2CF9AE}" pid="51" name="MSIP_Label_69af8531-eb46-4968-8cb3-105d2f5ea87e_ContentBits">
    <vt:lpwstr>0</vt:lpwstr>
  </property>
</Properties>
</file>