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F953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97BD7EF" w14:textId="5A390B96" w:rsidR="00C17FAB" w:rsidRPr="00514210" w:rsidRDefault="00D5027A">
      <w:pPr>
        <w:pStyle w:val="Billname"/>
        <w:spacing w:before="700"/>
        <w:rPr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514210">
        <w:t>Denman Prospect</w:t>
      </w:r>
      <w:r>
        <w:t>) Determination</w:t>
      </w:r>
      <w:r w:rsidR="00FD75CE">
        <w:t xml:space="preserve"> </w:t>
      </w:r>
      <w:r w:rsidR="001602BD">
        <w:t>2024</w:t>
      </w:r>
      <w:r w:rsidR="00FD75CE">
        <w:t xml:space="preserve"> (No </w:t>
      </w:r>
      <w:r w:rsidR="00514210">
        <w:t>2</w:t>
      </w:r>
      <w:r w:rsidR="008262B7">
        <w:t>)</w:t>
      </w:r>
    </w:p>
    <w:p w14:paraId="4F17E92E" w14:textId="2FA884C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602BD">
        <w:rPr>
          <w:rFonts w:ascii="Arial" w:hAnsi="Arial" w:cs="Arial"/>
          <w:b/>
          <w:bCs/>
        </w:rPr>
        <w:t>2024</w:t>
      </w:r>
      <w:r w:rsidR="00C17FAB">
        <w:rPr>
          <w:rFonts w:ascii="Arial" w:hAnsi="Arial" w:cs="Arial"/>
          <w:b/>
          <w:bCs/>
        </w:rPr>
        <w:t>–</w:t>
      </w:r>
      <w:r w:rsidR="005A3E1B">
        <w:rPr>
          <w:rFonts w:ascii="Arial" w:hAnsi="Arial" w:cs="Arial"/>
          <w:b/>
          <w:bCs/>
        </w:rPr>
        <w:t>122</w:t>
      </w:r>
    </w:p>
    <w:p w14:paraId="63595F2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76A35186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727B680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352D98B" w14:textId="77777777" w:rsidR="00C17FAB" w:rsidRDefault="00C17FAB">
      <w:pPr>
        <w:pStyle w:val="N-line3"/>
        <w:pBdr>
          <w:bottom w:val="none" w:sz="0" w:space="0" w:color="auto"/>
        </w:pBdr>
      </w:pPr>
    </w:p>
    <w:p w14:paraId="1C706CDC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200CF2B7" w14:textId="77777777" w:rsidR="00D5027A" w:rsidRPr="00D5027A" w:rsidRDefault="00D5027A" w:rsidP="00D5027A"/>
    <w:bookmarkEnd w:id="0"/>
    <w:p w14:paraId="6E100577" w14:textId="77777777" w:rsidR="007436DC" w:rsidRDefault="007436DC" w:rsidP="007436DC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77AE9D83" w14:textId="77777777" w:rsidR="007436DC" w:rsidRDefault="007436DC" w:rsidP="007436DC">
      <w:pPr>
        <w:rPr>
          <w:rFonts w:ascii="Arial" w:hAnsi="Arial" w:cs="Arial"/>
          <w:b/>
        </w:rPr>
      </w:pPr>
    </w:p>
    <w:p w14:paraId="00DDB164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>Background</w:t>
      </w:r>
    </w:p>
    <w:p w14:paraId="53EAF41C" w14:textId="77777777" w:rsidR="007436DC" w:rsidRPr="00052E11" w:rsidRDefault="007436DC" w:rsidP="007436DC">
      <w:r>
        <w:t xml:space="preserve">The </w:t>
      </w:r>
      <w:r w:rsidRPr="00C05D4B">
        <w:rPr>
          <w:i/>
        </w:rPr>
        <w:t>Public Place Names Act 1989</w:t>
      </w:r>
      <w:r>
        <w:t xml:space="preserve"> (the </w:t>
      </w:r>
      <w:r w:rsidRPr="006751D3">
        <w:rPr>
          <w:b/>
          <w:bCs/>
          <w:i/>
        </w:rPr>
        <w:t>Act</w:t>
      </w:r>
      <w:r w:rsidRPr="00BC616B">
        <w:t>)</w:t>
      </w:r>
      <w:r>
        <w:t xml:space="preserve"> sets out the process and criteria for the naming of divisions and public </w:t>
      </w:r>
      <w:r w:rsidRPr="00B86A16">
        <w:t>places</w:t>
      </w:r>
      <w:r>
        <w:t>. Section 2 of the Act defines a “public place” as including “an avenue, road, street, geographical feature or place that the public is entitled to use, and any unleased land”.</w:t>
      </w:r>
    </w:p>
    <w:p w14:paraId="77A3CB82" w14:textId="77777777" w:rsidR="007436DC" w:rsidRDefault="007436DC" w:rsidP="007436DC"/>
    <w:p w14:paraId="61C330C3" w14:textId="77777777" w:rsidR="007436DC" w:rsidRDefault="007436DC" w:rsidP="007436DC">
      <w:r>
        <w:t xml:space="preserve">Section </w:t>
      </w:r>
      <w:r w:rsidRPr="00B86A16">
        <w:t xml:space="preserve">3 </w:t>
      </w:r>
      <w:r>
        <w:t xml:space="preserve">of the Act gives </w:t>
      </w:r>
      <w:r w:rsidRPr="00B86A16">
        <w:t xml:space="preserve">the Minister </w:t>
      </w:r>
      <w:r>
        <w:t>the power to</w:t>
      </w:r>
      <w:r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>
        <w:t>in the ACT Legislation Register.</w:t>
      </w:r>
    </w:p>
    <w:p w14:paraId="18329078" w14:textId="77777777" w:rsidR="007436DC" w:rsidRDefault="007436DC" w:rsidP="007436DC"/>
    <w:p w14:paraId="66DD0716" w14:textId="2B605024" w:rsidR="007436DC" w:rsidRPr="00636EC4" w:rsidRDefault="007436DC" w:rsidP="007436DC">
      <w:pPr>
        <w:rPr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(the</w:t>
      </w:r>
      <w:r w:rsidR="009D4173">
        <w:t> </w:t>
      </w:r>
      <w:r w:rsidRPr="006751D3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8" w:history="1">
        <w:r w:rsidRPr="006F543C">
          <w:rPr>
            <w:rStyle w:val="Hyperlink"/>
            <w:rFonts w:cs="Arial"/>
            <w:szCs w:val="24"/>
          </w:rPr>
          <w:t>www.legislation.act.gov.au/ni/2021-72/</w:t>
        </w:r>
      </w:hyperlink>
      <w:r w:rsidRPr="00636EC4">
        <w:rPr>
          <w:rStyle w:val="Hyperlink"/>
          <w:rFonts w:cs="Arial"/>
          <w:color w:val="auto"/>
          <w:szCs w:val="24"/>
          <w:u w:val="none"/>
        </w:rPr>
        <w:t>.</w:t>
      </w:r>
    </w:p>
    <w:p w14:paraId="4865B95F" w14:textId="77777777" w:rsidR="007436DC" w:rsidRDefault="007436DC" w:rsidP="007436DC"/>
    <w:p w14:paraId="01855E50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>The Determination</w:t>
      </w:r>
    </w:p>
    <w:p w14:paraId="747FCCA5" w14:textId="28EF4EEB" w:rsidR="007436DC" w:rsidRDefault="007436DC" w:rsidP="007436DC">
      <w:r>
        <w:t xml:space="preserve">The </w:t>
      </w:r>
      <w:r w:rsidRPr="00BB744F">
        <w:rPr>
          <w:i/>
        </w:rPr>
        <w:t>Public Place Names (</w:t>
      </w:r>
      <w:r w:rsidR="00514210">
        <w:rPr>
          <w:i/>
        </w:rPr>
        <w:t>Denman Prospect)</w:t>
      </w:r>
      <w:r w:rsidRPr="00BB744F">
        <w:rPr>
          <w:i/>
        </w:rPr>
        <w:t xml:space="preserve"> Determination </w:t>
      </w:r>
      <w:r>
        <w:rPr>
          <w:i/>
        </w:rPr>
        <w:t xml:space="preserve">2024 </w:t>
      </w:r>
      <w:r w:rsidR="00514210">
        <w:rPr>
          <w:i/>
        </w:rPr>
        <w:t xml:space="preserve">(No 2) </w:t>
      </w:r>
      <w:r>
        <w:t>(the</w:t>
      </w:r>
      <w:r w:rsidR="009D4173">
        <w:t> </w:t>
      </w:r>
      <w:r w:rsidRPr="0086694D">
        <w:rPr>
          <w:b/>
          <w:bCs/>
          <w:i/>
          <w:iCs/>
        </w:rPr>
        <w:t>determination</w:t>
      </w:r>
      <w:r>
        <w:t xml:space="preserve">) determines the names of </w:t>
      </w:r>
      <w:r w:rsidR="00514210">
        <w:t xml:space="preserve">four roads for </w:t>
      </w:r>
      <w:r>
        <w:t xml:space="preserve">the public places indicated in the diagram in the schedule to the determination. </w:t>
      </w:r>
    </w:p>
    <w:p w14:paraId="65DACEE0" w14:textId="77777777" w:rsidR="007436DC" w:rsidRDefault="007436DC" w:rsidP="007436DC"/>
    <w:p w14:paraId="0A7F1879" w14:textId="404D3C9B" w:rsidR="008262B7" w:rsidRPr="00B50200" w:rsidRDefault="007436DC" w:rsidP="008262B7">
      <w:pPr>
        <w:rPr>
          <w:sz w:val="20"/>
        </w:rPr>
      </w:pPr>
      <w:r>
        <w:t xml:space="preserve">The names are consistent with the </w:t>
      </w:r>
      <w:r w:rsidRPr="00FC0568">
        <w:t xml:space="preserve">theme for </w:t>
      </w:r>
      <w:r w:rsidR="008262B7">
        <w:t>Denman Prospect</w:t>
      </w:r>
      <w:r>
        <w:t xml:space="preserve"> which is ‘</w:t>
      </w:r>
      <w:r w:rsidR="008262B7">
        <w:t>activism and reform</w:t>
      </w:r>
      <w:r>
        <w:t xml:space="preserve">’. </w:t>
      </w:r>
      <w:r w:rsidR="008262B7">
        <w:t xml:space="preserve">The purpose of this determination is to commemorate the names of three people </w:t>
      </w:r>
      <w:r w:rsidR="00627E91">
        <w:t xml:space="preserve">for their contribution to </w:t>
      </w:r>
      <w:r w:rsidR="00F54E35">
        <w:t xml:space="preserve">social justice in Australia. </w:t>
      </w:r>
      <w:r w:rsidR="0035026D">
        <w:t>A fourth name</w:t>
      </w:r>
      <w:r w:rsidR="00627E91">
        <w:rPr>
          <w:szCs w:val="24"/>
        </w:rPr>
        <w:t xml:space="preserve"> commemorates the symbolism of </w:t>
      </w:r>
      <w:r w:rsidR="0035026D">
        <w:rPr>
          <w:szCs w:val="24"/>
        </w:rPr>
        <w:t>the</w:t>
      </w:r>
      <w:r w:rsidR="00627E91">
        <w:rPr>
          <w:szCs w:val="24"/>
        </w:rPr>
        <w:t xml:space="preserve"> red ribbon. </w:t>
      </w:r>
    </w:p>
    <w:p w14:paraId="1627F888" w14:textId="48DAA26A" w:rsidR="007436DC" w:rsidRDefault="007436DC" w:rsidP="007436DC"/>
    <w:p w14:paraId="06D1149D" w14:textId="01A89A72" w:rsidR="008262B7" w:rsidRPr="005C6CCD" w:rsidRDefault="008262B7" w:rsidP="008262B7">
      <w:pPr>
        <w:pStyle w:val="Default"/>
      </w:pPr>
      <w:r w:rsidRPr="006751D3">
        <w:t xml:space="preserve">This determination is consistent with </w:t>
      </w:r>
      <w:r w:rsidRPr="00393620">
        <w:t xml:space="preserve">section 4 (2) </w:t>
      </w:r>
      <w:r>
        <w:t>(a)</w:t>
      </w:r>
      <w:r w:rsidRPr="00393620">
        <w:t xml:space="preserve"> of the Act </w:t>
      </w:r>
      <w:r w:rsidRPr="006751D3">
        <w:t>and the requirement of the Minister (or delegate) to have regard</w:t>
      </w:r>
      <w:r>
        <w:t xml:space="preserve"> to the names of persons famous in Australian exploration, navigation, pioneering, reconciliation, administration, politics, </w:t>
      </w:r>
      <w:r>
        <w:lastRenderedPageBreak/>
        <w:t xml:space="preserve">education, science or letters, and section 4 (2) (b), persons who have </w:t>
      </w:r>
      <w:r w:rsidRPr="005C6CCD">
        <w:rPr>
          <w:color w:val="000000" w:themeColor="text1"/>
        </w:rPr>
        <w:t>made notable contributions to the existence of Australia as a nation</w:t>
      </w:r>
      <w:r w:rsidR="00F54E35">
        <w:rPr>
          <w:color w:val="000000" w:themeColor="text1"/>
        </w:rPr>
        <w:t xml:space="preserve"> and 4 (2) (d), </w:t>
      </w:r>
      <w:r w:rsidR="00F54E35" w:rsidRPr="00F54E35">
        <w:t>the names of things characteristic of Australia or Australians</w:t>
      </w:r>
      <w:r w:rsidRPr="005C6CCD">
        <w:rPr>
          <w:color w:val="000000" w:themeColor="text1"/>
        </w:rPr>
        <w:t>.</w:t>
      </w:r>
      <w:r w:rsidR="007D7EB7" w:rsidRPr="00F54E35">
        <w:rPr>
          <w:color w:val="auto"/>
        </w:rPr>
        <w:t xml:space="preserve"> </w:t>
      </w:r>
      <w:r w:rsidRPr="006751D3">
        <w:t>This determination is also consistent with the guidelines.</w:t>
      </w:r>
    </w:p>
    <w:p w14:paraId="1C3CAA57" w14:textId="77777777" w:rsidR="007436DC" w:rsidRDefault="007436DC" w:rsidP="007436DC"/>
    <w:p w14:paraId="5E5F9628" w14:textId="77777777" w:rsidR="007436DC" w:rsidRPr="00D15725" w:rsidRDefault="007436DC" w:rsidP="007436DC">
      <w:r w:rsidRPr="00B32837">
        <w:rPr>
          <w:u w:val="single"/>
        </w:rPr>
        <w:t>Consultation</w:t>
      </w:r>
      <w:r>
        <w:rPr>
          <w:u w:val="single"/>
        </w:rPr>
        <w:t xml:space="preserve"> </w:t>
      </w:r>
    </w:p>
    <w:p w14:paraId="785A4EC2" w14:textId="10820794" w:rsidR="007436DC" w:rsidRPr="00514210" w:rsidRDefault="007436DC" w:rsidP="007436DC">
      <w:r w:rsidRPr="00B32837">
        <w:t>If a public place is proposed to be named after a particular person</w:t>
      </w:r>
      <w:r w:rsidR="00627E91">
        <w:t>,</w:t>
      </w:r>
      <w:r w:rsidRPr="00B32837">
        <w:t xml:space="preserve"> reasonable steps</w:t>
      </w:r>
      <w:r>
        <w:t xml:space="preserve"> should be </w:t>
      </w:r>
      <w:r w:rsidRPr="00B32837">
        <w:t xml:space="preserve">taken to obtain prior permission from the person’s relatives, </w:t>
      </w:r>
      <w:r>
        <w:t>associates, an appropriate cultural group,</w:t>
      </w:r>
      <w:r w:rsidRPr="00B32837">
        <w:t xml:space="preserve"> or a relevant professional organisation</w:t>
      </w:r>
      <w:r>
        <w:t xml:space="preserve">, under </w:t>
      </w:r>
      <w:r w:rsidRPr="006751D3">
        <w:t>clause 8</w:t>
      </w:r>
      <w:r>
        <w:t xml:space="preserve"> of the guidelines. </w:t>
      </w:r>
      <w:r w:rsidRPr="00342F4E">
        <w:t xml:space="preserve">Consultation was undertaken in this instance in accordance with the guidelines. </w:t>
      </w:r>
    </w:p>
    <w:p w14:paraId="14107279" w14:textId="3B8C6F93" w:rsidR="007436DC" w:rsidRPr="00342F4E" w:rsidRDefault="007436DC" w:rsidP="007436DC"/>
    <w:p w14:paraId="7B729D76" w14:textId="77777777" w:rsidR="007436DC" w:rsidRDefault="007436DC" w:rsidP="007436DC">
      <w:pPr>
        <w:rPr>
          <w:u w:val="single"/>
        </w:rPr>
      </w:pPr>
      <w:r>
        <w:rPr>
          <w:u w:val="single"/>
        </w:rPr>
        <w:t>Gender representation</w:t>
      </w:r>
    </w:p>
    <w:p w14:paraId="2D6686B5" w14:textId="75957478" w:rsidR="007436DC" w:rsidRDefault="007436DC" w:rsidP="007436DC">
      <w:pPr>
        <w:rPr>
          <w:iCs/>
          <w:color w:val="000000" w:themeColor="text1"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Pr="005C6CCD">
        <w:rPr>
          <w:iCs/>
          <w:color w:val="000000" w:themeColor="text1"/>
        </w:rPr>
        <w:t xml:space="preserve">This instrument commemorates the names of </w:t>
      </w:r>
      <w:r w:rsidR="008262B7">
        <w:rPr>
          <w:iCs/>
          <w:color w:val="000000" w:themeColor="text1"/>
        </w:rPr>
        <w:t>two</w:t>
      </w:r>
      <w:r w:rsidRPr="005C6CCD">
        <w:rPr>
          <w:iCs/>
          <w:color w:val="000000" w:themeColor="text1"/>
        </w:rPr>
        <w:t xml:space="preserve"> women and </w:t>
      </w:r>
      <w:r w:rsidR="008262B7">
        <w:rPr>
          <w:iCs/>
          <w:color w:val="000000" w:themeColor="text1"/>
        </w:rPr>
        <w:t>one</w:t>
      </w:r>
      <w:r w:rsidRPr="005C6CCD">
        <w:rPr>
          <w:iCs/>
          <w:color w:val="000000" w:themeColor="text1"/>
        </w:rPr>
        <w:t xml:space="preserve"> m</w:t>
      </w:r>
      <w:r w:rsidR="008262B7">
        <w:rPr>
          <w:iCs/>
          <w:color w:val="000000" w:themeColor="text1"/>
        </w:rPr>
        <w:t>a</w:t>
      </w:r>
      <w:r w:rsidRPr="005C6CCD">
        <w:rPr>
          <w:iCs/>
          <w:color w:val="000000" w:themeColor="text1"/>
        </w:rPr>
        <w:t>n</w:t>
      </w:r>
      <w:r>
        <w:rPr>
          <w:iCs/>
          <w:color w:val="000000" w:themeColor="text1"/>
        </w:rPr>
        <w:t>.</w:t>
      </w:r>
    </w:p>
    <w:p w14:paraId="654B7AE0" w14:textId="77777777" w:rsidR="007436DC" w:rsidRPr="0066502B" w:rsidRDefault="007436DC" w:rsidP="007436DC"/>
    <w:p w14:paraId="514A90D0" w14:textId="77777777" w:rsidR="007436DC" w:rsidRPr="00D846CE" w:rsidRDefault="007436DC" w:rsidP="007436DC">
      <w:pPr>
        <w:keepNext/>
        <w:rPr>
          <w:b/>
          <w:bCs/>
          <w:i/>
          <w:iCs/>
        </w:rPr>
      </w:pPr>
      <w:r w:rsidRPr="008E335B">
        <w:rPr>
          <w:u w:val="single"/>
        </w:rPr>
        <w:t xml:space="preserve">Regulatory Impact Statement </w:t>
      </w:r>
      <w:r w:rsidRPr="00D846CE">
        <w:rPr>
          <w:b/>
          <w:bCs/>
          <w:i/>
          <w:iCs/>
          <w:u w:val="single"/>
        </w:rPr>
        <w:t>(RIS)</w:t>
      </w:r>
    </w:p>
    <w:p w14:paraId="34A26B35" w14:textId="77777777" w:rsidR="007436DC" w:rsidRDefault="007436DC" w:rsidP="007436DC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6751D3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(section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(section 36 (1) (b) of the Legislation Act)</w:t>
      </w:r>
      <w:r w:rsidRPr="005A4979">
        <w:t>.</w:t>
      </w:r>
      <w:r>
        <w:t xml:space="preserve"> </w:t>
      </w:r>
    </w:p>
    <w:p w14:paraId="55F79C74" w14:textId="77777777" w:rsidR="007436DC" w:rsidRPr="0066502B" w:rsidRDefault="007436DC" w:rsidP="007436DC">
      <w:pPr>
        <w:rPr>
          <w:u w:val="single"/>
        </w:rPr>
      </w:pPr>
    </w:p>
    <w:p w14:paraId="173A03EE" w14:textId="77777777" w:rsidR="007436DC" w:rsidRPr="00323857" w:rsidRDefault="007436DC" w:rsidP="007436DC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27B5899E" w14:textId="77777777" w:rsidR="007436DC" w:rsidRDefault="007436DC" w:rsidP="007436DC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7A6D492A" w14:textId="77777777" w:rsidR="007436DC" w:rsidRPr="00D86C8F" w:rsidRDefault="007436DC" w:rsidP="007436DC">
      <w:r w:rsidRPr="00D86C8F">
        <w:t>Conceivably,</w:t>
      </w:r>
      <w:r>
        <w:t xml:space="preserve"> the naming of a place has the potential to infringe the right to privacy and reputation of a person after whom a place is named. </w:t>
      </w:r>
      <w:r w:rsidRPr="00D86C8F">
        <w:t>In this case</w:t>
      </w:r>
      <w:r>
        <w:t xml:space="preserve"> the process through which places are named ensures that this right is not infringed and that only appropriate information is included in a determination. This process includes the consultation described above. </w:t>
      </w:r>
      <w:r w:rsidRPr="00D86C8F">
        <w:t xml:space="preserve">Additionally, in relation to places named after people, only the names of deceased persons are </w:t>
      </w:r>
      <w:r>
        <w:t>determined</w:t>
      </w:r>
      <w:r w:rsidRPr="00D86C8F">
        <w:t>.</w:t>
      </w:r>
    </w:p>
    <w:p w14:paraId="4D9CB722" w14:textId="77777777" w:rsidR="007436DC" w:rsidRPr="00F07B24" w:rsidRDefault="007436DC" w:rsidP="007436DC"/>
    <w:p w14:paraId="102A7C54" w14:textId="77777777" w:rsidR="007436DC" w:rsidRPr="00FC0568" w:rsidRDefault="007436DC" w:rsidP="007436DC">
      <w:pPr>
        <w:rPr>
          <w:u w:val="single"/>
        </w:rPr>
      </w:pPr>
      <w:r w:rsidRPr="00FC0568">
        <w:rPr>
          <w:u w:val="single"/>
        </w:rPr>
        <w:t>Delegation</w:t>
      </w:r>
    </w:p>
    <w:p w14:paraId="099C8EC9" w14:textId="25D17EE2" w:rsidR="007436DC" w:rsidRPr="00514210" w:rsidRDefault="007436DC" w:rsidP="007436DC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</w:t>
      </w:r>
      <w:r>
        <w:rPr>
          <w:i/>
        </w:rPr>
        <w:t>23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</w:t>
      </w:r>
      <w:r>
        <w:t>23-720</w:t>
      </w:r>
      <w:r w:rsidRPr="00B86A16">
        <w:t>.</w:t>
      </w:r>
    </w:p>
    <w:p w14:paraId="49E00343" w14:textId="77777777" w:rsidR="007436DC" w:rsidRDefault="007436DC" w:rsidP="007436DC"/>
    <w:p w14:paraId="31E9EE84" w14:textId="77777777" w:rsidR="007436DC" w:rsidRPr="006149F3" w:rsidRDefault="007436DC" w:rsidP="007436DC">
      <w:pPr>
        <w:rPr>
          <w:u w:val="single"/>
        </w:rPr>
      </w:pPr>
      <w:r w:rsidRPr="006149F3">
        <w:rPr>
          <w:u w:val="single"/>
        </w:rPr>
        <w:t xml:space="preserve">Status of </w:t>
      </w:r>
      <w:r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76701B3C" w14:textId="27E55EB7" w:rsidR="007436DC" w:rsidRPr="00F969AA" w:rsidRDefault="007436DC" w:rsidP="007436DC">
      <w:r w:rsidRPr="008E335B">
        <w:rPr>
          <w:rFonts w:cs="Times-Roman"/>
          <w:lang w:eastAsia="en-AU"/>
        </w:rPr>
        <w:t xml:space="preserve">This explanatory statement relates to the </w:t>
      </w:r>
      <w:r w:rsidRPr="00BB744F">
        <w:rPr>
          <w:i/>
        </w:rPr>
        <w:t>Public Place Names (</w:t>
      </w:r>
      <w:r w:rsidR="00514210">
        <w:rPr>
          <w:i/>
        </w:rPr>
        <w:t>Denman Prospect</w:t>
      </w:r>
      <w:r w:rsidRPr="00BB744F">
        <w:rPr>
          <w:i/>
        </w:rPr>
        <w:t xml:space="preserve">) Determination </w:t>
      </w:r>
      <w:r>
        <w:rPr>
          <w:i/>
        </w:rPr>
        <w:t>2024</w:t>
      </w:r>
      <w:r w:rsidR="00514210">
        <w:rPr>
          <w:i/>
        </w:rPr>
        <w:t xml:space="preserve"> (No 2)</w:t>
      </w:r>
      <w:r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 ACT Legislative Assembly</w:t>
      </w:r>
      <w:r>
        <w:rPr>
          <w:rFonts w:cs="Times-Roman"/>
          <w:lang w:eastAsia="en-AU"/>
        </w:rPr>
        <w:t xml:space="preserve"> (the </w:t>
      </w:r>
      <w:r w:rsidRPr="006751D3">
        <w:rPr>
          <w:rFonts w:cs="Times-Roman"/>
          <w:b/>
          <w:bCs/>
          <w:i/>
          <w:iCs/>
          <w:lang w:eastAsia="en-AU"/>
        </w:rPr>
        <w:t>Assembly</w:t>
      </w:r>
      <w:r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>. It has been prepared in order to assist the reader of the disallowable instrument. It does not form part of the disallowable instrument and has not been endorsed by the Assembly.</w:t>
      </w:r>
    </w:p>
    <w:p w14:paraId="1D84213C" w14:textId="77777777" w:rsidR="007436DC" w:rsidRPr="00BB744F" w:rsidRDefault="007436DC" w:rsidP="007436DC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lastRenderedPageBreak/>
        <w:t>Clause Notes</w:t>
      </w:r>
    </w:p>
    <w:p w14:paraId="70FBB3E4" w14:textId="77777777" w:rsidR="007436DC" w:rsidRDefault="007436DC" w:rsidP="007436DC"/>
    <w:p w14:paraId="03311B68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 xml:space="preserve">Clause 1 – Name of </w:t>
      </w:r>
      <w:r>
        <w:rPr>
          <w:b/>
          <w:i/>
        </w:rPr>
        <w:t>i</w:t>
      </w:r>
      <w:r w:rsidRPr="00BB744F">
        <w:rPr>
          <w:b/>
          <w:i/>
        </w:rPr>
        <w:t>nstrument</w:t>
      </w:r>
    </w:p>
    <w:p w14:paraId="0DF515B6" w14:textId="77777777" w:rsidR="007436DC" w:rsidRDefault="007436DC" w:rsidP="007436DC">
      <w:r>
        <w:t>This clause names the instrument.</w:t>
      </w:r>
    </w:p>
    <w:p w14:paraId="0E4EB20D" w14:textId="77777777" w:rsidR="007436DC" w:rsidRDefault="007436DC" w:rsidP="007436DC"/>
    <w:p w14:paraId="7C115969" w14:textId="77777777" w:rsidR="007436DC" w:rsidRPr="00BB744F" w:rsidRDefault="007436DC" w:rsidP="007436DC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40A0164B" w14:textId="77777777" w:rsidR="007436DC" w:rsidRDefault="007436DC" w:rsidP="007436DC">
      <w:r>
        <w:t>This clause provides for the commencement of the instrument.</w:t>
      </w:r>
    </w:p>
    <w:p w14:paraId="58840C8B" w14:textId="77777777" w:rsidR="007436DC" w:rsidRDefault="007436DC" w:rsidP="007436DC"/>
    <w:p w14:paraId="5CE20D68" w14:textId="7A0AA9A4" w:rsidR="007436DC" w:rsidRPr="00A33A1A" w:rsidRDefault="007436DC" w:rsidP="007436DC">
      <w:pPr>
        <w:rPr>
          <w:b/>
          <w:i/>
        </w:rPr>
      </w:pPr>
      <w:r w:rsidRPr="00BB744F">
        <w:rPr>
          <w:b/>
          <w:i/>
        </w:rPr>
        <w:t xml:space="preserve">Clause 3 – Determination of </w:t>
      </w:r>
      <w:r w:rsidR="008262B7">
        <w:rPr>
          <w:b/>
          <w:i/>
        </w:rPr>
        <w:t>p</w:t>
      </w:r>
      <w:r w:rsidRPr="00BB744F">
        <w:rPr>
          <w:b/>
          <w:i/>
        </w:rPr>
        <w:t xml:space="preserve">lace </w:t>
      </w:r>
      <w:r w:rsidR="008262B7">
        <w:rPr>
          <w:b/>
          <w:i/>
        </w:rPr>
        <w:t>n</w:t>
      </w:r>
      <w:r w:rsidRPr="00BB744F">
        <w:rPr>
          <w:b/>
          <w:i/>
        </w:rPr>
        <w:t>ames</w:t>
      </w:r>
    </w:p>
    <w:p w14:paraId="6729319C" w14:textId="77777777" w:rsidR="007436DC" w:rsidRDefault="007436DC" w:rsidP="007436DC">
      <w:r>
        <w:t>This clause determines the names of public places as specified in the schedule.</w:t>
      </w:r>
    </w:p>
    <w:sectPr w:rsidR="007436DC" w:rsidSect="00047EC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05D8E" w14:textId="77777777" w:rsidR="00047ECA" w:rsidRDefault="00047ECA" w:rsidP="00C17FAB">
      <w:r>
        <w:separator/>
      </w:r>
    </w:p>
  </w:endnote>
  <w:endnote w:type="continuationSeparator" w:id="0">
    <w:p w14:paraId="045AE722" w14:textId="77777777" w:rsidR="00047ECA" w:rsidRDefault="00047EC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B5BD7" w14:textId="77777777" w:rsidR="00EF278A" w:rsidRDefault="00EF27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6C346" w14:textId="1B3EA353" w:rsidR="00B31356" w:rsidRDefault="00B31356">
    <w:pPr>
      <w:pStyle w:val="Footer"/>
      <w:jc w:val="center"/>
    </w:pPr>
  </w:p>
  <w:p w14:paraId="4E1E18B0" w14:textId="3E7F5682" w:rsidR="00B31356" w:rsidRPr="00EF278A" w:rsidRDefault="00EF278A" w:rsidP="00EF278A">
    <w:pPr>
      <w:pStyle w:val="Footer"/>
      <w:jc w:val="center"/>
      <w:rPr>
        <w:rFonts w:cs="Arial"/>
        <w:sz w:val="14"/>
      </w:rPr>
    </w:pPr>
    <w:r w:rsidRPr="00EF27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13A1E" w14:textId="77777777" w:rsidR="00EF278A" w:rsidRDefault="00EF27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C08B4" w14:textId="77777777" w:rsidR="00047ECA" w:rsidRDefault="00047ECA" w:rsidP="00C17FAB">
      <w:r>
        <w:separator/>
      </w:r>
    </w:p>
  </w:footnote>
  <w:footnote w:type="continuationSeparator" w:id="0">
    <w:p w14:paraId="0C9C8262" w14:textId="77777777" w:rsidR="00047ECA" w:rsidRDefault="00047EC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BF36D" w14:textId="77777777" w:rsidR="00EF278A" w:rsidRDefault="00EF27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4A9F7" w14:textId="77777777" w:rsidR="00EF278A" w:rsidRDefault="00EF27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2F0BB" w14:textId="77777777" w:rsidR="00EF278A" w:rsidRDefault="00EF27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3506153">
    <w:abstractNumId w:val="2"/>
  </w:num>
  <w:num w:numId="2" w16cid:durableId="1264680710">
    <w:abstractNumId w:val="0"/>
  </w:num>
  <w:num w:numId="3" w16cid:durableId="1985044582">
    <w:abstractNumId w:val="3"/>
  </w:num>
  <w:num w:numId="4" w16cid:durableId="737437023">
    <w:abstractNumId w:val="6"/>
  </w:num>
  <w:num w:numId="5" w16cid:durableId="265038775">
    <w:abstractNumId w:val="7"/>
  </w:num>
  <w:num w:numId="6" w16cid:durableId="1476532535">
    <w:abstractNumId w:val="1"/>
  </w:num>
  <w:num w:numId="7" w16cid:durableId="996416526">
    <w:abstractNumId w:val="4"/>
  </w:num>
  <w:num w:numId="8" w16cid:durableId="1534348782">
    <w:abstractNumId w:val="5"/>
  </w:num>
  <w:num w:numId="9" w16cid:durableId="3176100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072AA"/>
    <w:rsid w:val="00047ECA"/>
    <w:rsid w:val="00052E11"/>
    <w:rsid w:val="000531BA"/>
    <w:rsid w:val="00062001"/>
    <w:rsid w:val="00070613"/>
    <w:rsid w:val="00082DFD"/>
    <w:rsid w:val="00143042"/>
    <w:rsid w:val="001602BD"/>
    <w:rsid w:val="00170FCE"/>
    <w:rsid w:val="00177B91"/>
    <w:rsid w:val="001B7F63"/>
    <w:rsid w:val="001D4CA4"/>
    <w:rsid w:val="001F1B3C"/>
    <w:rsid w:val="00222B1F"/>
    <w:rsid w:val="00241E75"/>
    <w:rsid w:val="00254F73"/>
    <w:rsid w:val="0026084F"/>
    <w:rsid w:val="0028556B"/>
    <w:rsid w:val="00291E2D"/>
    <w:rsid w:val="0029354E"/>
    <w:rsid w:val="002B77E6"/>
    <w:rsid w:val="002D7C60"/>
    <w:rsid w:val="00311AF0"/>
    <w:rsid w:val="0033350C"/>
    <w:rsid w:val="0035026D"/>
    <w:rsid w:val="00354741"/>
    <w:rsid w:val="00364EA3"/>
    <w:rsid w:val="00412D82"/>
    <w:rsid w:val="004216E5"/>
    <w:rsid w:val="00440A51"/>
    <w:rsid w:val="00471512"/>
    <w:rsid w:val="004B5984"/>
    <w:rsid w:val="004C47D5"/>
    <w:rsid w:val="004D45C6"/>
    <w:rsid w:val="004D55CA"/>
    <w:rsid w:val="00503F3C"/>
    <w:rsid w:val="00514210"/>
    <w:rsid w:val="00515C02"/>
    <w:rsid w:val="005411DB"/>
    <w:rsid w:val="005501B0"/>
    <w:rsid w:val="00562673"/>
    <w:rsid w:val="005A3E1B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27E91"/>
    <w:rsid w:val="0063579E"/>
    <w:rsid w:val="00637464"/>
    <w:rsid w:val="006415CE"/>
    <w:rsid w:val="00644031"/>
    <w:rsid w:val="006473AF"/>
    <w:rsid w:val="00650D19"/>
    <w:rsid w:val="00664DB8"/>
    <w:rsid w:val="00664FB5"/>
    <w:rsid w:val="006A0758"/>
    <w:rsid w:val="006B5E26"/>
    <w:rsid w:val="006B6949"/>
    <w:rsid w:val="006E6989"/>
    <w:rsid w:val="00725340"/>
    <w:rsid w:val="00732D38"/>
    <w:rsid w:val="007346AC"/>
    <w:rsid w:val="00735204"/>
    <w:rsid w:val="007436DC"/>
    <w:rsid w:val="0074623E"/>
    <w:rsid w:val="00762EC8"/>
    <w:rsid w:val="0076712B"/>
    <w:rsid w:val="007711DB"/>
    <w:rsid w:val="00774C20"/>
    <w:rsid w:val="007805A5"/>
    <w:rsid w:val="00787F14"/>
    <w:rsid w:val="007979D3"/>
    <w:rsid w:val="007A1613"/>
    <w:rsid w:val="007D7AB1"/>
    <w:rsid w:val="007D7EB7"/>
    <w:rsid w:val="00814559"/>
    <w:rsid w:val="008227D2"/>
    <w:rsid w:val="008262B7"/>
    <w:rsid w:val="00835042"/>
    <w:rsid w:val="00845FDB"/>
    <w:rsid w:val="00876C92"/>
    <w:rsid w:val="0088618D"/>
    <w:rsid w:val="00891926"/>
    <w:rsid w:val="008B66BC"/>
    <w:rsid w:val="008C523C"/>
    <w:rsid w:val="008E335B"/>
    <w:rsid w:val="00960893"/>
    <w:rsid w:val="00975BBF"/>
    <w:rsid w:val="0098742E"/>
    <w:rsid w:val="009B1BB3"/>
    <w:rsid w:val="009B5F88"/>
    <w:rsid w:val="009D4173"/>
    <w:rsid w:val="009E302A"/>
    <w:rsid w:val="00A14446"/>
    <w:rsid w:val="00A26CEB"/>
    <w:rsid w:val="00A749F0"/>
    <w:rsid w:val="00A81FB9"/>
    <w:rsid w:val="00A9090C"/>
    <w:rsid w:val="00AD7166"/>
    <w:rsid w:val="00B0135D"/>
    <w:rsid w:val="00B01433"/>
    <w:rsid w:val="00B31356"/>
    <w:rsid w:val="00B32837"/>
    <w:rsid w:val="00B65A5A"/>
    <w:rsid w:val="00B83C2F"/>
    <w:rsid w:val="00B907FE"/>
    <w:rsid w:val="00B968D2"/>
    <w:rsid w:val="00BA5975"/>
    <w:rsid w:val="00BB744F"/>
    <w:rsid w:val="00BF0BE1"/>
    <w:rsid w:val="00C00700"/>
    <w:rsid w:val="00C17FAB"/>
    <w:rsid w:val="00C233D3"/>
    <w:rsid w:val="00C24469"/>
    <w:rsid w:val="00C27619"/>
    <w:rsid w:val="00C44886"/>
    <w:rsid w:val="00C539AC"/>
    <w:rsid w:val="00C6303E"/>
    <w:rsid w:val="00C74081"/>
    <w:rsid w:val="00C7575E"/>
    <w:rsid w:val="00CC56FA"/>
    <w:rsid w:val="00CC7D1B"/>
    <w:rsid w:val="00CE261C"/>
    <w:rsid w:val="00CE599C"/>
    <w:rsid w:val="00D0094D"/>
    <w:rsid w:val="00D1070F"/>
    <w:rsid w:val="00D10A4C"/>
    <w:rsid w:val="00D41A89"/>
    <w:rsid w:val="00D5027A"/>
    <w:rsid w:val="00D52A5D"/>
    <w:rsid w:val="00D5735B"/>
    <w:rsid w:val="00D82060"/>
    <w:rsid w:val="00D86C8F"/>
    <w:rsid w:val="00DA3B00"/>
    <w:rsid w:val="00DB5F86"/>
    <w:rsid w:val="00DD37D7"/>
    <w:rsid w:val="00DE2CDE"/>
    <w:rsid w:val="00DF60B5"/>
    <w:rsid w:val="00DF6BA7"/>
    <w:rsid w:val="00E171C6"/>
    <w:rsid w:val="00E919C0"/>
    <w:rsid w:val="00E9262C"/>
    <w:rsid w:val="00EA4A93"/>
    <w:rsid w:val="00EC3D6E"/>
    <w:rsid w:val="00ED247C"/>
    <w:rsid w:val="00ED34FF"/>
    <w:rsid w:val="00ED7CCA"/>
    <w:rsid w:val="00EE5A16"/>
    <w:rsid w:val="00EF278A"/>
    <w:rsid w:val="00F07B24"/>
    <w:rsid w:val="00F54E35"/>
    <w:rsid w:val="00F76DC2"/>
    <w:rsid w:val="00F87706"/>
    <w:rsid w:val="00F9385C"/>
    <w:rsid w:val="00FC0568"/>
    <w:rsid w:val="00FD75CE"/>
    <w:rsid w:val="00FE2839"/>
    <w:rsid w:val="00FF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373CD7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paragraph" w:customStyle="1" w:styleId="Default">
    <w:name w:val="Default"/>
    <w:rsid w:val="007436D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B0135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1-7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A45308707</value>
    </field>
    <field name="Objective-Title">
      <value order="0">20240516 - Public Place Names (Denman Prospect) Explanatory Statement 2024</value>
    </field>
    <field name="Objective-Description">
      <value order="0"/>
    </field>
    <field name="Objective-CreationStamp">
      <value order="0">2024-01-18T06:49:48Z</value>
    </field>
    <field name="Objective-IsApproved">
      <value order="0">false</value>
    </field>
    <field name="Objective-IsPublished">
      <value order="0">true</value>
    </field>
    <field name="Objective-DatePublished">
      <value order="0">2024-06-10T23:39:25Z</value>
    </field>
    <field name="Objective-ModificationStamp">
      <value order="0">2024-06-10T23:39:25Z</value>
    </field>
    <field name="Objective-Owner">
      <value order="0">Sharon Priestly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Regulator:2012 - 2023 Director General Briefs and Correspondence:2015 - Director-General Correspondence:Office of the Surveyor-General:Public Place Names Briefs:24/06832 Public Place Names (Denman Prospect) Determination 2024 (No 2) - 4 roads</value>
    </field>
    <field name="Objective-Parent">
      <value order="0">24/06832 Public Place Names (Denman Prospect) Determination 2024 (No 2) - 4 roads</value>
    </field>
    <field name="Objective-State">
      <value order="0">Published</value>
    </field>
    <field name="Objective-VersionId">
      <value order="0">vA58976893</value>
    </field>
    <field name="Objective-Version">
      <value order="0">10.0</value>
    </field>
    <field name="Objective-VersionNumber">
      <value order="0">11</value>
    </field>
    <field name="Objective-VersionComment">
      <value order="0"/>
    </field>
    <field name="Objective-FileNumber">
      <value order="0">1-2024/06832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816</Words>
  <Characters>4364</Characters>
  <Application>Microsoft Office Word</Application>
  <DocSecurity>0</DocSecurity>
  <Lines>101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2024-06-10T23:42:00Z</dcterms:created>
  <dcterms:modified xsi:type="dcterms:W3CDTF">2024-06-10T23:42:00Z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A45308707</vt:lpwstr>
  </property>
  <property fmtid="{D5CDD505-2E9C-101B-9397-08002B2CF9AE}" pid="4" name="Objective-Title">
    <vt:lpwstr>20240516 - Public Place Names (Denman Prospect) Explanatory Statement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2024-01-18T06:49:48Z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2024-06-10T23:39:25Z</vt:filetime>
  </property>
  <property fmtid="{D5CDD505-2E9C-101B-9397-08002B2CF9AE}" pid="10" name="Objective-ModificationStamp">
    <vt:filetime>2024-06-10T23:39:25Z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Regulator:2012 - 2023 Director General Briefs and Correspondence:2015 - Director-General Correspondence:Office of the Surveyor-General:Public Place Names Briefs:24/06832 Public Place Names (Denman Prospect) Determination 2024 (No 2) - 4 roads:</vt:lpwstr>
  </property>
  <property fmtid="{D5CDD505-2E9C-101B-9397-08002B2CF9AE}" pid="13" name="Objective-Parent">
    <vt:lpwstr>24/06832 Public Place Names (Denman Prospect) Determination 2024 (No 2) - 4 roads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1-2024/06832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vA58976893</vt:lpwstr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2024-04-26T05:14:09Z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1f908a5b-75ad-4de3-91ba-0b8bf52c7aec</vt:lpwstr>
  </property>
  <property fmtid="{D5CDD505-2E9C-101B-9397-08002B2CF9AE}" pid="51" name="MSIP_Label_69af8531-eb46-4968-8cb3-105d2f5ea87e_ContentBits">
    <vt:lpwstr>0</vt:lpwstr>
  </property>
</Properties>
</file>