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3A462" w14:textId="77777777" w:rsidR="001A739B" w:rsidRDefault="001A739B" w:rsidP="001A739B">
      <w:pPr>
        <w:spacing w:before="120"/>
        <w:rPr>
          <w:rFonts w:ascii="Arial" w:hAnsi="Arial" w:cs="Arial"/>
        </w:rPr>
      </w:pPr>
      <w:bookmarkStart w:id="0" w:name="_Toc44738651"/>
      <w:r>
        <w:rPr>
          <w:rFonts w:ascii="Arial" w:hAnsi="Arial" w:cs="Arial"/>
        </w:rPr>
        <w:t>Australian Capital Territory</w:t>
      </w:r>
    </w:p>
    <w:p w14:paraId="4AE60BAF" w14:textId="315F3A45" w:rsidR="001A739B" w:rsidRDefault="001A739B" w:rsidP="001A739B">
      <w:pPr>
        <w:pStyle w:val="Billname"/>
        <w:spacing w:before="700"/>
      </w:pPr>
      <w:r>
        <w:t>Utilities (Technical Regulation) (Water and Sewerage Code) Approval 202</w:t>
      </w:r>
      <w:r w:rsidR="00386E0E">
        <w:t>4</w:t>
      </w:r>
    </w:p>
    <w:p w14:paraId="765B085F" w14:textId="341E9A7A" w:rsidR="001A739B" w:rsidRDefault="001A739B" w:rsidP="001A739B">
      <w:pPr>
        <w:spacing w:before="340"/>
        <w:rPr>
          <w:rFonts w:ascii="Arial" w:hAnsi="Arial" w:cs="Arial"/>
          <w:b/>
          <w:bCs/>
        </w:rPr>
      </w:pPr>
      <w:r>
        <w:rPr>
          <w:rFonts w:ascii="Arial" w:hAnsi="Arial" w:cs="Arial"/>
          <w:b/>
          <w:bCs/>
        </w:rPr>
        <w:t>Disallowable instrument DI202</w:t>
      </w:r>
      <w:r w:rsidR="00386E0E">
        <w:rPr>
          <w:rFonts w:ascii="Arial" w:hAnsi="Arial" w:cs="Arial"/>
          <w:b/>
          <w:bCs/>
        </w:rPr>
        <w:t>4</w:t>
      </w:r>
      <w:r>
        <w:rPr>
          <w:rFonts w:ascii="Arial" w:hAnsi="Arial" w:cs="Arial"/>
          <w:b/>
          <w:bCs/>
        </w:rPr>
        <w:t>–</w:t>
      </w:r>
      <w:r w:rsidR="00680EFA">
        <w:rPr>
          <w:rFonts w:ascii="Arial" w:hAnsi="Arial" w:cs="Arial"/>
          <w:b/>
          <w:bCs/>
        </w:rPr>
        <w:t>125</w:t>
      </w:r>
    </w:p>
    <w:p w14:paraId="1D5D0F83" w14:textId="77777777" w:rsidR="001A739B" w:rsidRDefault="001A739B" w:rsidP="001A739B">
      <w:pPr>
        <w:pStyle w:val="madeunder"/>
        <w:spacing w:before="300" w:after="0"/>
      </w:pPr>
      <w:r>
        <w:t xml:space="preserve">made under the  </w:t>
      </w:r>
    </w:p>
    <w:p w14:paraId="1628D6C1" w14:textId="77777777" w:rsidR="001A739B" w:rsidRDefault="001A739B" w:rsidP="001A739B">
      <w:pPr>
        <w:pStyle w:val="CoverActName"/>
        <w:spacing w:before="320" w:after="0"/>
        <w:rPr>
          <w:rFonts w:cs="Arial"/>
          <w:sz w:val="20"/>
        </w:rPr>
      </w:pPr>
      <w:r>
        <w:rPr>
          <w:rFonts w:cs="Arial"/>
          <w:sz w:val="20"/>
        </w:rPr>
        <w:t>Utilities (Technical Regulation) Act 2014, s 14 (Technical codes—approval)</w:t>
      </w:r>
    </w:p>
    <w:p w14:paraId="37C36C80" w14:textId="77777777" w:rsidR="001A739B" w:rsidRDefault="001A739B" w:rsidP="001A739B">
      <w:pPr>
        <w:spacing w:before="360"/>
        <w:ind w:right="565"/>
        <w:rPr>
          <w:rFonts w:ascii="Arial" w:hAnsi="Arial" w:cs="Arial"/>
          <w:b/>
          <w:bCs/>
          <w:sz w:val="28"/>
          <w:szCs w:val="28"/>
        </w:rPr>
      </w:pPr>
      <w:r>
        <w:rPr>
          <w:rFonts w:ascii="Arial" w:hAnsi="Arial" w:cs="Arial"/>
          <w:b/>
          <w:bCs/>
          <w:sz w:val="28"/>
          <w:szCs w:val="28"/>
        </w:rPr>
        <w:t>EXPLANATORY STATEMENT</w:t>
      </w:r>
    </w:p>
    <w:p w14:paraId="5F2641CA" w14:textId="77777777" w:rsidR="001A739B" w:rsidRDefault="001A739B" w:rsidP="001A739B">
      <w:pPr>
        <w:pStyle w:val="N-line3"/>
        <w:pBdr>
          <w:bottom w:val="none" w:sz="0" w:space="0" w:color="auto"/>
        </w:pBdr>
      </w:pPr>
    </w:p>
    <w:p w14:paraId="59B6D3AC" w14:textId="77777777" w:rsidR="001A739B" w:rsidRDefault="001A739B" w:rsidP="001A739B">
      <w:pPr>
        <w:pStyle w:val="N-line3"/>
        <w:pBdr>
          <w:top w:val="single" w:sz="12" w:space="1" w:color="auto"/>
          <w:bottom w:val="none" w:sz="0" w:space="0" w:color="auto"/>
        </w:pBdr>
      </w:pPr>
    </w:p>
    <w:p w14:paraId="55E35FE6" w14:textId="3C35A734" w:rsidR="001A739B" w:rsidRPr="00B24B8A" w:rsidRDefault="001A739B" w:rsidP="001A739B">
      <w:pPr>
        <w:rPr>
          <w:szCs w:val="24"/>
        </w:rPr>
      </w:pPr>
      <w:r w:rsidRPr="00B24B8A">
        <w:rPr>
          <w:szCs w:val="24"/>
        </w:rPr>
        <w:t xml:space="preserve">This explanatory statement relates to the </w:t>
      </w:r>
      <w:r w:rsidRPr="00B24B8A">
        <w:rPr>
          <w:i/>
          <w:iCs/>
          <w:szCs w:val="24"/>
        </w:rPr>
        <w:t>Utilities (Technical Regulation) (</w:t>
      </w:r>
      <w:r>
        <w:rPr>
          <w:i/>
          <w:iCs/>
          <w:szCs w:val="24"/>
        </w:rPr>
        <w:t xml:space="preserve">Water and Sewerage </w:t>
      </w:r>
      <w:r w:rsidRPr="00B24B8A">
        <w:rPr>
          <w:i/>
          <w:iCs/>
          <w:szCs w:val="24"/>
        </w:rPr>
        <w:t>Code) Approval 202</w:t>
      </w:r>
      <w:r w:rsidR="006B78F7">
        <w:rPr>
          <w:i/>
          <w:iCs/>
          <w:szCs w:val="24"/>
        </w:rPr>
        <w:t>4</w:t>
      </w:r>
      <w:r w:rsidRPr="00B24B8A">
        <w:rPr>
          <w:szCs w:val="24"/>
        </w:rPr>
        <w:t xml:space="preserve"> as presented to the Legislative Assembly. It has been prepared to assist the reader of the disallowable instrument. It does not form part of the instrument and has not been endorsed by the Assembly. </w:t>
      </w:r>
    </w:p>
    <w:p w14:paraId="0EE2E269" w14:textId="77777777" w:rsidR="001A739B" w:rsidRPr="00B24B8A" w:rsidRDefault="001A739B" w:rsidP="001A739B">
      <w:pPr>
        <w:rPr>
          <w:szCs w:val="24"/>
        </w:rPr>
      </w:pPr>
    </w:p>
    <w:p w14:paraId="0A87DF7E" w14:textId="77777777" w:rsidR="001A739B" w:rsidRPr="00B24B8A" w:rsidRDefault="001A739B" w:rsidP="001A739B">
      <w:pPr>
        <w:pStyle w:val="NoSpacing"/>
        <w:spacing w:after="200"/>
        <w:rPr>
          <w:rFonts w:ascii="Times New Roman" w:hAnsi="Times New Roman"/>
          <w:b/>
          <w:sz w:val="28"/>
          <w:szCs w:val="28"/>
        </w:rPr>
      </w:pPr>
      <w:r w:rsidRPr="00B24B8A">
        <w:rPr>
          <w:rFonts w:ascii="Times New Roman" w:hAnsi="Times New Roman"/>
          <w:b/>
          <w:sz w:val="28"/>
          <w:szCs w:val="28"/>
        </w:rPr>
        <w:t>Overview</w:t>
      </w:r>
    </w:p>
    <w:p w14:paraId="1995AA3C" w14:textId="77777777" w:rsidR="001A739B" w:rsidRPr="00B24B8A" w:rsidRDefault="001A739B" w:rsidP="001A739B">
      <w:pPr>
        <w:rPr>
          <w:snapToGrid w:val="0"/>
          <w:szCs w:val="24"/>
        </w:rPr>
      </w:pPr>
      <w:r w:rsidRPr="00B24B8A">
        <w:rPr>
          <w:snapToGrid w:val="0"/>
          <w:szCs w:val="24"/>
        </w:rPr>
        <w:t xml:space="preserve">This is a disallowable instrument under the </w:t>
      </w:r>
      <w:r w:rsidRPr="00B24B8A">
        <w:rPr>
          <w:i/>
          <w:iCs/>
          <w:snapToGrid w:val="0"/>
          <w:szCs w:val="24"/>
        </w:rPr>
        <w:t>Utilities (Technical Regulation) Act 2014</w:t>
      </w:r>
      <w:r w:rsidRPr="00B24B8A">
        <w:rPr>
          <w:snapToGrid w:val="0"/>
          <w:szCs w:val="24"/>
        </w:rPr>
        <w:t xml:space="preserve"> (the </w:t>
      </w:r>
      <w:r w:rsidRPr="007C75D9">
        <w:rPr>
          <w:b/>
          <w:bCs/>
          <w:i/>
          <w:iCs/>
          <w:snapToGrid w:val="0"/>
          <w:szCs w:val="24"/>
        </w:rPr>
        <w:t>Act</w:t>
      </w:r>
      <w:r w:rsidRPr="00B24B8A">
        <w:rPr>
          <w:snapToGrid w:val="0"/>
          <w:szCs w:val="24"/>
        </w:rPr>
        <w:t xml:space="preserve">). </w:t>
      </w:r>
      <w:r>
        <w:rPr>
          <w:snapToGrid w:val="0"/>
          <w:szCs w:val="24"/>
        </w:rPr>
        <w:t xml:space="preserve"> </w:t>
      </w:r>
      <w:r w:rsidRPr="00B24B8A">
        <w:rPr>
          <w:snapToGrid w:val="0"/>
          <w:szCs w:val="24"/>
        </w:rPr>
        <w:t>The Act provides a technical regulatory framework for regulated utilities in the Australian Capital Territory. Section 14 of the Act authorises the Minister to approve a technical code as recommended by the technical regulator.</w:t>
      </w:r>
    </w:p>
    <w:p w14:paraId="1DB081E3" w14:textId="77777777" w:rsidR="001A739B" w:rsidRDefault="001A739B" w:rsidP="001A739B">
      <w:pPr>
        <w:rPr>
          <w:snapToGrid w:val="0"/>
          <w:szCs w:val="24"/>
        </w:rPr>
      </w:pPr>
    </w:p>
    <w:p w14:paraId="17739CE3" w14:textId="46B1E940" w:rsidR="001A739B" w:rsidRDefault="001A739B" w:rsidP="001A739B">
      <w:pPr>
        <w:rPr>
          <w:snapToGrid w:val="0"/>
          <w:szCs w:val="24"/>
        </w:rPr>
      </w:pPr>
      <w:r w:rsidRPr="00B24B8A">
        <w:rPr>
          <w:snapToGrid w:val="0"/>
          <w:szCs w:val="24"/>
        </w:rPr>
        <w:t xml:space="preserve">This disallowable instrument is the </w:t>
      </w:r>
      <w:r w:rsidRPr="00B24B8A">
        <w:rPr>
          <w:i/>
          <w:iCs/>
          <w:szCs w:val="24"/>
        </w:rPr>
        <w:t>Utilities (Technical Regulation) (</w:t>
      </w:r>
      <w:r>
        <w:rPr>
          <w:i/>
          <w:iCs/>
          <w:szCs w:val="24"/>
        </w:rPr>
        <w:t>Water and Sewerage</w:t>
      </w:r>
      <w:r w:rsidRPr="00B24B8A">
        <w:rPr>
          <w:i/>
          <w:iCs/>
          <w:szCs w:val="24"/>
        </w:rPr>
        <w:t xml:space="preserve"> Code) Approval 202</w:t>
      </w:r>
      <w:r w:rsidR="006B78F7">
        <w:rPr>
          <w:i/>
          <w:iCs/>
          <w:szCs w:val="24"/>
        </w:rPr>
        <w:t>4</w:t>
      </w:r>
      <w:r w:rsidRPr="00B24B8A">
        <w:rPr>
          <w:szCs w:val="24"/>
        </w:rPr>
        <w:t xml:space="preserve"> (the </w:t>
      </w:r>
      <w:r w:rsidRPr="007C75D9">
        <w:rPr>
          <w:b/>
          <w:bCs/>
          <w:i/>
          <w:iCs/>
          <w:szCs w:val="24"/>
        </w:rPr>
        <w:t>instrument</w:t>
      </w:r>
      <w:r w:rsidRPr="00B24B8A">
        <w:rPr>
          <w:szCs w:val="24"/>
        </w:rPr>
        <w:t xml:space="preserve">). </w:t>
      </w:r>
      <w:r>
        <w:rPr>
          <w:szCs w:val="24"/>
        </w:rPr>
        <w:t xml:space="preserve"> </w:t>
      </w:r>
      <w:r w:rsidRPr="00B24B8A">
        <w:rPr>
          <w:snapToGrid w:val="0"/>
          <w:szCs w:val="24"/>
        </w:rPr>
        <w:t xml:space="preserve">The purpose of the instrument is to approve the making of the </w:t>
      </w:r>
      <w:r>
        <w:rPr>
          <w:snapToGrid w:val="0"/>
          <w:szCs w:val="24"/>
        </w:rPr>
        <w:t xml:space="preserve">Water and Sewerage </w:t>
      </w:r>
      <w:r w:rsidRPr="00B24B8A">
        <w:rPr>
          <w:snapToGrid w:val="0"/>
          <w:szCs w:val="24"/>
        </w:rPr>
        <w:t>Code 202</w:t>
      </w:r>
      <w:r w:rsidR="006B78F7">
        <w:rPr>
          <w:snapToGrid w:val="0"/>
          <w:szCs w:val="24"/>
        </w:rPr>
        <w:t>4</w:t>
      </w:r>
      <w:r w:rsidRPr="00B24B8A">
        <w:rPr>
          <w:snapToGrid w:val="0"/>
          <w:szCs w:val="24"/>
        </w:rPr>
        <w:t xml:space="preserve"> and revoke </w:t>
      </w:r>
      <w:r w:rsidR="005C6DF7">
        <w:rPr>
          <w:szCs w:val="24"/>
        </w:rPr>
        <w:t xml:space="preserve">the </w:t>
      </w:r>
      <w:r w:rsidR="00930769" w:rsidRPr="00930769">
        <w:rPr>
          <w:szCs w:val="24"/>
        </w:rPr>
        <w:t xml:space="preserve">2018 </w:t>
      </w:r>
      <w:r w:rsidR="005C6DF7" w:rsidRPr="00930769">
        <w:rPr>
          <w:szCs w:val="24"/>
        </w:rPr>
        <w:t>Water and Sewerage Network Boundary Code</w:t>
      </w:r>
      <w:r w:rsidR="00930769" w:rsidRPr="00930769">
        <w:rPr>
          <w:szCs w:val="24"/>
        </w:rPr>
        <w:t xml:space="preserve"> (DI2018-62)</w:t>
      </w:r>
      <w:r w:rsidR="00930769">
        <w:rPr>
          <w:i/>
          <w:iCs/>
          <w:szCs w:val="24"/>
        </w:rPr>
        <w:t xml:space="preserve"> </w:t>
      </w:r>
      <w:r w:rsidR="005C6DF7" w:rsidRPr="005C6DF7">
        <w:rPr>
          <w:szCs w:val="24"/>
        </w:rPr>
        <w:t>and</w:t>
      </w:r>
      <w:r w:rsidR="005C6DF7">
        <w:rPr>
          <w:i/>
          <w:iCs/>
          <w:szCs w:val="24"/>
        </w:rPr>
        <w:t xml:space="preserve"> </w:t>
      </w:r>
      <w:r w:rsidRPr="00B24B8A">
        <w:rPr>
          <w:snapToGrid w:val="0"/>
          <w:szCs w:val="24"/>
        </w:rPr>
        <w:t>the</w:t>
      </w:r>
      <w:r>
        <w:rPr>
          <w:snapToGrid w:val="0"/>
          <w:szCs w:val="24"/>
        </w:rPr>
        <w:t xml:space="preserve"> following Codes</w:t>
      </w:r>
      <w:r w:rsidR="005C6DF7">
        <w:rPr>
          <w:snapToGrid w:val="0"/>
          <w:szCs w:val="24"/>
        </w:rPr>
        <w:t xml:space="preserve"> in</w:t>
      </w:r>
      <w:r w:rsidR="00930769">
        <w:rPr>
          <w:snapToGrid w:val="0"/>
          <w:szCs w:val="24"/>
        </w:rPr>
        <w:t xml:space="preserve"> the</w:t>
      </w:r>
      <w:r w:rsidR="005C6DF7">
        <w:rPr>
          <w:snapToGrid w:val="0"/>
          <w:szCs w:val="24"/>
        </w:rPr>
        <w:t xml:space="preserve"> </w:t>
      </w:r>
      <w:r w:rsidR="005C6DF7" w:rsidRPr="00220FED">
        <w:rPr>
          <w:i/>
          <w:iCs/>
          <w:szCs w:val="24"/>
        </w:rPr>
        <w:t>Utilities (Technical Codes) Determination 2000</w:t>
      </w:r>
      <w:r w:rsidR="005C6DF7" w:rsidRPr="00530DD7">
        <w:rPr>
          <w:szCs w:val="24"/>
        </w:rPr>
        <w:t xml:space="preserve"> (</w:t>
      </w:r>
      <w:r w:rsidR="005C6DF7">
        <w:rPr>
          <w:szCs w:val="24"/>
        </w:rPr>
        <w:t>DI2000-369</w:t>
      </w:r>
      <w:r w:rsidR="005C6DF7" w:rsidRPr="00530DD7">
        <w:rPr>
          <w:szCs w:val="24"/>
        </w:rPr>
        <w:t>)</w:t>
      </w:r>
      <w:r>
        <w:rPr>
          <w:snapToGrid w:val="0"/>
          <w:szCs w:val="24"/>
        </w:rPr>
        <w:t>:</w:t>
      </w:r>
    </w:p>
    <w:p w14:paraId="4C79B4E6" w14:textId="77777777" w:rsidR="005C6DF7" w:rsidRDefault="005C6DF7" w:rsidP="001A739B">
      <w:pPr>
        <w:rPr>
          <w:snapToGrid w:val="0"/>
          <w:szCs w:val="24"/>
        </w:rPr>
      </w:pPr>
    </w:p>
    <w:p w14:paraId="49566584" w14:textId="77777777" w:rsidR="001A739B" w:rsidRPr="005C6DF7" w:rsidRDefault="001A739B" w:rsidP="001A739B">
      <w:pPr>
        <w:pStyle w:val="ListParagraph"/>
        <w:widowControl w:val="0"/>
        <w:numPr>
          <w:ilvl w:val="0"/>
          <w:numId w:val="15"/>
        </w:numPr>
        <w:spacing w:after="0" w:line="240" w:lineRule="auto"/>
        <w:jc w:val="both"/>
        <w:rPr>
          <w:rFonts w:ascii="Times New Roman" w:hAnsi="Times New Roman" w:cs="Times New Roman"/>
          <w:i/>
          <w:iCs/>
          <w:sz w:val="24"/>
          <w:szCs w:val="24"/>
        </w:rPr>
      </w:pPr>
      <w:r w:rsidRPr="005C6DF7">
        <w:rPr>
          <w:rFonts w:ascii="Times New Roman" w:hAnsi="Times New Roman" w:cs="Times New Roman"/>
          <w:i/>
          <w:sz w:val="24"/>
          <w:szCs w:val="24"/>
        </w:rPr>
        <w:t>Water Metering Code 2000</w:t>
      </w:r>
    </w:p>
    <w:p w14:paraId="12814383" w14:textId="77777777" w:rsidR="001A739B" w:rsidRPr="005C6DF7" w:rsidRDefault="001A739B" w:rsidP="001A739B">
      <w:pPr>
        <w:pStyle w:val="ListParagraph"/>
        <w:widowControl w:val="0"/>
        <w:numPr>
          <w:ilvl w:val="0"/>
          <w:numId w:val="15"/>
        </w:numPr>
        <w:spacing w:after="0" w:line="240" w:lineRule="auto"/>
        <w:jc w:val="both"/>
        <w:rPr>
          <w:rFonts w:ascii="Times New Roman" w:hAnsi="Times New Roman" w:cs="Times New Roman"/>
          <w:i/>
          <w:iCs/>
          <w:sz w:val="24"/>
          <w:szCs w:val="24"/>
        </w:rPr>
      </w:pPr>
      <w:r w:rsidRPr="005C6DF7">
        <w:rPr>
          <w:rFonts w:ascii="Times New Roman" w:hAnsi="Times New Roman" w:cs="Times New Roman"/>
          <w:i/>
          <w:sz w:val="24"/>
          <w:szCs w:val="24"/>
        </w:rPr>
        <w:t>Water and Sewerage Service and Installation Code 2000</w:t>
      </w:r>
    </w:p>
    <w:p w14:paraId="0407A1CE" w14:textId="77777777" w:rsidR="001A739B" w:rsidRPr="005C6DF7" w:rsidRDefault="001A739B" w:rsidP="001A739B">
      <w:pPr>
        <w:pStyle w:val="ListParagraph"/>
        <w:widowControl w:val="0"/>
        <w:numPr>
          <w:ilvl w:val="0"/>
          <w:numId w:val="15"/>
        </w:numPr>
        <w:spacing w:after="0" w:line="240" w:lineRule="auto"/>
        <w:jc w:val="both"/>
        <w:rPr>
          <w:rFonts w:ascii="Times New Roman" w:hAnsi="Times New Roman" w:cs="Times New Roman"/>
          <w:i/>
          <w:iCs/>
          <w:sz w:val="24"/>
          <w:szCs w:val="24"/>
        </w:rPr>
      </w:pPr>
      <w:r w:rsidRPr="005C6DF7">
        <w:rPr>
          <w:rFonts w:ascii="Times New Roman" w:hAnsi="Times New Roman" w:cs="Times New Roman"/>
          <w:i/>
          <w:sz w:val="24"/>
          <w:szCs w:val="24"/>
        </w:rPr>
        <w:t>Water and Sewerage Network (Design and Maintenance) Code 2000</w:t>
      </w:r>
    </w:p>
    <w:p w14:paraId="33D70B91" w14:textId="77777777" w:rsidR="001A739B" w:rsidRPr="005C6DF7" w:rsidRDefault="001A739B" w:rsidP="001A739B">
      <w:pPr>
        <w:pStyle w:val="ListParagraph"/>
        <w:widowControl w:val="0"/>
        <w:numPr>
          <w:ilvl w:val="0"/>
          <w:numId w:val="15"/>
        </w:numPr>
        <w:spacing w:after="0" w:line="240" w:lineRule="auto"/>
        <w:jc w:val="both"/>
        <w:rPr>
          <w:rFonts w:ascii="Times New Roman" w:hAnsi="Times New Roman" w:cs="Times New Roman"/>
          <w:i/>
          <w:iCs/>
          <w:sz w:val="24"/>
          <w:szCs w:val="24"/>
        </w:rPr>
      </w:pPr>
      <w:r w:rsidRPr="005C6DF7">
        <w:rPr>
          <w:rFonts w:ascii="Times New Roman" w:hAnsi="Times New Roman" w:cs="Times New Roman"/>
          <w:i/>
          <w:sz w:val="24"/>
          <w:szCs w:val="24"/>
        </w:rPr>
        <w:t>Water Supply and Sewerage Service Standards Code 2000</w:t>
      </w:r>
    </w:p>
    <w:p w14:paraId="42ECF427" w14:textId="77777777" w:rsidR="001A739B" w:rsidRDefault="001A739B" w:rsidP="001A739B">
      <w:pPr>
        <w:rPr>
          <w:szCs w:val="24"/>
        </w:rPr>
      </w:pPr>
    </w:p>
    <w:p w14:paraId="175F5E07" w14:textId="77777777" w:rsidR="001A739B" w:rsidRPr="00A948ED" w:rsidRDefault="001A739B" w:rsidP="001A739B">
      <w:pPr>
        <w:rPr>
          <w:snapToGrid w:val="0"/>
          <w:szCs w:val="24"/>
        </w:rPr>
      </w:pPr>
      <w:r w:rsidRPr="00A948ED">
        <w:rPr>
          <w:szCs w:val="24"/>
        </w:rPr>
        <w:t>T</w:t>
      </w:r>
      <w:r w:rsidRPr="00A948ED">
        <w:rPr>
          <w:snapToGrid w:val="0"/>
          <w:szCs w:val="24"/>
        </w:rPr>
        <w:t>he Code is provided in schedule 1 of the instrument.</w:t>
      </w:r>
    </w:p>
    <w:p w14:paraId="40A6EE90" w14:textId="77777777" w:rsidR="001A739B" w:rsidRPr="00B24B8A" w:rsidRDefault="001A739B" w:rsidP="001A739B">
      <w:pPr>
        <w:rPr>
          <w:snapToGrid w:val="0"/>
          <w:szCs w:val="24"/>
        </w:rPr>
      </w:pPr>
    </w:p>
    <w:p w14:paraId="5F1AD0BE" w14:textId="77777777" w:rsidR="001A739B" w:rsidRDefault="001A739B" w:rsidP="001A739B">
      <w:pPr>
        <w:rPr>
          <w:szCs w:val="24"/>
        </w:rPr>
      </w:pPr>
      <w:r>
        <w:rPr>
          <w:szCs w:val="24"/>
        </w:rPr>
        <w:br w:type="column"/>
      </w:r>
      <w:r w:rsidRPr="00B24B8A">
        <w:rPr>
          <w:szCs w:val="24"/>
        </w:rPr>
        <w:lastRenderedPageBreak/>
        <w:t>Technical codes must be consistent with the objects of the Act as follows:</w:t>
      </w:r>
    </w:p>
    <w:p w14:paraId="22C6FF56" w14:textId="77777777" w:rsidR="001A739B" w:rsidRPr="00B24B8A" w:rsidRDefault="001A739B" w:rsidP="001A739B">
      <w:pPr>
        <w:pStyle w:val="ListBullet"/>
        <w:ind w:left="714" w:hanging="357"/>
        <w:rPr>
          <w:snapToGrid w:val="0"/>
          <w:szCs w:val="24"/>
        </w:rPr>
      </w:pPr>
      <w:r w:rsidRPr="00B24B8A">
        <w:rPr>
          <w:snapToGrid w:val="0"/>
          <w:szCs w:val="24"/>
        </w:rPr>
        <w:t>Ensuring safe, reliable and efficient delivery of regulated utility services</w:t>
      </w:r>
    </w:p>
    <w:p w14:paraId="473E58D0" w14:textId="77777777" w:rsidR="001A739B" w:rsidRPr="00B24B8A" w:rsidRDefault="001A739B" w:rsidP="001A739B">
      <w:pPr>
        <w:pStyle w:val="ListBullet"/>
        <w:ind w:left="714" w:hanging="357"/>
        <w:rPr>
          <w:snapToGrid w:val="0"/>
          <w:szCs w:val="24"/>
        </w:rPr>
      </w:pPr>
      <w:r w:rsidRPr="00B24B8A">
        <w:rPr>
          <w:snapToGrid w:val="0"/>
          <w:szCs w:val="24"/>
        </w:rPr>
        <w:t xml:space="preserve">Promotion of long-term serviceability of </w:t>
      </w:r>
      <w:r>
        <w:rPr>
          <w:snapToGrid w:val="0"/>
          <w:szCs w:val="24"/>
        </w:rPr>
        <w:t>regulated</w:t>
      </w:r>
      <w:r w:rsidRPr="00B24B8A">
        <w:rPr>
          <w:snapToGrid w:val="0"/>
          <w:szCs w:val="24"/>
        </w:rPr>
        <w:t xml:space="preserve"> network</w:t>
      </w:r>
      <w:r>
        <w:rPr>
          <w:snapToGrid w:val="0"/>
          <w:szCs w:val="24"/>
        </w:rPr>
        <w:t>s</w:t>
      </w:r>
    </w:p>
    <w:p w14:paraId="3DE203D9" w14:textId="77777777" w:rsidR="001A739B" w:rsidRPr="00B24B8A" w:rsidRDefault="001A739B" w:rsidP="001A739B">
      <w:pPr>
        <w:pStyle w:val="ListBullet"/>
        <w:ind w:left="714" w:hanging="357"/>
        <w:rPr>
          <w:snapToGrid w:val="0"/>
          <w:szCs w:val="24"/>
        </w:rPr>
      </w:pPr>
      <w:r w:rsidRPr="00B24B8A">
        <w:rPr>
          <w:snapToGrid w:val="0"/>
          <w:szCs w:val="24"/>
        </w:rPr>
        <w:t>Promotion of networks</w:t>
      </w:r>
      <w:r>
        <w:rPr>
          <w:snapToGrid w:val="0"/>
          <w:szCs w:val="24"/>
        </w:rPr>
        <w:t>’</w:t>
      </w:r>
      <w:r w:rsidRPr="00B24B8A">
        <w:rPr>
          <w:snapToGrid w:val="0"/>
          <w:szCs w:val="24"/>
        </w:rPr>
        <w:t xml:space="preserve"> design integrity and functionality; and </w:t>
      </w:r>
    </w:p>
    <w:p w14:paraId="22BA5EF8" w14:textId="77777777" w:rsidR="001A739B" w:rsidRPr="00B24B8A" w:rsidRDefault="001A739B" w:rsidP="001A739B">
      <w:pPr>
        <w:pStyle w:val="ListBullet"/>
        <w:ind w:left="714" w:hanging="357"/>
        <w:rPr>
          <w:snapToGrid w:val="0"/>
          <w:szCs w:val="24"/>
        </w:rPr>
      </w:pPr>
      <w:r w:rsidRPr="00B24B8A">
        <w:rPr>
          <w:snapToGrid w:val="0"/>
          <w:szCs w:val="24"/>
        </w:rPr>
        <w:t>Safe and reliable operation of regulated utility service</w:t>
      </w:r>
      <w:r>
        <w:rPr>
          <w:snapToGrid w:val="0"/>
          <w:szCs w:val="24"/>
        </w:rPr>
        <w:t>s.</w:t>
      </w:r>
    </w:p>
    <w:p w14:paraId="62DA2057" w14:textId="77777777" w:rsidR="001A739B" w:rsidRDefault="001A739B" w:rsidP="001A739B">
      <w:pPr>
        <w:rPr>
          <w:szCs w:val="24"/>
        </w:rPr>
      </w:pPr>
    </w:p>
    <w:p w14:paraId="6517980C" w14:textId="77777777" w:rsidR="001A739B" w:rsidRPr="003C431B" w:rsidRDefault="001A739B" w:rsidP="001A739B">
      <w:pPr>
        <w:rPr>
          <w:szCs w:val="24"/>
        </w:rPr>
      </w:pPr>
      <w:r w:rsidRPr="00341173">
        <w:rPr>
          <w:szCs w:val="24"/>
        </w:rPr>
        <w:t>The purpose of the Code is to set out the requirements to ensure the safe and reliable planning, design, construction, maintenance and operation of water and sewerage networks in delivering water and sewerage services to customers.  It replaces the existing codes (see list above of existing water and sewerage technical codes to be repealed) to modernise language, reduce regulatory complexity and ensure consistency with national standards and current practice within the water and sewerage industry.</w:t>
      </w:r>
    </w:p>
    <w:p w14:paraId="5530FA85" w14:textId="77777777" w:rsidR="001A739B" w:rsidRPr="00B24B8A" w:rsidRDefault="001A739B" w:rsidP="001A739B">
      <w:pPr>
        <w:rPr>
          <w:szCs w:val="24"/>
        </w:rPr>
      </w:pPr>
    </w:p>
    <w:p w14:paraId="5307AB50" w14:textId="77777777" w:rsidR="001A739B" w:rsidRDefault="001A739B" w:rsidP="001A739B">
      <w:pPr>
        <w:pStyle w:val="ESText"/>
        <w:spacing w:before="0" w:beforeAutospacing="0" w:after="0" w:afterAutospacing="0"/>
        <w:rPr>
          <w:highlight w:val="yellow"/>
        </w:rPr>
      </w:pPr>
      <w:r w:rsidRPr="00A21FC6">
        <w:t>The Code applies to a utilit</w:t>
      </w:r>
      <w:r>
        <w:t>y</w:t>
      </w:r>
      <w:r w:rsidRPr="00A21FC6">
        <w:t xml:space="preserve"> licensed to provide water and sewerage utility services within the ACT</w:t>
      </w:r>
      <w:r w:rsidRPr="00A21FC6">
        <w:rPr>
          <w:snapToGrid w:val="0"/>
        </w:rPr>
        <w:t>.</w:t>
      </w:r>
      <w:r w:rsidRPr="00A21FC6">
        <w:t xml:space="preserve"> </w:t>
      </w:r>
      <w:r>
        <w:rPr>
          <w:highlight w:val="yellow"/>
        </w:rPr>
        <w:t xml:space="preserve"> </w:t>
      </w:r>
    </w:p>
    <w:p w14:paraId="68440496" w14:textId="77777777" w:rsidR="001A739B" w:rsidRPr="00A948ED" w:rsidRDefault="001A739B" w:rsidP="001A739B">
      <w:pPr>
        <w:pStyle w:val="ESText"/>
        <w:spacing w:before="0" w:beforeAutospacing="0" w:after="0" w:afterAutospacing="0"/>
        <w:rPr>
          <w:highlight w:val="yellow"/>
        </w:rPr>
      </w:pPr>
    </w:p>
    <w:p w14:paraId="1470D73F" w14:textId="77777777" w:rsidR="001A739B" w:rsidRPr="00E20C84" w:rsidRDefault="001A739B" w:rsidP="001A739B">
      <w:pPr>
        <w:pStyle w:val="ListBullet"/>
        <w:numPr>
          <w:ilvl w:val="0"/>
          <w:numId w:val="0"/>
        </w:numPr>
        <w:rPr>
          <w:szCs w:val="24"/>
        </w:rPr>
      </w:pPr>
      <w:r w:rsidRPr="00E20C84">
        <w:rPr>
          <w:szCs w:val="24"/>
        </w:rPr>
        <w:t>The Code is consistent with the objects of the Act and with section 11 of the Act.</w:t>
      </w:r>
    </w:p>
    <w:p w14:paraId="47FE3CD1" w14:textId="77777777" w:rsidR="001A739B" w:rsidRDefault="001A739B" w:rsidP="001A739B">
      <w:pPr>
        <w:rPr>
          <w:szCs w:val="24"/>
        </w:rPr>
      </w:pPr>
      <w:r>
        <w:rPr>
          <w:szCs w:val="24"/>
          <w:highlight w:val="yellow"/>
        </w:rPr>
        <w:t xml:space="preserve"> </w:t>
      </w:r>
      <w:bookmarkEnd w:id="0"/>
    </w:p>
    <w:p w14:paraId="7F6FE8DA" w14:textId="77777777" w:rsidR="001A739B" w:rsidRPr="00A21FC6" w:rsidRDefault="001A739B" w:rsidP="001A739B">
      <w:pPr>
        <w:rPr>
          <w:b/>
          <w:bCs/>
        </w:rPr>
      </w:pPr>
      <w:r w:rsidRPr="00A21FC6">
        <w:rPr>
          <w:b/>
          <w:bCs/>
        </w:rPr>
        <w:t>Consultation</w:t>
      </w:r>
    </w:p>
    <w:p w14:paraId="0344E59D" w14:textId="77777777" w:rsidR="001A739B" w:rsidRPr="00A21FC6" w:rsidRDefault="001A739B" w:rsidP="001A739B">
      <w:pPr>
        <w:pStyle w:val="ESText"/>
        <w:spacing w:before="0" w:beforeAutospacing="0" w:after="0" w:afterAutospacing="0"/>
      </w:pPr>
    </w:p>
    <w:p w14:paraId="0529799A" w14:textId="77777777" w:rsidR="001A739B" w:rsidRPr="00A21FC6" w:rsidRDefault="001A739B" w:rsidP="001A739B">
      <w:pPr>
        <w:autoSpaceDE w:val="0"/>
        <w:autoSpaceDN w:val="0"/>
        <w:adjustRightInd w:val="0"/>
        <w:rPr>
          <w:szCs w:val="24"/>
        </w:rPr>
      </w:pPr>
      <w:r w:rsidRPr="00A21FC6">
        <w:rPr>
          <w:szCs w:val="24"/>
        </w:rPr>
        <w:t xml:space="preserve">In accordance with section 13 of the Act, the technical regulator consulted the Independent Competition and Regulatory Commission and the relevant regulated utilities to create the Code. </w:t>
      </w:r>
    </w:p>
    <w:p w14:paraId="232AB9F4" w14:textId="77777777" w:rsidR="001A739B" w:rsidRPr="00A21FC6" w:rsidRDefault="001A739B" w:rsidP="001A739B">
      <w:pPr>
        <w:autoSpaceDE w:val="0"/>
        <w:autoSpaceDN w:val="0"/>
        <w:adjustRightInd w:val="0"/>
        <w:rPr>
          <w:szCs w:val="24"/>
        </w:rPr>
      </w:pPr>
    </w:p>
    <w:p w14:paraId="392C882B" w14:textId="77777777" w:rsidR="001A739B" w:rsidRPr="00A21FC6" w:rsidRDefault="001A739B" w:rsidP="001A739B">
      <w:pPr>
        <w:autoSpaceDE w:val="0"/>
        <w:autoSpaceDN w:val="0"/>
        <w:adjustRightInd w:val="0"/>
        <w:rPr>
          <w:b/>
          <w:bCs/>
          <w:szCs w:val="24"/>
        </w:rPr>
      </w:pPr>
      <w:r w:rsidRPr="00A21FC6">
        <w:rPr>
          <w:b/>
          <w:bCs/>
          <w:szCs w:val="24"/>
        </w:rPr>
        <w:t>Regulatory Impact Statement</w:t>
      </w:r>
    </w:p>
    <w:p w14:paraId="7C70AF99" w14:textId="77777777" w:rsidR="001A739B" w:rsidRPr="00A21FC6" w:rsidRDefault="001A739B" w:rsidP="001A739B">
      <w:pPr>
        <w:autoSpaceDE w:val="0"/>
        <w:autoSpaceDN w:val="0"/>
        <w:adjustRightInd w:val="0"/>
        <w:rPr>
          <w:szCs w:val="24"/>
        </w:rPr>
      </w:pPr>
    </w:p>
    <w:p w14:paraId="0A0D7E2A" w14:textId="77777777" w:rsidR="001A739B" w:rsidRPr="00A21FC6" w:rsidRDefault="001A739B" w:rsidP="001A739B">
      <w:pPr>
        <w:autoSpaceDE w:val="0"/>
        <w:autoSpaceDN w:val="0"/>
        <w:adjustRightInd w:val="0"/>
        <w:rPr>
          <w:szCs w:val="24"/>
        </w:rPr>
      </w:pPr>
      <w:r w:rsidRPr="00A21FC6">
        <w:rPr>
          <w:szCs w:val="24"/>
        </w:rPr>
        <w:t xml:space="preserve">A regulatory impact statement for the instrument is not required in accordance with section 34 (1) of the </w:t>
      </w:r>
      <w:r w:rsidRPr="00A21FC6">
        <w:rPr>
          <w:i/>
          <w:szCs w:val="24"/>
        </w:rPr>
        <w:t>Legislation Act 2001</w:t>
      </w:r>
      <w:r w:rsidRPr="00A21FC6">
        <w:rPr>
          <w:iCs/>
          <w:szCs w:val="24"/>
        </w:rPr>
        <w:t xml:space="preserve">. </w:t>
      </w:r>
      <w:r>
        <w:rPr>
          <w:iCs/>
          <w:szCs w:val="24"/>
        </w:rPr>
        <w:t xml:space="preserve"> </w:t>
      </w:r>
      <w:r w:rsidRPr="00A21FC6">
        <w:rPr>
          <w:iCs/>
          <w:szCs w:val="24"/>
        </w:rPr>
        <w:t xml:space="preserve">The </w:t>
      </w:r>
      <w:r>
        <w:rPr>
          <w:iCs/>
          <w:szCs w:val="24"/>
        </w:rPr>
        <w:t>new</w:t>
      </w:r>
      <w:r w:rsidRPr="00A21FC6">
        <w:rPr>
          <w:iCs/>
          <w:szCs w:val="24"/>
        </w:rPr>
        <w:t xml:space="preserve"> </w:t>
      </w:r>
      <w:r>
        <w:rPr>
          <w:iCs/>
          <w:szCs w:val="24"/>
        </w:rPr>
        <w:t>C</w:t>
      </w:r>
      <w:r w:rsidRPr="00A21FC6">
        <w:rPr>
          <w:iCs/>
          <w:szCs w:val="24"/>
        </w:rPr>
        <w:t>ode do</w:t>
      </w:r>
      <w:r>
        <w:rPr>
          <w:iCs/>
          <w:szCs w:val="24"/>
        </w:rPr>
        <w:t>es</w:t>
      </w:r>
      <w:r w:rsidRPr="00A21FC6">
        <w:rPr>
          <w:iCs/>
          <w:szCs w:val="24"/>
        </w:rPr>
        <w:t xml:space="preserve"> </w:t>
      </w:r>
      <w:r w:rsidRPr="00A21FC6">
        <w:rPr>
          <w:szCs w:val="24"/>
        </w:rPr>
        <w:t xml:space="preserve">not impose appreciable costs on the community, or part of the community. </w:t>
      </w:r>
      <w:r>
        <w:rPr>
          <w:szCs w:val="24"/>
        </w:rPr>
        <w:t xml:space="preserve"> </w:t>
      </w:r>
      <w:r w:rsidRPr="00A21FC6">
        <w:rPr>
          <w:szCs w:val="24"/>
        </w:rPr>
        <w:t xml:space="preserve">Further, a regulatory impact statement is unnecessary in accordance with section 36 (1) (b) of the </w:t>
      </w:r>
      <w:r w:rsidRPr="00A21FC6">
        <w:rPr>
          <w:i/>
          <w:szCs w:val="24"/>
        </w:rPr>
        <w:t>Legislation Act 2001</w:t>
      </w:r>
      <w:r w:rsidRPr="00A21FC6">
        <w:rPr>
          <w:szCs w:val="24"/>
        </w:rPr>
        <w:t>.</w:t>
      </w:r>
    </w:p>
    <w:p w14:paraId="42ADD538" w14:textId="77777777" w:rsidR="001A739B" w:rsidRPr="00A21FC6" w:rsidRDefault="001A739B" w:rsidP="001A739B">
      <w:pPr>
        <w:autoSpaceDE w:val="0"/>
        <w:autoSpaceDN w:val="0"/>
        <w:adjustRightInd w:val="0"/>
        <w:rPr>
          <w:szCs w:val="24"/>
        </w:rPr>
      </w:pPr>
    </w:p>
    <w:p w14:paraId="21D99585" w14:textId="77777777" w:rsidR="001A739B" w:rsidRPr="00A21FC6" w:rsidRDefault="001A739B" w:rsidP="001A739B">
      <w:pPr>
        <w:autoSpaceDE w:val="0"/>
        <w:autoSpaceDN w:val="0"/>
        <w:adjustRightInd w:val="0"/>
        <w:rPr>
          <w:b/>
          <w:bCs/>
          <w:szCs w:val="24"/>
        </w:rPr>
      </w:pPr>
      <w:r w:rsidRPr="00A21FC6">
        <w:rPr>
          <w:b/>
          <w:bCs/>
          <w:szCs w:val="24"/>
        </w:rPr>
        <w:t>Human rights and Scrutiny of Committee Terms of Reference</w:t>
      </w:r>
    </w:p>
    <w:p w14:paraId="3349D06E" w14:textId="77777777" w:rsidR="001A739B" w:rsidRPr="00A21FC6" w:rsidRDefault="001A739B" w:rsidP="001A739B">
      <w:pPr>
        <w:autoSpaceDE w:val="0"/>
        <w:autoSpaceDN w:val="0"/>
        <w:adjustRightInd w:val="0"/>
        <w:rPr>
          <w:szCs w:val="24"/>
        </w:rPr>
      </w:pPr>
    </w:p>
    <w:p w14:paraId="31CDDFE2" w14:textId="77777777" w:rsidR="001A739B" w:rsidRPr="00A21FC6" w:rsidRDefault="001A739B" w:rsidP="001A739B">
      <w:pPr>
        <w:autoSpaceDE w:val="0"/>
        <w:autoSpaceDN w:val="0"/>
        <w:adjustRightInd w:val="0"/>
        <w:rPr>
          <w:szCs w:val="24"/>
        </w:rPr>
      </w:pPr>
      <w:r w:rsidRPr="00A21FC6">
        <w:rPr>
          <w:szCs w:val="24"/>
        </w:rPr>
        <w:t xml:space="preserve">The instrument does not engage or limit any person’s human rights. </w:t>
      </w:r>
    </w:p>
    <w:p w14:paraId="4212A55D" w14:textId="77777777" w:rsidR="001A739B" w:rsidRPr="00A21FC6" w:rsidRDefault="001A739B" w:rsidP="001A739B">
      <w:pPr>
        <w:autoSpaceDE w:val="0"/>
        <w:autoSpaceDN w:val="0"/>
        <w:adjustRightInd w:val="0"/>
        <w:rPr>
          <w:szCs w:val="24"/>
        </w:rPr>
      </w:pPr>
    </w:p>
    <w:p w14:paraId="605EA678" w14:textId="77777777" w:rsidR="001A739B" w:rsidRPr="00A21FC6" w:rsidRDefault="001A739B" w:rsidP="001A739B">
      <w:pPr>
        <w:autoSpaceDE w:val="0"/>
        <w:autoSpaceDN w:val="0"/>
        <w:adjustRightInd w:val="0"/>
        <w:rPr>
          <w:szCs w:val="24"/>
        </w:rPr>
      </w:pPr>
      <w:r w:rsidRPr="00A21FC6">
        <w:rPr>
          <w:szCs w:val="24"/>
        </w:rPr>
        <w:t>The instrument is consistent with the Legislative Assembly’s Scrutiny of Bills Committee Terms of Reference. In particular, the instrument:</w:t>
      </w:r>
    </w:p>
    <w:p w14:paraId="2A252096" w14:textId="77777777" w:rsidR="001A739B" w:rsidRPr="00A21FC6" w:rsidRDefault="001A739B" w:rsidP="001A739B">
      <w:pPr>
        <w:pStyle w:val="ListBullet"/>
        <w:rPr>
          <w:szCs w:val="24"/>
        </w:rPr>
      </w:pPr>
      <w:r w:rsidRPr="00A21FC6">
        <w:rPr>
          <w:szCs w:val="24"/>
        </w:rPr>
        <w:t>is made under a ministerial power found in the Act;</w:t>
      </w:r>
    </w:p>
    <w:p w14:paraId="6D5FEFE8" w14:textId="77777777" w:rsidR="001A739B" w:rsidRPr="00A21FC6" w:rsidRDefault="001A739B" w:rsidP="001A739B">
      <w:pPr>
        <w:pStyle w:val="ListBullet"/>
        <w:rPr>
          <w:szCs w:val="24"/>
        </w:rPr>
      </w:pPr>
      <w:r w:rsidRPr="00A21FC6">
        <w:rPr>
          <w:szCs w:val="24"/>
        </w:rPr>
        <w:t xml:space="preserve">is in accordance with the general objects of the Act under which the instrument is made; </w:t>
      </w:r>
    </w:p>
    <w:p w14:paraId="14839A2F" w14:textId="77777777" w:rsidR="001A739B" w:rsidRPr="00A21FC6" w:rsidRDefault="001A739B" w:rsidP="001A739B">
      <w:pPr>
        <w:pStyle w:val="ListBullet"/>
        <w:rPr>
          <w:szCs w:val="24"/>
        </w:rPr>
      </w:pPr>
      <w:r w:rsidRPr="00A21FC6">
        <w:rPr>
          <w:szCs w:val="24"/>
        </w:rPr>
        <w:t>does not unduly trespass on rights previously established by law; and</w:t>
      </w:r>
    </w:p>
    <w:p w14:paraId="17BEBD24" w14:textId="77777777" w:rsidR="001A739B" w:rsidRPr="00A21FC6" w:rsidRDefault="001A739B" w:rsidP="001A739B">
      <w:pPr>
        <w:pStyle w:val="ListBullet"/>
        <w:rPr>
          <w:szCs w:val="24"/>
        </w:rPr>
      </w:pPr>
      <w:r w:rsidRPr="00A21FC6">
        <w:rPr>
          <w:szCs w:val="24"/>
        </w:rPr>
        <w:t xml:space="preserve">does not make rights, liberties and/or obligations unduly dependent upon non-reviewable decisions.   </w:t>
      </w:r>
    </w:p>
    <w:p w14:paraId="0B6ACD2C" w14:textId="77777777" w:rsidR="001A739B" w:rsidRPr="00A948ED" w:rsidRDefault="001A739B" w:rsidP="001A739B">
      <w:pPr>
        <w:autoSpaceDE w:val="0"/>
        <w:autoSpaceDN w:val="0"/>
        <w:adjustRightInd w:val="0"/>
        <w:rPr>
          <w:szCs w:val="24"/>
          <w:highlight w:val="yellow"/>
        </w:rPr>
      </w:pPr>
    </w:p>
    <w:p w14:paraId="6CEE981D" w14:textId="77777777" w:rsidR="00CE5AC9" w:rsidRPr="001A739B" w:rsidRDefault="00CE5AC9" w:rsidP="001A739B"/>
    <w:sectPr w:rsidR="00CE5AC9" w:rsidRPr="001A739B" w:rsidSect="001172E3">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014B0" w14:textId="77777777" w:rsidR="001172E3" w:rsidRDefault="001172E3" w:rsidP="00C17FAB">
      <w:r>
        <w:separator/>
      </w:r>
    </w:p>
  </w:endnote>
  <w:endnote w:type="continuationSeparator" w:id="0">
    <w:p w14:paraId="14EACFDF" w14:textId="77777777" w:rsidR="001172E3" w:rsidRDefault="001172E3"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A260"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67CB" w14:textId="60A5E539" w:rsidR="00DA3B00" w:rsidRPr="00984BD1" w:rsidRDefault="00984BD1" w:rsidP="00984BD1">
    <w:pPr>
      <w:pStyle w:val="Footer"/>
      <w:jc w:val="center"/>
      <w:rPr>
        <w:rFonts w:cs="Arial"/>
        <w:sz w:val="14"/>
      </w:rPr>
    </w:pPr>
    <w:r w:rsidRPr="00984BD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62E0"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798F" w14:textId="77777777" w:rsidR="001172E3" w:rsidRDefault="001172E3" w:rsidP="00C17FAB">
      <w:r>
        <w:separator/>
      </w:r>
    </w:p>
  </w:footnote>
  <w:footnote w:type="continuationSeparator" w:id="0">
    <w:p w14:paraId="7932FBE2" w14:textId="77777777" w:rsidR="001172E3" w:rsidRDefault="001172E3"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5F14"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1F10"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8F1B"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93F48BC4"/>
    <w:lvl w:ilvl="0">
      <w:start w:val="1"/>
      <w:numFmt w:val="lowerLetter"/>
      <w:pStyle w:val="ListNumber"/>
      <w:lvlText w:val="(%1)"/>
      <w:lvlJc w:val="left"/>
      <w:pPr>
        <w:tabs>
          <w:tab w:val="num" w:pos="1985"/>
        </w:tabs>
        <w:ind w:left="1985" w:hanging="567"/>
      </w:pPr>
      <w:rPr>
        <w:rFonts w:hint="default"/>
      </w:rPr>
    </w:lvl>
  </w:abstractNum>
  <w:abstractNum w:abstractNumId="2" w15:restartNumberingAfterBreak="0">
    <w:nsid w:val="FFFFFF89"/>
    <w:multiLevelType w:val="singleLevel"/>
    <w:tmpl w:val="FCCEEF4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E262CE"/>
    <w:multiLevelType w:val="hybridMultilevel"/>
    <w:tmpl w:val="AA7CE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892659"/>
    <w:multiLevelType w:val="hybridMultilevel"/>
    <w:tmpl w:val="242E6C60"/>
    <w:lvl w:ilvl="0" w:tplc="35BCF950">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8" w15:restartNumberingAfterBreak="0">
    <w:nsid w:val="26CC248F"/>
    <w:multiLevelType w:val="hybridMultilevel"/>
    <w:tmpl w:val="790E984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49092840"/>
    <w:multiLevelType w:val="hybridMultilevel"/>
    <w:tmpl w:val="85F821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753545D3"/>
    <w:multiLevelType w:val="hybridMultilevel"/>
    <w:tmpl w:val="CB866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003970578">
    <w:abstractNumId w:val="4"/>
  </w:num>
  <w:num w:numId="2" w16cid:durableId="1445078384">
    <w:abstractNumId w:val="0"/>
  </w:num>
  <w:num w:numId="3" w16cid:durableId="605621122">
    <w:abstractNumId w:val="5"/>
  </w:num>
  <w:num w:numId="4" w16cid:durableId="991562181">
    <w:abstractNumId w:val="11"/>
  </w:num>
  <w:num w:numId="5" w16cid:durableId="883753595">
    <w:abstractNumId w:val="13"/>
  </w:num>
  <w:num w:numId="6" w16cid:durableId="1048454192">
    <w:abstractNumId w:val="3"/>
  </w:num>
  <w:num w:numId="7" w16cid:durableId="160119040">
    <w:abstractNumId w:val="9"/>
  </w:num>
  <w:num w:numId="8" w16cid:durableId="1288202218">
    <w:abstractNumId w:val="10"/>
  </w:num>
  <w:num w:numId="9" w16cid:durableId="759832679">
    <w:abstractNumId w:val="15"/>
  </w:num>
  <w:num w:numId="10" w16cid:durableId="1147473970">
    <w:abstractNumId w:val="7"/>
  </w:num>
  <w:num w:numId="11" w16cid:durableId="1715428585">
    <w:abstractNumId w:val="2"/>
  </w:num>
  <w:num w:numId="12" w16cid:durableId="300961497">
    <w:abstractNumId w:val="6"/>
  </w:num>
  <w:num w:numId="13" w16cid:durableId="696732104">
    <w:abstractNumId w:val="14"/>
  </w:num>
  <w:num w:numId="14" w16cid:durableId="1882790572">
    <w:abstractNumId w:val="1"/>
  </w:num>
  <w:num w:numId="15" w16cid:durableId="918517822">
    <w:abstractNumId w:val="8"/>
  </w:num>
  <w:num w:numId="16" w16cid:durableId="1139764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933E5"/>
    <w:rsid w:val="000C2FDF"/>
    <w:rsid w:val="000E2187"/>
    <w:rsid w:val="00115D70"/>
    <w:rsid w:val="001172E3"/>
    <w:rsid w:val="00130F3C"/>
    <w:rsid w:val="001434C9"/>
    <w:rsid w:val="001A739B"/>
    <w:rsid w:val="001B62C4"/>
    <w:rsid w:val="001B7A98"/>
    <w:rsid w:val="00203FD5"/>
    <w:rsid w:val="002665A3"/>
    <w:rsid w:val="002904B0"/>
    <w:rsid w:val="002A06AD"/>
    <w:rsid w:val="002D46C6"/>
    <w:rsid w:val="002D7C60"/>
    <w:rsid w:val="00335B29"/>
    <w:rsid w:val="00341173"/>
    <w:rsid w:val="00372977"/>
    <w:rsid w:val="00377427"/>
    <w:rsid w:val="00386E0E"/>
    <w:rsid w:val="003C431B"/>
    <w:rsid w:val="003D1D64"/>
    <w:rsid w:val="004B5BAD"/>
    <w:rsid w:val="0051043D"/>
    <w:rsid w:val="00540863"/>
    <w:rsid w:val="005509E3"/>
    <w:rsid w:val="00576222"/>
    <w:rsid w:val="005C6DF7"/>
    <w:rsid w:val="005C7552"/>
    <w:rsid w:val="006806DE"/>
    <w:rsid w:val="00680EFA"/>
    <w:rsid w:val="00682FD0"/>
    <w:rsid w:val="006B763D"/>
    <w:rsid w:val="006B78F7"/>
    <w:rsid w:val="007346AC"/>
    <w:rsid w:val="00741D22"/>
    <w:rsid w:val="00754B1E"/>
    <w:rsid w:val="007C75D9"/>
    <w:rsid w:val="008050FB"/>
    <w:rsid w:val="00812FBF"/>
    <w:rsid w:val="008A14B7"/>
    <w:rsid w:val="008A4688"/>
    <w:rsid w:val="008F6A00"/>
    <w:rsid w:val="00904FBE"/>
    <w:rsid w:val="00930769"/>
    <w:rsid w:val="00936F49"/>
    <w:rsid w:val="009508A5"/>
    <w:rsid w:val="009709C2"/>
    <w:rsid w:val="00984BD1"/>
    <w:rsid w:val="009D5C8B"/>
    <w:rsid w:val="00A11FD4"/>
    <w:rsid w:val="00A21FC6"/>
    <w:rsid w:val="00A36781"/>
    <w:rsid w:val="00A47DF0"/>
    <w:rsid w:val="00A51CE2"/>
    <w:rsid w:val="00A5796F"/>
    <w:rsid w:val="00A948ED"/>
    <w:rsid w:val="00AA3AAC"/>
    <w:rsid w:val="00B24B8A"/>
    <w:rsid w:val="00B3044D"/>
    <w:rsid w:val="00B52C85"/>
    <w:rsid w:val="00C17FAB"/>
    <w:rsid w:val="00C27369"/>
    <w:rsid w:val="00C514B9"/>
    <w:rsid w:val="00C822BD"/>
    <w:rsid w:val="00CB641F"/>
    <w:rsid w:val="00CC3389"/>
    <w:rsid w:val="00CE4F54"/>
    <w:rsid w:val="00CE599C"/>
    <w:rsid w:val="00CE5AC9"/>
    <w:rsid w:val="00DA3B00"/>
    <w:rsid w:val="00DF455A"/>
    <w:rsid w:val="00E029F7"/>
    <w:rsid w:val="00E20C84"/>
    <w:rsid w:val="00E21C5B"/>
    <w:rsid w:val="00E6391E"/>
    <w:rsid w:val="00F34A5A"/>
    <w:rsid w:val="00F8607D"/>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FD9BE"/>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Spacing">
    <w:name w:val="No Spacing"/>
    <w:uiPriority w:val="1"/>
    <w:qFormat/>
    <w:rsid w:val="005509E3"/>
    <w:rPr>
      <w:rFonts w:asciiTheme="minorHAnsi" w:hAnsiTheme="minorHAnsi"/>
      <w:sz w:val="22"/>
      <w:szCs w:val="22"/>
      <w:lang w:eastAsia="en-US"/>
    </w:rPr>
  </w:style>
  <w:style w:type="paragraph" w:customStyle="1" w:styleId="ESText">
    <w:name w:val="ES Text"/>
    <w:basedOn w:val="Normal"/>
    <w:qFormat/>
    <w:rsid w:val="005509E3"/>
    <w:pPr>
      <w:spacing w:before="100" w:beforeAutospacing="1" w:after="100" w:afterAutospacing="1"/>
      <w:contextualSpacing/>
    </w:pPr>
    <w:rPr>
      <w:szCs w:val="24"/>
    </w:rPr>
  </w:style>
  <w:style w:type="paragraph" w:styleId="ListBullet">
    <w:name w:val="List Bullet"/>
    <w:basedOn w:val="Normal"/>
    <w:uiPriority w:val="99"/>
    <w:unhideWhenUsed/>
    <w:rsid w:val="000C2FDF"/>
    <w:pPr>
      <w:numPr>
        <w:numId w:val="11"/>
      </w:numPr>
      <w:contextualSpacing/>
    </w:pPr>
  </w:style>
  <w:style w:type="paragraph" w:styleId="ListParagraph">
    <w:name w:val="List Paragraph"/>
    <w:basedOn w:val="Normal"/>
    <w:link w:val="ListParagraphChar"/>
    <w:uiPriority w:val="34"/>
    <w:qFormat/>
    <w:rsid w:val="00B3044D"/>
    <w:pPr>
      <w:spacing w:after="160" w:line="259" w:lineRule="auto"/>
      <w:ind w:left="720"/>
      <w:contextualSpacing/>
    </w:pPr>
    <w:rPr>
      <w:rFonts w:asciiTheme="minorHAnsi" w:eastAsiaTheme="minorHAnsi" w:hAnsiTheme="minorHAnsi" w:cstheme="minorBidi"/>
      <w:sz w:val="22"/>
      <w:szCs w:val="22"/>
    </w:rPr>
  </w:style>
  <w:style w:type="paragraph" w:customStyle="1" w:styleId="paraplain">
    <w:name w:val="para_plain"/>
    <w:basedOn w:val="Normal"/>
    <w:rsid w:val="00CE5AC9"/>
    <w:pPr>
      <w:tabs>
        <w:tab w:val="left" w:pos="990"/>
      </w:tabs>
      <w:spacing w:after="240"/>
      <w:ind w:left="540"/>
    </w:pPr>
    <w:rPr>
      <w:rFonts w:ascii="Arial" w:hAnsi="Arial"/>
      <w:sz w:val="22"/>
      <w:lang w:eastAsia="en-AU"/>
    </w:rPr>
  </w:style>
  <w:style w:type="character" w:customStyle="1" w:styleId="ListParagraphChar">
    <w:name w:val="List Paragraph Char"/>
    <w:link w:val="ListParagraph"/>
    <w:uiPriority w:val="34"/>
    <w:locked/>
    <w:rsid w:val="00CE5AC9"/>
    <w:rPr>
      <w:rFonts w:asciiTheme="minorHAnsi" w:eastAsiaTheme="minorHAnsi" w:hAnsiTheme="minorHAnsi" w:cstheme="minorBidi"/>
      <w:sz w:val="22"/>
      <w:szCs w:val="22"/>
      <w:lang w:eastAsia="en-US"/>
    </w:rPr>
  </w:style>
  <w:style w:type="paragraph" w:styleId="ListNumber">
    <w:name w:val="List Number"/>
    <w:aliases w:val="List Alpha"/>
    <w:basedOn w:val="Normal"/>
    <w:autoRedefine/>
    <w:uiPriority w:val="99"/>
    <w:unhideWhenUsed/>
    <w:qFormat/>
    <w:rsid w:val="00B24B8A"/>
    <w:pPr>
      <w:numPr>
        <w:numId w:val="14"/>
      </w:numPr>
      <w:tabs>
        <w:tab w:val="clear" w:pos="1985"/>
        <w:tab w:val="num" w:pos="567"/>
      </w:tabs>
      <w:ind w:left="567" w:hanging="425"/>
    </w:pPr>
    <w:rPr>
      <w:rFonts w:ascii="Arial" w:eastAsiaTheme="minorHAnsi" w:hAnsi="Arial" w:cstheme="minorBidi"/>
      <w:w w:val="105"/>
      <w:sz w:val="22"/>
      <w:szCs w:val="22"/>
      <w:lang w:val="en-US"/>
    </w:rPr>
  </w:style>
  <w:style w:type="character" w:styleId="UnresolvedMention">
    <w:name w:val="Unresolved Mention"/>
    <w:basedOn w:val="DefaultParagraphFont"/>
    <w:uiPriority w:val="99"/>
    <w:semiHidden/>
    <w:unhideWhenUsed/>
    <w:rsid w:val="00B24B8A"/>
    <w:rPr>
      <w:color w:val="605E5C"/>
      <w:shd w:val="clear" w:color="auto" w:fill="E1DFDD"/>
    </w:rPr>
  </w:style>
  <w:style w:type="character" w:styleId="CommentReference">
    <w:name w:val="annotation reference"/>
    <w:basedOn w:val="DefaultParagraphFont"/>
    <w:uiPriority w:val="99"/>
    <w:unhideWhenUsed/>
    <w:rsid w:val="002A06AD"/>
    <w:rPr>
      <w:sz w:val="16"/>
      <w:szCs w:val="16"/>
    </w:rPr>
  </w:style>
  <w:style w:type="paragraph" w:styleId="CommentText">
    <w:name w:val="annotation text"/>
    <w:basedOn w:val="Normal"/>
    <w:link w:val="CommentTextChar"/>
    <w:uiPriority w:val="99"/>
    <w:unhideWhenUsed/>
    <w:rsid w:val="002A06AD"/>
    <w:rPr>
      <w:sz w:val="20"/>
    </w:rPr>
  </w:style>
  <w:style w:type="character" w:customStyle="1" w:styleId="CommentTextChar">
    <w:name w:val="Comment Text Char"/>
    <w:basedOn w:val="DefaultParagraphFont"/>
    <w:link w:val="CommentText"/>
    <w:uiPriority w:val="99"/>
    <w:rsid w:val="002A06AD"/>
    <w:rPr>
      <w:lang w:eastAsia="en-US"/>
    </w:rPr>
  </w:style>
  <w:style w:type="paragraph" w:styleId="CommentSubject">
    <w:name w:val="annotation subject"/>
    <w:basedOn w:val="CommentText"/>
    <w:next w:val="CommentText"/>
    <w:link w:val="CommentSubjectChar"/>
    <w:uiPriority w:val="99"/>
    <w:semiHidden/>
    <w:unhideWhenUsed/>
    <w:rsid w:val="002A06AD"/>
    <w:rPr>
      <w:b/>
      <w:bCs/>
    </w:rPr>
  </w:style>
  <w:style w:type="character" w:customStyle="1" w:styleId="CommentSubjectChar">
    <w:name w:val="Comment Subject Char"/>
    <w:basedOn w:val="CommentTextChar"/>
    <w:link w:val="CommentSubject"/>
    <w:uiPriority w:val="99"/>
    <w:semiHidden/>
    <w:rsid w:val="002A06A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A46897953</value>
    </field>
    <field name="Objective-Title">
      <value order="0">DI2024-125 - Utilities (Technical Regulation) (Water and Sewerage Code) Approval 2024 - Explanatory Statement</value>
    </field>
    <field name="Objective-Description">
      <value order="0"/>
    </field>
    <field name="Objective-CreationStamp">
      <value order="0">2024-06-04T23:34:33Z</value>
    </field>
    <field name="Objective-IsApproved">
      <value order="0">false</value>
    </field>
    <field name="Objective-IsPublished">
      <value order="0">true</value>
    </field>
    <field name="Objective-DatePublished">
      <value order="0">2024-06-11T00:10:41Z</value>
    </field>
    <field name="Objective-ModificationStamp">
      <value order="0">2024-06-11T00:10:47Z</value>
    </field>
    <field name="Objective-Owner">
      <value order="0">Cara Weekes</value>
    </field>
    <field name="Objective-Path">
      <value order="0">Whole of ACT Government:EPSDD - Environment Planning and Sustainable Development Directorate:07. Ministerial, Cabinet and Government Relations:06. Ministerials:z. 2013 - 2023 Ministerial and Chief Ministerial Correspondence:2023 - Ministerial and Chief Ministerial Briefs / Correspondence:Technical Regulator (AC):23/59619 Ministerial Information Brief -Rattenbury - Water and Sewerage Technical Code Instruments for Approval</value>
    </field>
    <field name="Objective-Parent">
      <value order="0">23/59619 Ministerial Information Brief -Rattenbury - Water and Sewerage Technical Code Instruments for Approval</value>
    </field>
    <field name="Objective-State">
      <value order="0">Published</value>
    </field>
    <field name="Objective-VersionId">
      <value order="0">vA58978005</value>
    </field>
    <field name="Objective-Version">
      <value order="0">3.0</value>
    </field>
    <field name="Objective-VersionNumber">
      <value order="0">3</value>
    </field>
    <field name="Objective-VersionComment">
      <value order="0"/>
    </field>
    <field name="Objective-FileNumber">
      <value order="0">1-2023/59619</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3153</Characters>
  <Application>Microsoft Office Word</Application>
  <DocSecurity>0</DocSecurity>
  <Lines>80</Lines>
  <Paragraphs>34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2024-06-11T00:17:00Z</dcterms:created>
  <dcterms:modified xsi:type="dcterms:W3CDTF">2024-06-11T00:17:00Z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A46897953</vt:lpwstr>
  </property>
  <property fmtid="{D5CDD505-2E9C-101B-9397-08002B2CF9AE}" pid="4" name="Objective-Title">
    <vt:lpwstr>DI2024-125 - Utilities (Technical Regulation) (Water and Sewerage Code) Approval 2024 - Explanatory Statement</vt:lpwstr>
  </property>
  <property fmtid="{D5CDD505-2E9C-101B-9397-08002B2CF9AE}" pid="5" name="Objective-Comment">
    <vt:lpwstr/>
  </property>
  <property fmtid="{D5CDD505-2E9C-101B-9397-08002B2CF9AE}" pid="6" name="Objective-CreationStamp">
    <vt:filetime>2024-06-04T23:34:33Z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2024-06-11T00:10:41Z</vt:filetime>
  </property>
  <property fmtid="{D5CDD505-2E9C-101B-9397-08002B2CF9AE}" pid="10" name="Objective-ModificationStamp">
    <vt:filetime>2024-06-11T00:10:47Z</vt:filetime>
  </property>
  <property fmtid="{D5CDD505-2E9C-101B-9397-08002B2CF9AE}" pid="11" name="Objective-Owner">
    <vt:lpwstr>Cara Weekes</vt:lpwstr>
  </property>
  <property fmtid="{D5CDD505-2E9C-101B-9397-08002B2CF9AE}" pid="12" name="Objective-Path">
    <vt:lpwstr>Whole of ACT Government:EPSDD - Environment Planning and Sustainable Development Directorate:07. Ministerial, Cabinet and Government Relations:06. Ministerials:z. 2013 - 2023 Ministerial and Chief Ministerial Correspondence:2023 - Ministerial and Chief Ministerial Briefs / Correspondence:Technical Regulator (AC):23/59619 Ministerial Information Brief -Rattenbury - Water and Sewerage Technical Code Instruments for Approval:</vt:lpwstr>
  </property>
  <property fmtid="{D5CDD505-2E9C-101B-9397-08002B2CF9AE}" pid="13" name="Objective-Parent">
    <vt:lpwstr>23/59619 Ministerial Information Brief -Rattenbury - Water and Sewerage Technical Code Instruments for Approval</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1-2023/59619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vA58978005</vt:lpwstr>
  </property>
  <property fmtid="{D5CDD505-2E9C-101B-9397-08002B2CF9AE}" pid="34" name="MSIP_Label_69af8531-eb46-4968-8cb3-105d2f5ea87e_Enabled">
    <vt:lpwstr>true</vt:lpwstr>
  </property>
  <property fmtid="{D5CDD505-2E9C-101B-9397-08002B2CF9AE}" pid="35" name="MSIP_Label_69af8531-eb46-4968-8cb3-105d2f5ea87e_SetDate">
    <vt:lpwstr>2024-06-04T23:29:53Z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5d2cddb3-ad69-409b-896d-fb2428b20e58</vt:lpwstr>
  </property>
  <property fmtid="{D5CDD505-2E9C-101B-9397-08002B2CF9AE}" pid="40" name="MSIP_Label_69af8531-eb46-4968-8cb3-105d2f5ea87e_ContentBits">
    <vt:lpwstr>0</vt:lpwstr>
  </property>
</Properties>
</file>