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3D1E" w14:textId="77777777" w:rsidR="005D70F1" w:rsidRPr="001B59B2" w:rsidRDefault="005D70F1">
      <w:pPr>
        <w:spacing w:before="120"/>
        <w:rPr>
          <w:rFonts w:ascii="Arial" w:hAnsi="Arial" w:cs="Arial"/>
        </w:rPr>
      </w:pPr>
      <w:bookmarkStart w:id="0" w:name="_Toc44738651"/>
      <w:r w:rsidRPr="001B59B2">
        <w:rPr>
          <w:rFonts w:ascii="Arial" w:hAnsi="Arial" w:cs="Arial"/>
        </w:rPr>
        <w:t>Australian Capital Territory</w:t>
      </w:r>
    </w:p>
    <w:p w14:paraId="3BB16D22" w14:textId="482EB17D" w:rsidR="00FD13E7" w:rsidRPr="001B59B2" w:rsidRDefault="00EB460C" w:rsidP="00FD13E7">
      <w:pPr>
        <w:pStyle w:val="Billname"/>
        <w:spacing w:before="700"/>
      </w:pPr>
      <w:r w:rsidRPr="001B59B2">
        <w:t>Taxation Administration (Amounts Payable—Home Buyer Conce</w:t>
      </w:r>
      <w:r w:rsidR="00F96354" w:rsidRPr="001B59B2">
        <w:t>ssion Scheme) Determination 20</w:t>
      </w:r>
      <w:r w:rsidR="004D52AB">
        <w:t>2</w:t>
      </w:r>
      <w:r w:rsidR="002F72EF">
        <w:t>4</w:t>
      </w:r>
    </w:p>
    <w:p w14:paraId="20B484E6" w14:textId="4F480371" w:rsidR="00FD13E7" w:rsidRPr="001B59B2" w:rsidRDefault="005D70F1" w:rsidP="00FD13E7">
      <w:pPr>
        <w:spacing w:before="240" w:after="60"/>
        <w:rPr>
          <w:rFonts w:ascii="Arial" w:hAnsi="Arial" w:cs="Arial"/>
          <w:b/>
          <w:bCs/>
          <w:szCs w:val="26"/>
          <w:vertAlign w:val="superscript"/>
        </w:rPr>
      </w:pPr>
      <w:r w:rsidRPr="001B59B2">
        <w:rPr>
          <w:rFonts w:ascii="Arial" w:hAnsi="Arial" w:cs="Arial"/>
          <w:b/>
          <w:bCs/>
          <w:szCs w:val="26"/>
        </w:rPr>
        <w:t xml:space="preserve">Disallowable instrument </w:t>
      </w:r>
      <w:r w:rsidR="00FD13E7" w:rsidRPr="001B59B2">
        <w:rPr>
          <w:rFonts w:ascii="Arial" w:hAnsi="Arial" w:cs="Arial"/>
          <w:b/>
          <w:bCs/>
          <w:szCs w:val="26"/>
        </w:rPr>
        <w:t>DI</w:t>
      </w:r>
      <w:r w:rsidR="007276F9" w:rsidRPr="001B59B2">
        <w:rPr>
          <w:rFonts w:ascii="Arial" w:hAnsi="Arial" w:cs="Arial"/>
          <w:b/>
          <w:bCs/>
          <w:iCs/>
          <w:szCs w:val="26"/>
        </w:rPr>
        <w:t>20</w:t>
      </w:r>
      <w:r w:rsidR="004D52AB">
        <w:rPr>
          <w:rFonts w:ascii="Arial" w:hAnsi="Arial" w:cs="Arial"/>
          <w:b/>
          <w:bCs/>
          <w:iCs/>
          <w:szCs w:val="26"/>
        </w:rPr>
        <w:t>2</w:t>
      </w:r>
      <w:r w:rsidR="002F72EF">
        <w:rPr>
          <w:rFonts w:ascii="Arial" w:hAnsi="Arial" w:cs="Arial"/>
          <w:b/>
          <w:bCs/>
          <w:iCs/>
          <w:szCs w:val="26"/>
        </w:rPr>
        <w:t>4</w:t>
      </w:r>
      <w:r w:rsidR="007276F9" w:rsidRPr="001B59B2">
        <w:rPr>
          <w:rFonts w:ascii="Arial" w:hAnsi="Arial" w:cs="Arial"/>
          <w:b/>
          <w:bCs/>
          <w:szCs w:val="26"/>
        </w:rPr>
        <w:t>–</w:t>
      </w:r>
      <w:r w:rsidR="00312C89">
        <w:rPr>
          <w:rFonts w:ascii="Arial" w:hAnsi="Arial" w:cs="Arial"/>
          <w:b/>
          <w:bCs/>
          <w:szCs w:val="26"/>
        </w:rPr>
        <w:t>175</w:t>
      </w:r>
    </w:p>
    <w:p w14:paraId="485B3356" w14:textId="77777777" w:rsidR="005D70F1" w:rsidRPr="001B59B2" w:rsidRDefault="005D70F1" w:rsidP="00FD13E7">
      <w:pPr>
        <w:spacing w:before="240" w:after="60"/>
      </w:pPr>
      <w:r w:rsidRPr="001B59B2">
        <w:t xml:space="preserve">made under the  </w:t>
      </w:r>
    </w:p>
    <w:p w14:paraId="6DCD4487" w14:textId="77777777" w:rsidR="005D70F1" w:rsidRPr="001B59B2" w:rsidRDefault="00EB460C" w:rsidP="00644E63">
      <w:pPr>
        <w:pStyle w:val="CoverActName"/>
        <w:rPr>
          <w:rFonts w:cs="Arial"/>
          <w:sz w:val="20"/>
        </w:rPr>
      </w:pPr>
      <w:r w:rsidRPr="001B59B2">
        <w:rPr>
          <w:rFonts w:cs="Arial"/>
          <w:i/>
          <w:sz w:val="20"/>
        </w:rPr>
        <w:t xml:space="preserve">Taxation Administration Act 1999, </w:t>
      </w:r>
      <w:r w:rsidR="00F6527A" w:rsidRPr="001B59B2">
        <w:rPr>
          <w:rFonts w:cs="Arial"/>
          <w:sz w:val="20"/>
        </w:rPr>
        <w:t>s</w:t>
      </w:r>
      <w:r w:rsidRPr="001B59B2">
        <w:rPr>
          <w:rFonts w:cs="Arial"/>
          <w:sz w:val="20"/>
        </w:rPr>
        <w:t xml:space="preserve"> 139 (Determination of amounts payable under tax laws)</w:t>
      </w:r>
    </w:p>
    <w:p w14:paraId="76CAEA86" w14:textId="77777777" w:rsidR="005D70F1" w:rsidRPr="001B59B2" w:rsidRDefault="005D70F1">
      <w:pPr>
        <w:spacing w:before="360"/>
        <w:ind w:right="565"/>
        <w:rPr>
          <w:rFonts w:ascii="Arial" w:hAnsi="Arial" w:cs="Arial"/>
          <w:b/>
          <w:bCs/>
          <w:sz w:val="28"/>
          <w:szCs w:val="28"/>
        </w:rPr>
      </w:pPr>
      <w:r w:rsidRPr="001B59B2">
        <w:rPr>
          <w:rFonts w:ascii="Arial" w:hAnsi="Arial" w:cs="Arial"/>
          <w:b/>
          <w:bCs/>
          <w:sz w:val="28"/>
          <w:szCs w:val="28"/>
        </w:rPr>
        <w:t>EXPLANATORY STATEMENT</w:t>
      </w:r>
    </w:p>
    <w:p w14:paraId="6193FDB4" w14:textId="77777777" w:rsidR="005D70F1" w:rsidRPr="001B59B2" w:rsidRDefault="005D70F1">
      <w:pPr>
        <w:pStyle w:val="N-line3"/>
        <w:pBdr>
          <w:bottom w:val="none" w:sz="0" w:space="0" w:color="auto"/>
        </w:pBdr>
      </w:pPr>
    </w:p>
    <w:p w14:paraId="0578D94E" w14:textId="77777777" w:rsidR="005D70F1" w:rsidRPr="001B59B2" w:rsidRDefault="005D70F1">
      <w:pPr>
        <w:pStyle w:val="N-line3"/>
        <w:pBdr>
          <w:top w:val="single" w:sz="12" w:space="1" w:color="auto"/>
          <w:bottom w:val="none" w:sz="0" w:space="0" w:color="auto"/>
        </w:pBdr>
      </w:pPr>
    </w:p>
    <w:bookmarkEnd w:id="0"/>
    <w:p w14:paraId="257B1DD5" w14:textId="77777777" w:rsidR="00983C0A" w:rsidRDefault="00983C0A" w:rsidP="00644E63"/>
    <w:p w14:paraId="083542EE" w14:textId="2F84789E" w:rsidR="00EB460C" w:rsidRPr="001B59B2" w:rsidRDefault="00EB460C" w:rsidP="00644E63">
      <w:r w:rsidRPr="001B59B2">
        <w:t xml:space="preserve">This instrument commences on </w:t>
      </w:r>
      <w:r w:rsidR="002F72EF">
        <w:t>1 July 2024</w:t>
      </w:r>
      <w:r w:rsidRPr="001B59B2">
        <w:t>.</w:t>
      </w:r>
    </w:p>
    <w:p w14:paraId="7E5563C6" w14:textId="77777777" w:rsidR="000341B5" w:rsidRPr="001B59B2" w:rsidRDefault="000341B5" w:rsidP="00644E63"/>
    <w:p w14:paraId="2CE18F6D" w14:textId="2A93ABF2" w:rsidR="000341B5" w:rsidRPr="001B59B2" w:rsidRDefault="000341B5" w:rsidP="000341B5">
      <w:r w:rsidRPr="001B59B2">
        <w:t xml:space="preserve">The </w:t>
      </w:r>
      <w:r w:rsidRPr="001B59B2">
        <w:rPr>
          <w:i/>
          <w:iCs/>
        </w:rPr>
        <w:t>Taxation Administration Act 1999</w:t>
      </w:r>
      <w:r w:rsidRPr="001B59B2">
        <w:t xml:space="preserve"> (the TA</w:t>
      </w:r>
      <w:r w:rsidR="00861DAE">
        <w:t xml:space="preserve"> </w:t>
      </w:r>
      <w:r w:rsidRPr="001B59B2">
        <w:t>A</w:t>
      </w:r>
      <w:r w:rsidR="00861DAE">
        <w:t>ct</w:t>
      </w:r>
      <w:r w:rsidRPr="001B59B2">
        <w:t>) deals with the administration of various tax laws relating to the imposition of certain taxes, duties and fees. These tax laws are specified in section 4 of the TA</w:t>
      </w:r>
      <w:r w:rsidR="00861DAE">
        <w:t xml:space="preserve"> </w:t>
      </w:r>
      <w:r w:rsidRPr="001B59B2">
        <w:t>A</w:t>
      </w:r>
      <w:r w:rsidR="00861DAE">
        <w:t>ct</w:t>
      </w:r>
      <w:r w:rsidRPr="001B59B2">
        <w:t>. Section 139 of the TA</w:t>
      </w:r>
      <w:r w:rsidR="00861DAE">
        <w:t xml:space="preserve"> </w:t>
      </w:r>
      <w:r w:rsidRPr="001B59B2">
        <w:t>A</w:t>
      </w:r>
      <w:r w:rsidR="00861DAE">
        <w:t>ct</w:t>
      </w:r>
      <w:r w:rsidRPr="001B59B2">
        <w:t xml:space="preserve"> empowers the Minister to determine amounts payable for taxes, duties and</w:t>
      </w:r>
      <w:r w:rsidR="00ED0D29">
        <w:t xml:space="preserve"> licence</w:t>
      </w:r>
      <w:r w:rsidRPr="001B59B2">
        <w:t xml:space="preserve"> fees, and the method by which an amount is to be calculated.</w:t>
      </w:r>
    </w:p>
    <w:p w14:paraId="64482309" w14:textId="77777777" w:rsidR="000341B5" w:rsidRPr="001B59B2" w:rsidRDefault="000341B5" w:rsidP="000341B5"/>
    <w:p w14:paraId="3E74F353" w14:textId="4036C204" w:rsidR="000341B5" w:rsidRPr="001B59B2" w:rsidRDefault="000341B5" w:rsidP="000341B5">
      <w:r w:rsidRPr="001B59B2">
        <w:t>One of the specified tax laws</w:t>
      </w:r>
      <w:r w:rsidR="00ED0D29">
        <w:t xml:space="preserve"> under section 4</w:t>
      </w:r>
      <w:r w:rsidRPr="001B59B2">
        <w:t xml:space="preserve"> is the </w:t>
      </w:r>
      <w:r w:rsidRPr="001B59B2">
        <w:rPr>
          <w:i/>
          <w:iCs/>
        </w:rPr>
        <w:t>Duties Act 1999</w:t>
      </w:r>
      <w:r w:rsidRPr="001B59B2">
        <w:t xml:space="preserve"> (the Act)</w:t>
      </w:r>
      <w:r w:rsidR="002D113F">
        <w:t xml:space="preserve">. </w:t>
      </w:r>
      <w:r w:rsidRPr="001B59B2">
        <w:t>Chapter 2 of the Act deals with the imposition of duty on the grant of a Crown lease and the transfer or agreement for the transfer of a Crown lease, which are subject to duty</w:t>
      </w:r>
      <w:r w:rsidR="002D113F">
        <w:t xml:space="preserve">. </w:t>
      </w:r>
      <w:r w:rsidRPr="001B59B2">
        <w:t>Section 12 of the Act states that the duty is payable by the transferee</w:t>
      </w:r>
      <w:r w:rsidRPr="001B59B2">
        <w:rPr>
          <w:i/>
          <w:iCs/>
        </w:rPr>
        <w:t>,</w:t>
      </w:r>
      <w:r w:rsidRPr="001B59B2">
        <w:t xml:space="preserve"> and section 5 of the Act states that the duty</w:t>
      </w:r>
      <w:r w:rsidR="00496240">
        <w:t xml:space="preserve"> liability</w:t>
      </w:r>
      <w:r w:rsidRPr="001B59B2">
        <w:t xml:space="preserve"> is </w:t>
      </w:r>
      <w:r w:rsidR="00496240">
        <w:t xml:space="preserve">debt due </w:t>
      </w:r>
      <w:r w:rsidRPr="001B59B2">
        <w:t>to the Territory.</w:t>
      </w:r>
    </w:p>
    <w:p w14:paraId="27A795F0" w14:textId="77777777" w:rsidR="000341B5" w:rsidRPr="001B59B2" w:rsidRDefault="000341B5" w:rsidP="000341B5"/>
    <w:p w14:paraId="632FE968" w14:textId="77777777" w:rsidR="005C64EE" w:rsidRPr="001B59B2" w:rsidRDefault="0086473D" w:rsidP="005C64EE">
      <w:pPr>
        <w:rPr>
          <w:rFonts w:ascii="Arial" w:hAnsi="Arial" w:cs="Arial"/>
          <w:b/>
          <w:sz w:val="26"/>
          <w:szCs w:val="26"/>
        </w:rPr>
      </w:pPr>
      <w:r w:rsidRPr="001B59B2">
        <w:rPr>
          <w:rFonts w:ascii="Arial" w:hAnsi="Arial" w:cs="Arial"/>
          <w:b/>
          <w:sz w:val="26"/>
          <w:szCs w:val="26"/>
        </w:rPr>
        <w:t xml:space="preserve">Home Buyer Concession Scheme </w:t>
      </w:r>
    </w:p>
    <w:p w14:paraId="401A3716" w14:textId="77777777" w:rsidR="005C64EE" w:rsidRPr="001B59B2" w:rsidRDefault="005C64EE" w:rsidP="000341B5"/>
    <w:p w14:paraId="48C02DF2" w14:textId="0FE4C2F1" w:rsidR="00EB460C" w:rsidRPr="001B59B2" w:rsidRDefault="000341B5" w:rsidP="000341B5">
      <w:r w:rsidRPr="001B59B2">
        <w:t xml:space="preserve">The Home Buyer Concession Scheme (HBCS) is an ACT Government initiative administered by the ACT Revenue Office to assist people in purchasing a home or vacant land </w:t>
      </w:r>
      <w:r w:rsidR="00FF5C0C">
        <w:t xml:space="preserve">to build a home </w:t>
      </w:r>
      <w:r w:rsidRPr="001B59B2">
        <w:t>by charging duty at a concessional rate.</w:t>
      </w:r>
    </w:p>
    <w:p w14:paraId="0FAF666C" w14:textId="77777777" w:rsidR="000341B5" w:rsidRPr="001B59B2" w:rsidRDefault="000341B5" w:rsidP="000341B5"/>
    <w:p w14:paraId="56F8F7FA" w14:textId="77777777" w:rsidR="0001776D" w:rsidRDefault="000341B5" w:rsidP="0001776D">
      <w:r w:rsidRPr="001B59B2">
        <w:t>This instrument determines</w:t>
      </w:r>
      <w:r w:rsidR="00217E47" w:rsidRPr="001B59B2">
        <w:t>,</w:t>
      </w:r>
      <w:r w:rsidR="0001776D" w:rsidRPr="001B59B2">
        <w:t xml:space="preserve"> for the purposes of the </w:t>
      </w:r>
      <w:r w:rsidR="00217E47" w:rsidRPr="001B59B2">
        <w:t>HBCS</w:t>
      </w:r>
      <w:r w:rsidR="0001776D" w:rsidRPr="001B59B2">
        <w:t>:</w:t>
      </w:r>
    </w:p>
    <w:p w14:paraId="4558156D" w14:textId="77777777" w:rsidR="00372917" w:rsidRPr="001B59B2" w:rsidRDefault="00372917" w:rsidP="0001776D"/>
    <w:p w14:paraId="476E23F0" w14:textId="1E20FB6B" w:rsidR="00BE4ED7" w:rsidRPr="001B59B2" w:rsidRDefault="00BE4ED7" w:rsidP="00177FE4">
      <w:pPr>
        <w:pStyle w:val="ListParagraph"/>
        <w:numPr>
          <w:ilvl w:val="0"/>
          <w:numId w:val="21"/>
        </w:numPr>
      </w:pPr>
      <w:r w:rsidRPr="001B59B2">
        <w:t>the eligibility requirements, including property ownership</w:t>
      </w:r>
      <w:r w:rsidR="003F4465">
        <w:t>, income</w:t>
      </w:r>
      <w:r w:rsidRPr="001B59B2">
        <w:t xml:space="preserve"> and residency</w:t>
      </w:r>
      <w:r>
        <w:t>; and</w:t>
      </w:r>
    </w:p>
    <w:p w14:paraId="330482D3" w14:textId="53B0D795" w:rsidR="0001776D" w:rsidRPr="001B59B2" w:rsidRDefault="0001776D" w:rsidP="00177FE4">
      <w:pPr>
        <w:pStyle w:val="ListParagraph"/>
        <w:numPr>
          <w:ilvl w:val="0"/>
          <w:numId w:val="21"/>
        </w:numPr>
      </w:pPr>
      <w:r w:rsidRPr="001B59B2">
        <w:t>the method of calculation of duty payable under section 31 of the Act</w:t>
      </w:r>
      <w:r w:rsidR="00BE4ED7">
        <w:t>.</w:t>
      </w:r>
    </w:p>
    <w:p w14:paraId="4F1BA813" w14:textId="4E1316D7" w:rsidR="0001776D" w:rsidRPr="001B59B2" w:rsidRDefault="0001776D" w:rsidP="00CD5FF5">
      <w:pPr>
        <w:pStyle w:val="ListParagraph"/>
      </w:pPr>
    </w:p>
    <w:p w14:paraId="730BCF6B" w14:textId="77777777" w:rsidR="0066239F" w:rsidRPr="004F3B84" w:rsidRDefault="0066239F" w:rsidP="00177FE4"/>
    <w:p w14:paraId="27213901" w14:textId="77777777" w:rsidR="00D2391E" w:rsidRPr="004F3B84" w:rsidRDefault="0086473D" w:rsidP="005C64EE">
      <w:pPr>
        <w:keepNext/>
        <w:rPr>
          <w:rFonts w:ascii="Arial" w:hAnsi="Arial" w:cs="Arial"/>
          <w:b/>
          <w:sz w:val="26"/>
          <w:szCs w:val="26"/>
        </w:rPr>
      </w:pPr>
      <w:r w:rsidRPr="004F3B84">
        <w:rPr>
          <w:rFonts w:ascii="Arial" w:hAnsi="Arial" w:cs="Arial"/>
          <w:b/>
          <w:sz w:val="26"/>
          <w:szCs w:val="26"/>
        </w:rPr>
        <w:lastRenderedPageBreak/>
        <w:t>Updates</w:t>
      </w:r>
    </w:p>
    <w:p w14:paraId="1925441A" w14:textId="13C0D0DB" w:rsidR="00BE4ED7" w:rsidRPr="00E12664" w:rsidRDefault="00BE4ED7" w:rsidP="004F3B84">
      <w:pPr>
        <w:keepNext/>
        <w:rPr>
          <w:szCs w:val="24"/>
          <w:lang w:eastAsia="en-AU"/>
        </w:rPr>
      </w:pPr>
    </w:p>
    <w:p w14:paraId="1B12BBCF" w14:textId="74615A2B" w:rsidR="007A38E8" w:rsidRPr="00E708B9" w:rsidRDefault="007A05B3" w:rsidP="002C30B0">
      <w:pPr>
        <w:rPr>
          <w:szCs w:val="24"/>
          <w:lang w:eastAsia="en-AU"/>
        </w:rPr>
      </w:pPr>
      <w:bookmarkStart w:id="1" w:name="_Hlk148506649"/>
      <w:r w:rsidRPr="00E708B9">
        <w:t xml:space="preserve">The instrument </w:t>
      </w:r>
      <w:bookmarkEnd w:id="1"/>
      <w:r w:rsidR="002F72EF" w:rsidRPr="00E708B9">
        <w:t xml:space="preserve">simplifies the HBCS income requirements and updates </w:t>
      </w:r>
      <w:r w:rsidR="00046802" w:rsidRPr="00E708B9">
        <w:t xml:space="preserve">income </w:t>
      </w:r>
      <w:r w:rsidR="002F72EF" w:rsidRPr="00E708B9">
        <w:t>thresholds</w:t>
      </w:r>
      <w:r w:rsidR="0083672C" w:rsidRPr="00E708B9">
        <w:rPr>
          <w:szCs w:val="24"/>
          <w:lang w:eastAsia="en-AU"/>
        </w:rPr>
        <w:t>.</w:t>
      </w:r>
      <w:r w:rsidR="002F72EF" w:rsidRPr="00E708B9">
        <w:rPr>
          <w:szCs w:val="24"/>
          <w:lang w:eastAsia="en-AU"/>
        </w:rPr>
        <w:t xml:space="preserve"> In particular, the ‘total gross income’ test is replaced with a more </w:t>
      </w:r>
      <w:r w:rsidR="005C3757" w:rsidRPr="00E708B9">
        <w:rPr>
          <w:szCs w:val="24"/>
          <w:lang w:eastAsia="en-AU"/>
        </w:rPr>
        <w:t xml:space="preserve">readily understood </w:t>
      </w:r>
      <w:r w:rsidR="002F72EF" w:rsidRPr="00E708B9">
        <w:rPr>
          <w:szCs w:val="24"/>
          <w:lang w:eastAsia="en-AU"/>
        </w:rPr>
        <w:t>‘taxable income’ test. This makes the test more transparent and easier for taxpayers to comply, as they can determine their standing against the thresholds based on information</w:t>
      </w:r>
      <w:r w:rsidR="005C3757" w:rsidRPr="00E708B9">
        <w:rPr>
          <w:szCs w:val="24"/>
          <w:lang w:eastAsia="en-AU"/>
        </w:rPr>
        <w:t xml:space="preserve"> available</w:t>
      </w:r>
      <w:r w:rsidR="002F72EF" w:rsidRPr="00E708B9">
        <w:rPr>
          <w:szCs w:val="24"/>
          <w:lang w:eastAsia="en-AU"/>
        </w:rPr>
        <w:t xml:space="preserve"> from their </w:t>
      </w:r>
      <w:r w:rsidR="007A38E8" w:rsidRPr="007C44EF">
        <w:rPr>
          <w:szCs w:val="24"/>
          <w:lang w:eastAsia="en-AU"/>
        </w:rPr>
        <w:t xml:space="preserve">notice of assessment issued by the </w:t>
      </w:r>
      <w:r w:rsidR="002F72EF" w:rsidRPr="00E708B9">
        <w:rPr>
          <w:szCs w:val="24"/>
          <w:lang w:eastAsia="en-AU"/>
        </w:rPr>
        <w:t>Australian Tax Office</w:t>
      </w:r>
      <w:r w:rsidR="00044D3E">
        <w:rPr>
          <w:szCs w:val="24"/>
          <w:lang w:eastAsia="en-AU"/>
        </w:rPr>
        <w:t xml:space="preserve"> </w:t>
      </w:r>
      <w:r w:rsidR="007A38E8" w:rsidRPr="007C44EF">
        <w:rPr>
          <w:szCs w:val="24"/>
          <w:lang w:eastAsia="en-AU"/>
        </w:rPr>
        <w:t>(through the Commissioner of Taxation)</w:t>
      </w:r>
      <w:r w:rsidR="002F72EF" w:rsidRPr="00E708B9">
        <w:rPr>
          <w:szCs w:val="24"/>
          <w:lang w:eastAsia="en-AU"/>
        </w:rPr>
        <w:t xml:space="preserve">. </w:t>
      </w:r>
      <w:r w:rsidR="007A38E8" w:rsidRPr="00E708B9">
        <w:rPr>
          <w:szCs w:val="24"/>
          <w:lang w:eastAsia="en-AU"/>
        </w:rPr>
        <w:t>If a person does not have a notice of assessment issued in the prior year, then the gross income test will apply</w:t>
      </w:r>
      <w:r w:rsidR="00E708B9" w:rsidRPr="00E708B9">
        <w:rPr>
          <w:szCs w:val="24"/>
          <w:lang w:eastAsia="en-AU"/>
        </w:rPr>
        <w:t>,</w:t>
      </w:r>
      <w:r w:rsidR="007A38E8" w:rsidRPr="00E708B9">
        <w:rPr>
          <w:szCs w:val="24"/>
          <w:lang w:eastAsia="en-AU"/>
        </w:rPr>
        <w:t xml:space="preserve"> which includes income from all sources. </w:t>
      </w:r>
    </w:p>
    <w:p w14:paraId="137B310A" w14:textId="77777777" w:rsidR="007A38E8" w:rsidRPr="00E708B9" w:rsidRDefault="007A38E8" w:rsidP="002C30B0">
      <w:pPr>
        <w:rPr>
          <w:szCs w:val="24"/>
          <w:lang w:eastAsia="en-AU"/>
        </w:rPr>
      </w:pPr>
    </w:p>
    <w:p w14:paraId="0A495EDA" w14:textId="5B7D75D6" w:rsidR="009620B8" w:rsidRPr="00E708B9" w:rsidRDefault="00951230" w:rsidP="002C30B0">
      <w:pPr>
        <w:rPr>
          <w:szCs w:val="24"/>
          <w:lang w:eastAsia="en-AU"/>
        </w:rPr>
      </w:pPr>
      <w:r w:rsidRPr="007C44EF">
        <w:rPr>
          <w:szCs w:val="24"/>
          <w:lang w:eastAsia="en-AU"/>
        </w:rPr>
        <w:t xml:space="preserve">The income threshold for all eligible home buyers and their domestic partners has increased from $170,000 to $250,000. The income threshold amount </w:t>
      </w:r>
      <w:r w:rsidR="007A38E8" w:rsidRPr="007C44EF">
        <w:rPr>
          <w:szCs w:val="24"/>
          <w:lang w:eastAsia="en-AU"/>
        </w:rPr>
        <w:t xml:space="preserve">per </w:t>
      </w:r>
      <w:r w:rsidR="00AF78F8">
        <w:rPr>
          <w:szCs w:val="24"/>
          <w:lang w:eastAsia="en-AU"/>
        </w:rPr>
        <w:t xml:space="preserve">dependent </w:t>
      </w:r>
      <w:r w:rsidRPr="007C44EF">
        <w:rPr>
          <w:szCs w:val="24"/>
          <w:lang w:eastAsia="en-AU"/>
        </w:rPr>
        <w:t xml:space="preserve">child </w:t>
      </w:r>
      <w:r w:rsidR="00AF78F8">
        <w:rPr>
          <w:szCs w:val="24"/>
          <w:lang w:eastAsia="en-AU"/>
        </w:rPr>
        <w:t xml:space="preserve">(as defined in the </w:t>
      </w:r>
      <w:r w:rsidR="00AF78F8" w:rsidRPr="007C44EF">
        <w:rPr>
          <w:i/>
          <w:iCs/>
          <w:szCs w:val="24"/>
          <w:lang w:eastAsia="en-AU"/>
        </w:rPr>
        <w:t>Social Security Act 1991</w:t>
      </w:r>
      <w:r w:rsidR="00AF78F8">
        <w:rPr>
          <w:szCs w:val="24"/>
          <w:lang w:eastAsia="en-AU"/>
        </w:rPr>
        <w:t xml:space="preserve"> (Cwlth) </w:t>
      </w:r>
      <w:r w:rsidR="007A38E8" w:rsidRPr="007C44EF">
        <w:rPr>
          <w:szCs w:val="24"/>
          <w:lang w:eastAsia="en-AU"/>
        </w:rPr>
        <w:t xml:space="preserve">has increased </w:t>
      </w:r>
      <w:r w:rsidRPr="007C44EF">
        <w:rPr>
          <w:szCs w:val="24"/>
          <w:lang w:eastAsia="en-AU"/>
        </w:rPr>
        <w:t xml:space="preserve">from $3,330 to $4,600 </w:t>
      </w:r>
      <w:r w:rsidR="00044D3E">
        <w:rPr>
          <w:szCs w:val="24"/>
          <w:lang w:eastAsia="en-AU"/>
        </w:rPr>
        <w:t xml:space="preserve">for </w:t>
      </w:r>
      <w:r w:rsidRPr="007C44EF">
        <w:rPr>
          <w:szCs w:val="24"/>
          <w:lang w:eastAsia="en-AU"/>
        </w:rPr>
        <w:t>up to 5 children.</w:t>
      </w:r>
      <w:r w:rsidR="0059269D" w:rsidRPr="00E708B9">
        <w:rPr>
          <w:szCs w:val="24"/>
          <w:lang w:eastAsia="en-AU"/>
        </w:rPr>
        <w:t xml:space="preserve"> </w:t>
      </w:r>
    </w:p>
    <w:p w14:paraId="21605652" w14:textId="77777777" w:rsidR="00951230" w:rsidRPr="00E708B9" w:rsidRDefault="00951230" w:rsidP="002C30B0">
      <w:pPr>
        <w:rPr>
          <w:szCs w:val="24"/>
          <w:lang w:eastAsia="en-AU"/>
        </w:rPr>
      </w:pPr>
    </w:p>
    <w:p w14:paraId="35ABF157" w14:textId="2197B438" w:rsidR="00CD0047" w:rsidRPr="00E708B9" w:rsidRDefault="0059269D" w:rsidP="002C30B0">
      <w:pPr>
        <w:rPr>
          <w:szCs w:val="24"/>
          <w:lang w:eastAsia="en-AU"/>
        </w:rPr>
      </w:pPr>
      <w:r w:rsidRPr="00E708B9">
        <w:rPr>
          <w:szCs w:val="24"/>
          <w:lang w:eastAsia="en-AU"/>
        </w:rPr>
        <w:t>In respect of the definition of an ‘eligible transaction’, t</w:t>
      </w:r>
      <w:r w:rsidR="00951230" w:rsidRPr="00E708B9">
        <w:rPr>
          <w:szCs w:val="24"/>
          <w:lang w:eastAsia="en-AU"/>
        </w:rPr>
        <w:t>he property eligibility criteri</w:t>
      </w:r>
      <w:r w:rsidR="00E708B9">
        <w:rPr>
          <w:szCs w:val="24"/>
          <w:lang w:eastAsia="en-AU"/>
        </w:rPr>
        <w:t>on</w:t>
      </w:r>
      <w:r w:rsidR="00951230" w:rsidRPr="00E708B9">
        <w:rPr>
          <w:szCs w:val="24"/>
          <w:lang w:eastAsia="en-AU"/>
        </w:rPr>
        <w:t xml:space="preserve"> ha</w:t>
      </w:r>
      <w:r w:rsidR="00E708B9">
        <w:rPr>
          <w:szCs w:val="24"/>
          <w:lang w:eastAsia="en-AU"/>
        </w:rPr>
        <w:t xml:space="preserve">s </w:t>
      </w:r>
      <w:r w:rsidR="00951230" w:rsidRPr="00E708B9">
        <w:rPr>
          <w:szCs w:val="24"/>
          <w:lang w:eastAsia="en-AU"/>
        </w:rPr>
        <w:t xml:space="preserve">also been adjusted. All eligible home buyers and their domestic partners must not have held a legal or equitable interest in land </w:t>
      </w:r>
      <w:r w:rsidR="00A66C0A" w:rsidRPr="00E708B9">
        <w:rPr>
          <w:szCs w:val="24"/>
          <w:lang w:eastAsia="en-AU"/>
        </w:rPr>
        <w:t>for the previous 5 years, up from 2</w:t>
      </w:r>
      <w:r w:rsidR="006E5FA2">
        <w:t> </w:t>
      </w:r>
      <w:r w:rsidR="00A66C0A" w:rsidRPr="00E708B9">
        <w:rPr>
          <w:szCs w:val="24"/>
          <w:lang w:eastAsia="en-AU"/>
        </w:rPr>
        <w:t xml:space="preserve">years. </w:t>
      </w:r>
    </w:p>
    <w:p w14:paraId="60DE9A8A" w14:textId="77777777" w:rsidR="00657592" w:rsidRPr="007C44EF" w:rsidRDefault="00657592" w:rsidP="00657592">
      <w:pPr>
        <w:rPr>
          <w:szCs w:val="24"/>
          <w:lang w:eastAsia="en-AU"/>
        </w:rPr>
      </w:pPr>
    </w:p>
    <w:p w14:paraId="0624F888" w14:textId="3D3E1D9D" w:rsidR="00427647" w:rsidRDefault="00B22846" w:rsidP="000806FC">
      <w:pPr>
        <w:rPr>
          <w:szCs w:val="24"/>
          <w:lang w:eastAsia="en-AU"/>
        </w:rPr>
      </w:pPr>
      <w:r w:rsidRPr="007C44EF">
        <w:rPr>
          <w:szCs w:val="24"/>
          <w:lang w:eastAsia="en-AU"/>
        </w:rPr>
        <w:t>New provisions apply for home buyers</w:t>
      </w:r>
      <w:r w:rsidR="007A38E8" w:rsidRPr="007C44EF">
        <w:rPr>
          <w:szCs w:val="24"/>
          <w:lang w:eastAsia="en-AU"/>
        </w:rPr>
        <w:t xml:space="preserve"> or their dependent children</w:t>
      </w:r>
      <w:r w:rsidRPr="007C44EF">
        <w:rPr>
          <w:szCs w:val="24"/>
          <w:lang w:eastAsia="en-AU"/>
        </w:rPr>
        <w:t xml:space="preserve"> who have experienced family violence.</w:t>
      </w:r>
      <w:r w:rsidR="00657592" w:rsidRPr="007C44EF">
        <w:rPr>
          <w:szCs w:val="24"/>
          <w:lang w:eastAsia="en-AU"/>
        </w:rPr>
        <w:t xml:space="preserve"> </w:t>
      </w:r>
      <w:r w:rsidR="00260AEB" w:rsidRPr="007C44EF">
        <w:rPr>
          <w:szCs w:val="24"/>
          <w:lang w:eastAsia="en-AU"/>
        </w:rPr>
        <w:t xml:space="preserve">Prior legal or equitable interests in land will be deemed as an ‘allowed interest’ and excluded from the eligible transaction test </w:t>
      </w:r>
      <w:r w:rsidR="00657592" w:rsidRPr="007C44EF">
        <w:rPr>
          <w:szCs w:val="24"/>
          <w:lang w:eastAsia="en-AU"/>
        </w:rPr>
        <w:t>if the</w:t>
      </w:r>
      <w:r w:rsidR="00260AEB" w:rsidRPr="007C44EF">
        <w:rPr>
          <w:szCs w:val="24"/>
          <w:lang w:eastAsia="en-AU"/>
        </w:rPr>
        <w:t xml:space="preserve"> eligible home buyer</w:t>
      </w:r>
      <w:r w:rsidR="00657592" w:rsidRPr="007C44EF">
        <w:rPr>
          <w:szCs w:val="24"/>
          <w:lang w:eastAsia="en-AU"/>
        </w:rPr>
        <w:t xml:space="preserve"> or their dependent child has experienced family violence within the past 5</w:t>
      </w:r>
      <w:r w:rsidR="006E5FA2">
        <w:rPr>
          <w:szCs w:val="24"/>
          <w:lang w:eastAsia="en-AU"/>
        </w:rPr>
        <w:t> </w:t>
      </w:r>
      <w:r w:rsidR="00657592" w:rsidRPr="007C44EF">
        <w:rPr>
          <w:szCs w:val="24"/>
          <w:lang w:eastAsia="en-AU"/>
        </w:rPr>
        <w:t xml:space="preserve">years. Evidence of family violence is required through either </w:t>
      </w:r>
      <w:r w:rsidR="00EC1E68" w:rsidRPr="00E708B9">
        <w:rPr>
          <w:szCs w:val="24"/>
          <w:lang w:eastAsia="en-AU"/>
        </w:rPr>
        <w:t>a</w:t>
      </w:r>
      <w:r w:rsidR="007C7CD2" w:rsidRPr="007C44EF">
        <w:rPr>
          <w:szCs w:val="24"/>
          <w:lang w:eastAsia="en-AU"/>
        </w:rPr>
        <w:t xml:space="preserve"> family violence order </w:t>
      </w:r>
      <w:r w:rsidR="00657592" w:rsidRPr="007C44EF">
        <w:rPr>
          <w:szCs w:val="24"/>
          <w:lang w:eastAsia="en-AU"/>
        </w:rPr>
        <w:t xml:space="preserve">or </w:t>
      </w:r>
      <w:r w:rsidR="007C7CD2" w:rsidRPr="007C44EF">
        <w:rPr>
          <w:szCs w:val="24"/>
          <w:lang w:eastAsia="en-AU"/>
        </w:rPr>
        <w:t xml:space="preserve">an injunction made under the </w:t>
      </w:r>
      <w:r w:rsidR="007C7CD2" w:rsidRPr="007C44EF">
        <w:rPr>
          <w:i/>
          <w:iCs/>
          <w:szCs w:val="24"/>
          <w:lang w:eastAsia="en-AU"/>
        </w:rPr>
        <w:t xml:space="preserve">Family Law Act 1975 </w:t>
      </w:r>
      <w:r w:rsidR="007C7CD2" w:rsidRPr="007C44EF">
        <w:rPr>
          <w:szCs w:val="24"/>
          <w:lang w:eastAsia="en-AU"/>
        </w:rPr>
        <w:t>(Cwlth), section 68B or section</w:t>
      </w:r>
      <w:r w:rsidR="006E5FA2">
        <w:rPr>
          <w:szCs w:val="24"/>
          <w:lang w:eastAsia="en-AU"/>
        </w:rPr>
        <w:t> </w:t>
      </w:r>
      <w:r w:rsidR="00657592" w:rsidRPr="007C44EF">
        <w:rPr>
          <w:szCs w:val="24"/>
          <w:lang w:eastAsia="en-AU"/>
        </w:rPr>
        <w:t>1</w:t>
      </w:r>
      <w:r w:rsidR="007C7CD2" w:rsidRPr="007C44EF">
        <w:rPr>
          <w:szCs w:val="24"/>
          <w:lang w:eastAsia="en-AU"/>
        </w:rPr>
        <w:t>14</w:t>
      </w:r>
      <w:r w:rsidR="00657592" w:rsidRPr="007C44EF">
        <w:rPr>
          <w:szCs w:val="24"/>
          <w:lang w:eastAsia="en-AU"/>
        </w:rPr>
        <w:t>.</w:t>
      </w:r>
      <w:r w:rsidR="00123849" w:rsidRPr="007C44EF">
        <w:rPr>
          <w:szCs w:val="24"/>
          <w:lang w:eastAsia="en-AU"/>
        </w:rPr>
        <w:t xml:space="preserve"> </w:t>
      </w:r>
    </w:p>
    <w:p w14:paraId="2F5ED7DE" w14:textId="77777777" w:rsidR="00427647" w:rsidRDefault="00427647" w:rsidP="000806FC">
      <w:pPr>
        <w:rPr>
          <w:szCs w:val="24"/>
          <w:lang w:eastAsia="en-AU"/>
        </w:rPr>
      </w:pPr>
    </w:p>
    <w:p w14:paraId="39F16DB2" w14:textId="770AD6AA" w:rsidR="00427647" w:rsidRDefault="00427647" w:rsidP="000806FC">
      <w:pPr>
        <w:rPr>
          <w:szCs w:val="24"/>
          <w:lang w:eastAsia="en-AU"/>
        </w:rPr>
      </w:pPr>
      <w:r>
        <w:rPr>
          <w:szCs w:val="24"/>
          <w:lang w:eastAsia="en-AU"/>
        </w:rPr>
        <w:t>The definition of family violence order</w:t>
      </w:r>
      <w:r w:rsidR="00321982">
        <w:rPr>
          <w:szCs w:val="24"/>
          <w:lang w:eastAsia="en-AU"/>
        </w:rPr>
        <w:t xml:space="preserve">s </w:t>
      </w:r>
      <w:r>
        <w:rPr>
          <w:szCs w:val="24"/>
          <w:lang w:eastAsia="en-AU"/>
        </w:rPr>
        <w:t xml:space="preserve">includes protection orders (both interim and final), </w:t>
      </w:r>
      <w:r w:rsidR="00321982">
        <w:rPr>
          <w:szCs w:val="24"/>
          <w:lang w:eastAsia="en-AU"/>
        </w:rPr>
        <w:t xml:space="preserve">after-hours orders, </w:t>
      </w:r>
      <w:r>
        <w:rPr>
          <w:szCs w:val="24"/>
          <w:lang w:eastAsia="en-AU"/>
        </w:rPr>
        <w:t xml:space="preserve">local </w:t>
      </w:r>
      <w:r w:rsidR="003D60F8">
        <w:rPr>
          <w:szCs w:val="24"/>
          <w:lang w:eastAsia="en-AU"/>
        </w:rPr>
        <w:t>FVO</w:t>
      </w:r>
      <w:r>
        <w:rPr>
          <w:szCs w:val="24"/>
          <w:lang w:eastAsia="en-AU"/>
        </w:rPr>
        <w:t xml:space="preserve">, instate </w:t>
      </w:r>
      <w:r w:rsidR="003D60F8">
        <w:rPr>
          <w:szCs w:val="24"/>
          <w:lang w:eastAsia="en-AU"/>
        </w:rPr>
        <w:t>FVOs</w:t>
      </w:r>
      <w:r>
        <w:rPr>
          <w:szCs w:val="24"/>
          <w:lang w:eastAsia="en-AU"/>
        </w:rPr>
        <w:t xml:space="preserve">, and foreign orders. </w:t>
      </w:r>
    </w:p>
    <w:p w14:paraId="3523010D" w14:textId="77777777" w:rsidR="00427647" w:rsidRDefault="00427647" w:rsidP="000806FC">
      <w:pPr>
        <w:rPr>
          <w:szCs w:val="24"/>
          <w:lang w:eastAsia="en-AU"/>
        </w:rPr>
      </w:pPr>
    </w:p>
    <w:p w14:paraId="5896D9F7" w14:textId="1302F3D8" w:rsidR="00951230" w:rsidRPr="007C44EF" w:rsidRDefault="008D64F6" w:rsidP="000806FC">
      <w:pPr>
        <w:rPr>
          <w:szCs w:val="24"/>
          <w:lang w:eastAsia="en-AU"/>
        </w:rPr>
      </w:pPr>
      <w:r>
        <w:rPr>
          <w:szCs w:val="24"/>
          <w:lang w:eastAsia="en-AU"/>
        </w:rPr>
        <w:t xml:space="preserve">Similarly, an injunction under sections 68B or section 114 of the </w:t>
      </w:r>
      <w:r>
        <w:rPr>
          <w:i/>
          <w:iCs/>
          <w:szCs w:val="24"/>
          <w:lang w:eastAsia="en-AU"/>
        </w:rPr>
        <w:t xml:space="preserve">Family Law Act </w:t>
      </w:r>
      <w:r w:rsidRPr="008D64F6">
        <w:rPr>
          <w:i/>
          <w:iCs/>
          <w:szCs w:val="24"/>
          <w:lang w:eastAsia="en-AU"/>
        </w:rPr>
        <w:t>1975</w:t>
      </w:r>
      <w:r>
        <w:rPr>
          <w:szCs w:val="24"/>
          <w:lang w:eastAsia="en-AU"/>
        </w:rPr>
        <w:t xml:space="preserve"> (Cwlth) </w:t>
      </w:r>
      <w:r w:rsidRPr="008D64F6">
        <w:rPr>
          <w:szCs w:val="24"/>
          <w:lang w:eastAsia="en-AU"/>
        </w:rPr>
        <w:t>can</w:t>
      </w:r>
      <w:r>
        <w:rPr>
          <w:szCs w:val="24"/>
          <w:lang w:eastAsia="en-AU"/>
        </w:rPr>
        <w:t xml:space="preserve"> include an interim order (sometimes referred to as an interlocutory order</w:t>
      </w:r>
      <w:r w:rsidR="006E5FA2">
        <w:rPr>
          <w:szCs w:val="24"/>
          <w:lang w:eastAsia="en-AU"/>
        </w:rPr>
        <w:t>)</w:t>
      </w:r>
      <w:r>
        <w:rPr>
          <w:szCs w:val="24"/>
          <w:lang w:eastAsia="en-AU"/>
        </w:rPr>
        <w:t xml:space="preserve">. </w:t>
      </w:r>
    </w:p>
    <w:p w14:paraId="0CA01BB1" w14:textId="77777777" w:rsidR="0059269D" w:rsidRPr="007C44EF" w:rsidRDefault="0059269D" w:rsidP="000806FC">
      <w:pPr>
        <w:rPr>
          <w:szCs w:val="24"/>
          <w:lang w:eastAsia="en-AU"/>
        </w:rPr>
      </w:pPr>
    </w:p>
    <w:p w14:paraId="289029C1" w14:textId="3AF01027" w:rsidR="0059269D" w:rsidRDefault="008D64F6" w:rsidP="000806FC">
      <w:pPr>
        <w:rPr>
          <w:szCs w:val="24"/>
          <w:lang w:eastAsia="en-AU"/>
        </w:rPr>
      </w:pPr>
      <w:r>
        <w:rPr>
          <w:szCs w:val="24"/>
          <w:lang w:eastAsia="en-AU"/>
        </w:rPr>
        <w:t>A</w:t>
      </w:r>
      <w:r w:rsidR="00D108F8" w:rsidRPr="00E708B9">
        <w:rPr>
          <w:szCs w:val="24"/>
          <w:lang w:eastAsia="en-AU"/>
        </w:rPr>
        <w:t xml:space="preserve"> domestic partner</w:t>
      </w:r>
      <w:r w:rsidR="00456F2A">
        <w:rPr>
          <w:szCs w:val="24"/>
          <w:lang w:eastAsia="en-AU"/>
        </w:rPr>
        <w:t>'</w:t>
      </w:r>
      <w:r w:rsidR="00D108F8" w:rsidRPr="00E708B9">
        <w:rPr>
          <w:szCs w:val="24"/>
          <w:lang w:eastAsia="en-AU"/>
        </w:rPr>
        <w:t xml:space="preserve">s income </w:t>
      </w:r>
      <w:r w:rsidR="00456F2A">
        <w:rPr>
          <w:szCs w:val="24"/>
          <w:lang w:eastAsia="en-AU"/>
        </w:rPr>
        <w:t>will</w:t>
      </w:r>
      <w:r w:rsidR="00D108F8" w:rsidRPr="00E708B9">
        <w:rPr>
          <w:szCs w:val="24"/>
          <w:lang w:eastAsia="en-AU"/>
        </w:rPr>
        <w:t xml:space="preserve"> be excluded from the income requirement if the eligible home buyer or their dependent child has experienced family violence </w:t>
      </w:r>
      <w:r w:rsidR="00440D88">
        <w:rPr>
          <w:szCs w:val="24"/>
          <w:lang w:eastAsia="en-AU"/>
        </w:rPr>
        <w:t>related to</w:t>
      </w:r>
      <w:r w:rsidR="00D108F8" w:rsidRPr="00E708B9">
        <w:rPr>
          <w:szCs w:val="24"/>
          <w:lang w:eastAsia="en-AU"/>
        </w:rPr>
        <w:t xml:space="preserve"> the domestic partner within the previous 5 years</w:t>
      </w:r>
      <w:r w:rsidR="00D108F8" w:rsidRPr="007C44EF">
        <w:rPr>
          <w:szCs w:val="24"/>
          <w:lang w:eastAsia="en-AU"/>
        </w:rPr>
        <w:t>.</w:t>
      </w:r>
    </w:p>
    <w:p w14:paraId="629501E2" w14:textId="77777777" w:rsidR="00440D88" w:rsidRDefault="00440D88" w:rsidP="000806FC">
      <w:pPr>
        <w:rPr>
          <w:szCs w:val="24"/>
          <w:lang w:eastAsia="en-AU"/>
        </w:rPr>
      </w:pPr>
    </w:p>
    <w:p w14:paraId="460CA2D7" w14:textId="2B8F6154" w:rsidR="00440D88" w:rsidRPr="007C44EF" w:rsidRDefault="00440D88" w:rsidP="000806FC">
      <w:pPr>
        <w:rPr>
          <w:szCs w:val="24"/>
          <w:lang w:eastAsia="en-AU"/>
        </w:rPr>
      </w:pPr>
      <w:r w:rsidRPr="00440D88">
        <w:rPr>
          <w:szCs w:val="24"/>
          <w:lang w:eastAsia="en-AU"/>
        </w:rPr>
        <w:t xml:space="preserve">Additionally, the domestic partner </w:t>
      </w:r>
      <w:r w:rsidR="00456F2A">
        <w:rPr>
          <w:szCs w:val="24"/>
          <w:lang w:eastAsia="en-AU"/>
        </w:rPr>
        <w:t>referenced in</w:t>
      </w:r>
      <w:r w:rsidRPr="00440D88">
        <w:rPr>
          <w:szCs w:val="24"/>
          <w:lang w:eastAsia="en-AU"/>
        </w:rPr>
        <w:t xml:space="preserve"> the family violence</w:t>
      </w:r>
      <w:r w:rsidR="00456F2A">
        <w:rPr>
          <w:szCs w:val="24"/>
          <w:lang w:eastAsia="en-AU"/>
        </w:rPr>
        <w:t xml:space="preserve"> order</w:t>
      </w:r>
      <w:r w:rsidRPr="00440D88">
        <w:rPr>
          <w:szCs w:val="24"/>
          <w:lang w:eastAsia="en-AU"/>
        </w:rPr>
        <w:t xml:space="preserve"> </w:t>
      </w:r>
      <w:r w:rsidR="00DC0528">
        <w:rPr>
          <w:szCs w:val="24"/>
          <w:lang w:eastAsia="en-AU"/>
        </w:rPr>
        <w:t xml:space="preserve">or injunction </w:t>
      </w:r>
      <w:r w:rsidRPr="00440D88">
        <w:rPr>
          <w:szCs w:val="24"/>
          <w:lang w:eastAsia="en-AU"/>
        </w:rPr>
        <w:t xml:space="preserve">cannot </w:t>
      </w:r>
      <w:r w:rsidR="008D13AA">
        <w:rPr>
          <w:szCs w:val="24"/>
          <w:lang w:eastAsia="en-AU"/>
        </w:rPr>
        <w:t xml:space="preserve">occupy or </w:t>
      </w:r>
      <w:r w:rsidRPr="00440D88">
        <w:rPr>
          <w:szCs w:val="24"/>
          <w:lang w:eastAsia="en-AU"/>
        </w:rPr>
        <w:t xml:space="preserve">reside in the </w:t>
      </w:r>
      <w:r>
        <w:rPr>
          <w:szCs w:val="24"/>
          <w:lang w:eastAsia="en-AU"/>
        </w:rPr>
        <w:t xml:space="preserve">eligible </w:t>
      </w:r>
      <w:r w:rsidRPr="00440D88">
        <w:rPr>
          <w:szCs w:val="24"/>
          <w:lang w:eastAsia="en-AU"/>
        </w:rPr>
        <w:t xml:space="preserve">property </w:t>
      </w:r>
      <w:r>
        <w:rPr>
          <w:szCs w:val="24"/>
          <w:lang w:eastAsia="en-AU"/>
        </w:rPr>
        <w:t>for the duration of the</w:t>
      </w:r>
      <w:r w:rsidRPr="00440D88">
        <w:rPr>
          <w:szCs w:val="24"/>
          <w:lang w:eastAsia="en-AU"/>
        </w:rPr>
        <w:t xml:space="preserve"> </w:t>
      </w:r>
      <w:r w:rsidR="008D13AA" w:rsidRPr="00440D88">
        <w:rPr>
          <w:szCs w:val="24"/>
          <w:lang w:eastAsia="en-AU"/>
        </w:rPr>
        <w:t>residenc</w:t>
      </w:r>
      <w:r w:rsidR="008D13AA">
        <w:rPr>
          <w:szCs w:val="24"/>
          <w:lang w:eastAsia="en-AU"/>
        </w:rPr>
        <w:t>e</w:t>
      </w:r>
      <w:r w:rsidRPr="00440D88">
        <w:rPr>
          <w:szCs w:val="24"/>
          <w:lang w:eastAsia="en-AU"/>
        </w:rPr>
        <w:t xml:space="preserve"> period</w:t>
      </w:r>
      <w:r w:rsidR="008D13AA">
        <w:rPr>
          <w:szCs w:val="24"/>
          <w:lang w:eastAsia="en-AU"/>
        </w:rPr>
        <w:t xml:space="preserve">. </w:t>
      </w:r>
    </w:p>
    <w:p w14:paraId="3A016666" w14:textId="77777777" w:rsidR="00AB5126" w:rsidRPr="007C44EF" w:rsidRDefault="00AB5126" w:rsidP="000806FC">
      <w:pPr>
        <w:rPr>
          <w:szCs w:val="24"/>
          <w:lang w:eastAsia="en-AU"/>
        </w:rPr>
      </w:pPr>
    </w:p>
    <w:p w14:paraId="5CFCC78D" w14:textId="1CB7659E" w:rsidR="008A0F73" w:rsidRPr="007C44EF" w:rsidRDefault="00AB5126" w:rsidP="000806FC">
      <w:pPr>
        <w:rPr>
          <w:szCs w:val="24"/>
          <w:lang w:eastAsia="en-AU"/>
        </w:rPr>
      </w:pPr>
      <w:r w:rsidRPr="007C44EF">
        <w:rPr>
          <w:szCs w:val="24"/>
          <w:lang w:eastAsia="en-AU"/>
        </w:rPr>
        <w:t xml:space="preserve">Other technical amendments have been made to the format of the instrument. A centralised dictionary for any </w:t>
      </w:r>
      <w:r w:rsidR="004D6557" w:rsidRPr="007C44EF">
        <w:rPr>
          <w:szCs w:val="24"/>
          <w:lang w:eastAsia="en-AU"/>
        </w:rPr>
        <w:t xml:space="preserve">term </w:t>
      </w:r>
      <w:r w:rsidRPr="007C44EF">
        <w:rPr>
          <w:szCs w:val="24"/>
          <w:lang w:eastAsia="en-AU"/>
        </w:rPr>
        <w:t xml:space="preserve">used in more than one section or schedule has been included in a dictionary at the end of the </w:t>
      </w:r>
      <w:r w:rsidR="003A4B6F" w:rsidRPr="007C44EF">
        <w:rPr>
          <w:szCs w:val="24"/>
          <w:lang w:eastAsia="en-AU"/>
        </w:rPr>
        <w:t>instrument but</w:t>
      </w:r>
      <w:r w:rsidRPr="007C44EF">
        <w:rPr>
          <w:szCs w:val="24"/>
          <w:lang w:eastAsia="en-AU"/>
        </w:rPr>
        <w:t xml:space="preserve"> applies to the entire instrument. Specific schedules have also been implemented to segregate key eligibility criteria in the instrument</w:t>
      </w:r>
      <w:r w:rsidR="008A0F73" w:rsidRPr="007C44EF">
        <w:rPr>
          <w:szCs w:val="24"/>
          <w:lang w:eastAsia="en-AU"/>
        </w:rPr>
        <w:t xml:space="preserve">. </w:t>
      </w:r>
    </w:p>
    <w:p w14:paraId="02FE995A" w14:textId="77777777" w:rsidR="008A0F73" w:rsidRPr="007C44EF" w:rsidRDefault="008A0F73" w:rsidP="000806FC">
      <w:pPr>
        <w:rPr>
          <w:szCs w:val="24"/>
          <w:lang w:eastAsia="en-AU"/>
        </w:rPr>
      </w:pPr>
    </w:p>
    <w:p w14:paraId="6EB48A36" w14:textId="3EFAE838" w:rsidR="008A0F73" w:rsidRPr="007C44EF" w:rsidRDefault="008A0F73" w:rsidP="000806FC">
      <w:pPr>
        <w:rPr>
          <w:szCs w:val="24"/>
          <w:lang w:eastAsia="en-AU"/>
        </w:rPr>
      </w:pPr>
      <w:r w:rsidRPr="007C44EF">
        <w:rPr>
          <w:szCs w:val="24"/>
          <w:lang w:eastAsia="en-AU"/>
        </w:rPr>
        <w:lastRenderedPageBreak/>
        <w:t>Schedule 1</w:t>
      </w:r>
      <w:r w:rsidR="00456F2A">
        <w:rPr>
          <w:szCs w:val="24"/>
          <w:lang w:eastAsia="en-AU"/>
        </w:rPr>
        <w:t xml:space="preserve"> sets out</w:t>
      </w:r>
      <w:r w:rsidRPr="007C44EF">
        <w:rPr>
          <w:szCs w:val="24"/>
          <w:lang w:eastAsia="en-AU"/>
        </w:rPr>
        <w:t xml:space="preserve"> </w:t>
      </w:r>
      <w:r w:rsidR="003A4B6F" w:rsidRPr="007C44EF">
        <w:rPr>
          <w:szCs w:val="24"/>
          <w:lang w:eastAsia="en-AU"/>
        </w:rPr>
        <w:t>an</w:t>
      </w:r>
      <w:r w:rsidRPr="007C44EF">
        <w:rPr>
          <w:szCs w:val="24"/>
          <w:lang w:eastAsia="en-AU"/>
        </w:rPr>
        <w:t xml:space="preserve"> </w:t>
      </w:r>
      <w:r w:rsidR="00AB5126" w:rsidRPr="007C44EF">
        <w:rPr>
          <w:szCs w:val="24"/>
          <w:lang w:eastAsia="en-AU"/>
        </w:rPr>
        <w:t xml:space="preserve">‘allowed interest’ in respect of prior </w:t>
      </w:r>
      <w:r w:rsidR="003A4B6F" w:rsidRPr="007C44EF">
        <w:rPr>
          <w:szCs w:val="24"/>
          <w:lang w:eastAsia="en-AU"/>
        </w:rPr>
        <w:t>legal or equit</w:t>
      </w:r>
      <w:r w:rsidR="004D6557" w:rsidRPr="007C44EF">
        <w:rPr>
          <w:szCs w:val="24"/>
          <w:lang w:eastAsia="en-AU"/>
        </w:rPr>
        <w:t>able</w:t>
      </w:r>
      <w:r w:rsidR="0020307B" w:rsidRPr="007C44EF">
        <w:rPr>
          <w:szCs w:val="24"/>
          <w:lang w:eastAsia="en-AU"/>
        </w:rPr>
        <w:t xml:space="preserve"> interests in</w:t>
      </w:r>
      <w:r w:rsidR="00AB5126" w:rsidRPr="007C44EF">
        <w:rPr>
          <w:szCs w:val="24"/>
          <w:lang w:eastAsia="en-AU"/>
        </w:rPr>
        <w:t xml:space="preserve"> land</w:t>
      </w:r>
      <w:r w:rsidRPr="007C44EF">
        <w:rPr>
          <w:szCs w:val="24"/>
          <w:lang w:eastAsia="en-AU"/>
        </w:rPr>
        <w:t xml:space="preserve">. </w:t>
      </w:r>
    </w:p>
    <w:p w14:paraId="429DF77B" w14:textId="77777777" w:rsidR="008A0F73" w:rsidRPr="007C44EF" w:rsidRDefault="008A0F73" w:rsidP="000806FC">
      <w:pPr>
        <w:rPr>
          <w:szCs w:val="24"/>
          <w:lang w:eastAsia="en-AU"/>
        </w:rPr>
      </w:pPr>
    </w:p>
    <w:p w14:paraId="0149D0C3" w14:textId="06BC8DAF" w:rsidR="008A0F73" w:rsidRPr="00E708B9" w:rsidRDefault="008A0F73" w:rsidP="000806FC">
      <w:pPr>
        <w:rPr>
          <w:szCs w:val="24"/>
          <w:lang w:eastAsia="en-AU"/>
        </w:rPr>
      </w:pPr>
      <w:r w:rsidRPr="007C44EF">
        <w:rPr>
          <w:szCs w:val="24"/>
          <w:lang w:eastAsia="en-AU"/>
        </w:rPr>
        <w:t xml:space="preserve">Schedule 2 </w:t>
      </w:r>
      <w:r w:rsidR="00456F2A">
        <w:rPr>
          <w:szCs w:val="24"/>
          <w:lang w:eastAsia="en-AU"/>
        </w:rPr>
        <w:t>sets out</w:t>
      </w:r>
      <w:r w:rsidRPr="007C44EF">
        <w:rPr>
          <w:szCs w:val="24"/>
          <w:lang w:eastAsia="en-AU"/>
        </w:rPr>
        <w:t xml:space="preserve"> the </w:t>
      </w:r>
      <w:r w:rsidR="00AB5126" w:rsidRPr="007C44EF">
        <w:rPr>
          <w:szCs w:val="24"/>
          <w:lang w:eastAsia="en-AU"/>
        </w:rPr>
        <w:t>‘income requirements’ outlin</w:t>
      </w:r>
      <w:r w:rsidR="00456F2A">
        <w:rPr>
          <w:szCs w:val="24"/>
          <w:lang w:eastAsia="en-AU"/>
        </w:rPr>
        <w:t>ing</w:t>
      </w:r>
      <w:r w:rsidR="00AB5126" w:rsidRPr="007C44EF">
        <w:rPr>
          <w:szCs w:val="24"/>
          <w:lang w:eastAsia="en-AU"/>
        </w:rPr>
        <w:t xml:space="preserve"> the taxable income and</w:t>
      </w:r>
      <w:r w:rsidR="006B484A" w:rsidRPr="007C44EF">
        <w:rPr>
          <w:szCs w:val="24"/>
          <w:lang w:eastAsia="en-AU"/>
        </w:rPr>
        <w:t xml:space="preserve">, if applicable, </w:t>
      </w:r>
      <w:r w:rsidR="00AB5126" w:rsidRPr="007C44EF">
        <w:rPr>
          <w:szCs w:val="24"/>
          <w:lang w:eastAsia="en-AU"/>
        </w:rPr>
        <w:t xml:space="preserve">gross income </w:t>
      </w:r>
      <w:r w:rsidRPr="007C44EF">
        <w:rPr>
          <w:szCs w:val="24"/>
          <w:lang w:eastAsia="en-AU"/>
        </w:rPr>
        <w:t xml:space="preserve">tests against the </w:t>
      </w:r>
      <w:r w:rsidRPr="00E708B9">
        <w:rPr>
          <w:szCs w:val="24"/>
          <w:lang w:eastAsia="en-AU"/>
        </w:rPr>
        <w:t xml:space="preserve">income threshold. </w:t>
      </w:r>
    </w:p>
    <w:p w14:paraId="51CF9A23" w14:textId="77777777" w:rsidR="008A0F73" w:rsidRPr="00E708B9" w:rsidRDefault="008A0F73" w:rsidP="000806FC">
      <w:pPr>
        <w:rPr>
          <w:szCs w:val="24"/>
          <w:lang w:eastAsia="en-AU"/>
        </w:rPr>
      </w:pPr>
    </w:p>
    <w:p w14:paraId="0EFEF1B3" w14:textId="565CCD11" w:rsidR="005C7375" w:rsidRDefault="008A0F73" w:rsidP="007C44EF">
      <w:pPr>
        <w:rPr>
          <w:szCs w:val="24"/>
          <w:lang w:eastAsia="en-AU"/>
        </w:rPr>
      </w:pPr>
      <w:r w:rsidRPr="00E708B9">
        <w:rPr>
          <w:szCs w:val="24"/>
          <w:lang w:eastAsia="en-AU"/>
        </w:rPr>
        <w:t xml:space="preserve">Schedule 3 </w:t>
      </w:r>
      <w:r w:rsidR="00456F2A">
        <w:rPr>
          <w:szCs w:val="24"/>
          <w:lang w:eastAsia="en-AU"/>
        </w:rPr>
        <w:t>sets out</w:t>
      </w:r>
      <w:r w:rsidRPr="00E708B9">
        <w:rPr>
          <w:szCs w:val="24"/>
          <w:lang w:eastAsia="en-AU"/>
        </w:rPr>
        <w:t xml:space="preserve"> the ongoing requirements for the ‘residence period’ and ‘residence start date’ in </w:t>
      </w:r>
      <w:r w:rsidR="00456F2A">
        <w:rPr>
          <w:szCs w:val="24"/>
          <w:lang w:eastAsia="en-AU"/>
        </w:rPr>
        <w:t xml:space="preserve">respect of </w:t>
      </w:r>
      <w:r w:rsidRPr="00E708B9">
        <w:rPr>
          <w:szCs w:val="24"/>
          <w:lang w:eastAsia="en-AU"/>
        </w:rPr>
        <w:t xml:space="preserve">the purchased property subject to the concession. </w:t>
      </w:r>
    </w:p>
    <w:p w14:paraId="52AFBE9E" w14:textId="77777777" w:rsidR="007C44EF" w:rsidRDefault="007C44EF" w:rsidP="007C44EF">
      <w:pPr>
        <w:rPr>
          <w:szCs w:val="24"/>
          <w:lang w:eastAsia="en-AU"/>
        </w:rPr>
      </w:pPr>
    </w:p>
    <w:p w14:paraId="333A1595" w14:textId="77777777" w:rsidR="008602C8" w:rsidRPr="00AD2319" w:rsidRDefault="00136F26" w:rsidP="008602C8">
      <w:pPr>
        <w:keepNext/>
        <w:rPr>
          <w:rFonts w:ascii="Arial" w:hAnsi="Arial" w:cs="Arial"/>
          <w:b/>
          <w:sz w:val="26"/>
          <w:szCs w:val="26"/>
        </w:rPr>
      </w:pPr>
      <w:r>
        <w:rPr>
          <w:rFonts w:ascii="Arial" w:hAnsi="Arial" w:cs="Arial"/>
          <w:b/>
          <w:sz w:val="26"/>
          <w:szCs w:val="26"/>
        </w:rPr>
        <w:t>Application of HBCS</w:t>
      </w:r>
    </w:p>
    <w:p w14:paraId="565AC66D" w14:textId="77777777" w:rsidR="008602C8" w:rsidRPr="00AD2319" w:rsidRDefault="008602C8" w:rsidP="008602C8">
      <w:pPr>
        <w:keepNext/>
        <w:rPr>
          <w:rFonts w:ascii="Arial" w:hAnsi="Arial" w:cs="Arial"/>
          <w:b/>
          <w:sz w:val="26"/>
          <w:szCs w:val="26"/>
        </w:rPr>
      </w:pPr>
    </w:p>
    <w:p w14:paraId="737B2082" w14:textId="69E30544" w:rsidR="008602C8" w:rsidRDefault="008602C8" w:rsidP="008602C8">
      <w:pPr>
        <w:keepNext/>
      </w:pPr>
      <w:r w:rsidRPr="00AD2319">
        <w:t xml:space="preserve">This instrument applies to grants, transfers or agreements for </w:t>
      </w:r>
      <w:r w:rsidR="008C3474">
        <w:t xml:space="preserve">the </w:t>
      </w:r>
      <w:r w:rsidRPr="00AD2319">
        <w:t xml:space="preserve">sale or transfer </w:t>
      </w:r>
      <w:r w:rsidR="00682893" w:rsidRPr="00AD2319">
        <w:t xml:space="preserve">of eligible property </w:t>
      </w:r>
      <w:r w:rsidR="00AD2319" w:rsidRPr="00AD2319">
        <w:t xml:space="preserve">with a transaction date </w:t>
      </w:r>
      <w:r w:rsidR="00682893" w:rsidRPr="00AD2319">
        <w:t xml:space="preserve">on or after </w:t>
      </w:r>
      <w:r w:rsidR="002F72EF">
        <w:t>1 July 2024</w:t>
      </w:r>
      <w:r w:rsidR="00682893" w:rsidRPr="00AD2319">
        <w:t xml:space="preserve">. </w:t>
      </w:r>
      <w:r w:rsidR="00AD2319" w:rsidRPr="00AD2319">
        <w:t>The transaction date is the date that liability for duty arises under section 11 of the Act</w:t>
      </w:r>
      <w:r w:rsidR="00EF5287">
        <w:t>,</w:t>
      </w:r>
      <w:r w:rsidR="00AD2319" w:rsidRPr="00AD2319">
        <w:t xml:space="preserve"> that is, when </w:t>
      </w:r>
      <w:r w:rsidR="008C3474">
        <w:t>a transfer occurs, or if a transfer is effected by an instrument</w:t>
      </w:r>
      <w:r w:rsidR="00802FF5" w:rsidRPr="00F57C45">
        <w:rPr>
          <w:b/>
        </w:rPr>
        <w:t>—</w:t>
      </w:r>
      <w:r w:rsidR="008C3474">
        <w:t>the date the instrument</w:t>
      </w:r>
      <w:r w:rsidR="00AD2319" w:rsidRPr="00AD2319">
        <w:t xml:space="preserve"> is first executed.</w:t>
      </w:r>
    </w:p>
    <w:p w14:paraId="2ACCFC82" w14:textId="77777777" w:rsidR="00DC69FE" w:rsidRPr="00AD2319" w:rsidRDefault="00DC69FE" w:rsidP="008602C8">
      <w:pPr>
        <w:keepNext/>
      </w:pPr>
    </w:p>
    <w:p w14:paraId="36114F68" w14:textId="77777777" w:rsidR="00D96ECB" w:rsidRPr="00D96ECB" w:rsidRDefault="00D96ECB" w:rsidP="00D96ECB">
      <w:pPr>
        <w:keepNext/>
        <w:rPr>
          <w:rFonts w:ascii="Arial" w:hAnsi="Arial" w:cs="Arial"/>
          <w:b/>
          <w:sz w:val="26"/>
          <w:szCs w:val="26"/>
        </w:rPr>
      </w:pPr>
      <w:r w:rsidRPr="00D96ECB">
        <w:rPr>
          <w:rFonts w:ascii="Arial" w:hAnsi="Arial" w:cs="Arial"/>
          <w:b/>
          <w:sz w:val="26"/>
          <w:szCs w:val="26"/>
        </w:rPr>
        <w:t>Eligible properties</w:t>
      </w:r>
    </w:p>
    <w:p w14:paraId="512006F9" w14:textId="77777777" w:rsidR="00D96ECB" w:rsidRPr="00D96ECB" w:rsidRDefault="00D96ECB" w:rsidP="00D96ECB">
      <w:pPr>
        <w:keepNext/>
      </w:pPr>
    </w:p>
    <w:p w14:paraId="54B84F27" w14:textId="278B6CF1" w:rsidR="00D96ECB" w:rsidRPr="00D96ECB" w:rsidRDefault="00D96ECB" w:rsidP="00D96ECB">
      <w:pPr>
        <w:keepNext/>
      </w:pPr>
      <w:r w:rsidRPr="00D96ECB">
        <w:t xml:space="preserve">The HBCS </w:t>
      </w:r>
      <w:r w:rsidR="008C3474">
        <w:t xml:space="preserve">applies to </w:t>
      </w:r>
      <w:r w:rsidRPr="00D96ECB">
        <w:t>homes</w:t>
      </w:r>
      <w:r w:rsidR="00BE4ED7">
        <w:t xml:space="preserve"> (including off the plan units)</w:t>
      </w:r>
      <w:r w:rsidRPr="00D96ECB">
        <w:t xml:space="preserve"> and vacant land</w:t>
      </w:r>
      <w:r w:rsidR="008C3474">
        <w:t xml:space="preserve"> purchased by eligible home buyers</w:t>
      </w:r>
      <w:r w:rsidRPr="00D96ECB">
        <w:t xml:space="preserve">. </w:t>
      </w:r>
    </w:p>
    <w:p w14:paraId="3DC17D0F" w14:textId="77777777" w:rsidR="00D96ECB" w:rsidRPr="00D96ECB" w:rsidRDefault="00D96ECB" w:rsidP="00D96ECB">
      <w:pPr>
        <w:keepNext/>
        <w:rPr>
          <w:rFonts w:ascii="Arial" w:hAnsi="Arial" w:cs="Arial"/>
          <w:b/>
          <w:sz w:val="26"/>
          <w:szCs w:val="26"/>
        </w:rPr>
      </w:pPr>
    </w:p>
    <w:p w14:paraId="31463DF9" w14:textId="08CFDC63" w:rsidR="00BE4ED7" w:rsidRDefault="007671B5" w:rsidP="00D96ECB">
      <w:r w:rsidRPr="00CD5FF5">
        <w:t>T</w:t>
      </w:r>
      <w:r w:rsidR="001973A8" w:rsidRPr="00CD5FF5">
        <w:t xml:space="preserve">he </w:t>
      </w:r>
      <w:r w:rsidR="00310C47">
        <w:t xml:space="preserve">amount of </w:t>
      </w:r>
      <w:r w:rsidR="001973A8" w:rsidRPr="00CD5FF5">
        <w:t xml:space="preserve">duty </w:t>
      </w:r>
      <w:r w:rsidR="00310C47">
        <w:t xml:space="preserve">concession for an eligible transaction </w:t>
      </w:r>
      <w:r w:rsidRPr="00CD5FF5">
        <w:t xml:space="preserve">is </w:t>
      </w:r>
      <w:r w:rsidR="00310C47">
        <w:t xml:space="preserve">based on </w:t>
      </w:r>
      <w:r w:rsidR="001973A8" w:rsidRPr="00CD5FF5">
        <w:t xml:space="preserve">the dutiable value of </w:t>
      </w:r>
      <w:r w:rsidR="00310C47">
        <w:t xml:space="preserve">the </w:t>
      </w:r>
      <w:r w:rsidR="001973A8" w:rsidRPr="00CD5FF5">
        <w:t>eligible propert</w:t>
      </w:r>
      <w:r w:rsidR="00310C47">
        <w:t>y up to the capped amount</w:t>
      </w:r>
      <w:r w:rsidR="00D7440F">
        <w:t>.</w:t>
      </w:r>
      <w:r w:rsidR="008C3474">
        <w:t xml:space="preserve"> </w:t>
      </w:r>
    </w:p>
    <w:p w14:paraId="7B944999" w14:textId="77777777" w:rsidR="00BE4ED7" w:rsidRDefault="00BE4ED7" w:rsidP="00D96ECB"/>
    <w:p w14:paraId="0C265512" w14:textId="77777777" w:rsidR="0037075D" w:rsidRPr="00A61F7C" w:rsidRDefault="000C183A" w:rsidP="0037075D">
      <w:pPr>
        <w:keepNext/>
        <w:rPr>
          <w:rFonts w:ascii="Arial" w:hAnsi="Arial" w:cs="Arial"/>
          <w:b/>
          <w:sz w:val="26"/>
          <w:szCs w:val="26"/>
        </w:rPr>
      </w:pPr>
      <w:r w:rsidRPr="00A61F7C">
        <w:rPr>
          <w:rFonts w:ascii="Arial" w:hAnsi="Arial" w:cs="Arial"/>
          <w:b/>
          <w:sz w:val="26"/>
          <w:szCs w:val="26"/>
        </w:rPr>
        <w:t>Eligibility</w:t>
      </w:r>
      <w:r w:rsidR="00136F26">
        <w:rPr>
          <w:rFonts w:ascii="Arial" w:hAnsi="Arial" w:cs="Arial"/>
          <w:b/>
          <w:sz w:val="26"/>
          <w:szCs w:val="26"/>
        </w:rPr>
        <w:t xml:space="preserve"> requirements</w:t>
      </w:r>
    </w:p>
    <w:p w14:paraId="359A53AE" w14:textId="77777777" w:rsidR="00967574" w:rsidRPr="00A61F7C" w:rsidRDefault="00967574" w:rsidP="008602C8">
      <w:pPr>
        <w:keepNext/>
      </w:pPr>
    </w:p>
    <w:p w14:paraId="7C890044" w14:textId="77777777" w:rsidR="000C183A" w:rsidRPr="00A61F7C" w:rsidRDefault="000C183A" w:rsidP="009B4B0F">
      <w:r w:rsidRPr="00A61F7C">
        <w:t xml:space="preserve">A transaction is deemed eligible for the HBCS </w:t>
      </w:r>
      <w:r w:rsidR="00E4756B" w:rsidRPr="00A61F7C">
        <w:t>if the eligibility requirements specified in the instrument are met.</w:t>
      </w:r>
    </w:p>
    <w:p w14:paraId="2EDC2A8A" w14:textId="77777777" w:rsidR="00845D84" w:rsidRPr="00A61F7C" w:rsidRDefault="00845D84"/>
    <w:p w14:paraId="4F58B118" w14:textId="77777777" w:rsidR="00A61F7C" w:rsidRPr="00A61F7C" w:rsidRDefault="00A61F7C" w:rsidP="00372917">
      <w:pPr>
        <w:keepNext/>
        <w:rPr>
          <w:rFonts w:ascii="Arial" w:hAnsi="Arial" w:cs="Arial"/>
          <w:b/>
          <w:sz w:val="26"/>
          <w:szCs w:val="26"/>
        </w:rPr>
      </w:pPr>
      <w:r w:rsidRPr="00A61F7C">
        <w:rPr>
          <w:rFonts w:ascii="Arial" w:hAnsi="Arial" w:cs="Arial"/>
          <w:b/>
          <w:sz w:val="26"/>
          <w:szCs w:val="26"/>
        </w:rPr>
        <w:t>Property requirements</w:t>
      </w:r>
    </w:p>
    <w:p w14:paraId="188ED211" w14:textId="77777777" w:rsidR="00A61F7C" w:rsidRPr="00A61F7C" w:rsidRDefault="00A61F7C" w:rsidP="00372917">
      <w:pPr>
        <w:keepNext/>
      </w:pPr>
    </w:p>
    <w:p w14:paraId="3A1DA2AE" w14:textId="53EA7752" w:rsidR="00A61F7C" w:rsidRPr="00A61F7C" w:rsidRDefault="00A61F7C" w:rsidP="00A61F7C">
      <w:pPr>
        <w:rPr>
          <w:bCs/>
        </w:rPr>
      </w:pPr>
      <w:r w:rsidRPr="00A61F7C">
        <w:t xml:space="preserve">A </w:t>
      </w:r>
      <w:r w:rsidRPr="00A61F7C">
        <w:rPr>
          <w:bCs/>
        </w:rPr>
        <w:t xml:space="preserve">transaction is not eligible for the HBCS if, in the </w:t>
      </w:r>
      <w:r w:rsidR="006E5FA2">
        <w:rPr>
          <w:bCs/>
        </w:rPr>
        <w:t>5</w:t>
      </w:r>
      <w:r w:rsidR="00DC7B99" w:rsidRPr="00A61F7C">
        <w:rPr>
          <w:bCs/>
        </w:rPr>
        <w:t xml:space="preserve"> </w:t>
      </w:r>
      <w:r w:rsidRPr="00A61F7C">
        <w:rPr>
          <w:bCs/>
        </w:rPr>
        <w:t>years preceding the day of the transaction date, a transferee</w:t>
      </w:r>
      <w:r w:rsidR="008847BF">
        <w:rPr>
          <w:bCs/>
        </w:rPr>
        <w:t xml:space="preserve"> or a transferee’s domestic partner</w:t>
      </w:r>
      <w:r w:rsidRPr="00A61F7C">
        <w:rPr>
          <w:bCs/>
        </w:rPr>
        <w:t xml:space="preserve"> held an interest in land </w:t>
      </w:r>
      <w:r w:rsidR="00B6435B">
        <w:rPr>
          <w:bCs/>
        </w:rPr>
        <w:t xml:space="preserve">(either a legal or equitable interest) </w:t>
      </w:r>
      <w:r w:rsidRPr="00A61F7C">
        <w:rPr>
          <w:bCs/>
        </w:rPr>
        <w:t>ot</w:t>
      </w:r>
      <w:r w:rsidR="008847BF">
        <w:rPr>
          <w:bCs/>
        </w:rPr>
        <w:t xml:space="preserve">her than </w:t>
      </w:r>
      <w:r w:rsidR="008B4C2F">
        <w:rPr>
          <w:bCs/>
        </w:rPr>
        <w:t xml:space="preserve">in </w:t>
      </w:r>
      <w:r w:rsidR="008847BF">
        <w:rPr>
          <w:bCs/>
        </w:rPr>
        <w:t>the eligible property.</w:t>
      </w:r>
      <w:r w:rsidR="00D9101F">
        <w:rPr>
          <w:bCs/>
        </w:rPr>
        <w:t xml:space="preserve"> An interest in land is not limited to </w:t>
      </w:r>
      <w:r w:rsidR="005931F6">
        <w:rPr>
          <w:bCs/>
        </w:rPr>
        <w:t xml:space="preserve">a particular geographical location, such as land in the ACT. </w:t>
      </w:r>
    </w:p>
    <w:p w14:paraId="1DF6B226" w14:textId="77777777" w:rsidR="00A61F7C" w:rsidRPr="00A61F7C" w:rsidRDefault="00A61F7C" w:rsidP="00A61F7C">
      <w:pPr>
        <w:rPr>
          <w:bCs/>
        </w:rPr>
      </w:pPr>
    </w:p>
    <w:p w14:paraId="1C1D137B" w14:textId="77777777" w:rsidR="00A61F7C" w:rsidRDefault="00A61F7C" w:rsidP="00A61F7C">
      <w:r w:rsidRPr="00A61F7C">
        <w:rPr>
          <w:bCs/>
        </w:rPr>
        <w:t xml:space="preserve">Exceptions apply if </w:t>
      </w:r>
      <w:r w:rsidRPr="00A61F7C">
        <w:t>a court order, financial agreement, or domestic relationship agreement required the other property to be relinquished. However, these orders or agreements must be made before the transaction date.</w:t>
      </w:r>
    </w:p>
    <w:p w14:paraId="2793999E" w14:textId="77777777" w:rsidR="00EE3994" w:rsidRDefault="00EE3994" w:rsidP="00A61F7C"/>
    <w:p w14:paraId="38B5FBC1" w14:textId="7C4E9973" w:rsidR="00EE3994" w:rsidRPr="00A61F7C" w:rsidRDefault="00394614" w:rsidP="00A61F7C">
      <w:r>
        <w:t xml:space="preserve">Eligible home buyers and their dependent children who have experienced family violence can have their prior property interests excluded for 5 years. </w:t>
      </w:r>
    </w:p>
    <w:p w14:paraId="22810797" w14:textId="77777777" w:rsidR="00A61F7C" w:rsidRPr="00A61F7C" w:rsidRDefault="00A61F7C" w:rsidP="00A61F7C"/>
    <w:p w14:paraId="4B0CDE48" w14:textId="3AC2576F" w:rsidR="00A61F7C" w:rsidRPr="008A6077" w:rsidRDefault="00A61F7C" w:rsidP="00A61F7C">
      <w:r w:rsidRPr="008A6077">
        <w:t xml:space="preserve">Exceptions also apply if the other property </w:t>
      </w:r>
      <w:r w:rsidR="00456F2A">
        <w:t xml:space="preserve">interest arises from </w:t>
      </w:r>
      <w:r w:rsidRPr="008A6077">
        <w:t>a will, or if the transferee had entered an agreement to purchase the property and subsequently cancelled (rescinded) the agreement to purchase th</w:t>
      </w:r>
      <w:r w:rsidR="00456F2A">
        <w:t>at</w:t>
      </w:r>
      <w:r w:rsidRPr="008A6077">
        <w:t xml:space="preserve"> property.</w:t>
      </w:r>
    </w:p>
    <w:p w14:paraId="47B8535C" w14:textId="77777777" w:rsidR="00A61F7C" w:rsidRPr="008A6077" w:rsidRDefault="00A61F7C" w:rsidP="00A61F7C"/>
    <w:p w14:paraId="0562DD26" w14:textId="77777777" w:rsidR="00626A08" w:rsidRPr="008A6077" w:rsidRDefault="0086473D" w:rsidP="00A61F7C">
      <w:pPr>
        <w:keepNext/>
        <w:rPr>
          <w:rFonts w:ascii="Arial" w:hAnsi="Arial" w:cs="Arial"/>
          <w:b/>
          <w:sz w:val="26"/>
          <w:szCs w:val="26"/>
        </w:rPr>
      </w:pPr>
      <w:r w:rsidRPr="008A6077">
        <w:rPr>
          <w:rFonts w:ascii="Arial" w:hAnsi="Arial" w:cs="Arial"/>
          <w:b/>
          <w:sz w:val="26"/>
          <w:szCs w:val="26"/>
        </w:rPr>
        <w:lastRenderedPageBreak/>
        <w:t>Income requirements</w:t>
      </w:r>
    </w:p>
    <w:p w14:paraId="3CCA9D6C" w14:textId="77777777" w:rsidR="00626A08" w:rsidRPr="008A6077" w:rsidRDefault="00626A08" w:rsidP="00A61F7C">
      <w:pPr>
        <w:keepNext/>
      </w:pPr>
    </w:p>
    <w:p w14:paraId="2C11F7B4" w14:textId="4009E317" w:rsidR="00B65B1A" w:rsidRDefault="00DA1245" w:rsidP="00C37233">
      <w:r w:rsidRPr="008A6077">
        <w:t xml:space="preserve">To be eligible for the HBCS, </w:t>
      </w:r>
      <w:r w:rsidR="00874E3D" w:rsidRPr="008A6077">
        <w:t>t</w:t>
      </w:r>
      <w:r w:rsidR="001E6C23" w:rsidRPr="008A6077">
        <w:t>h</w:t>
      </w:r>
      <w:r w:rsidRPr="008A6077">
        <w:t xml:space="preserve">e </w:t>
      </w:r>
      <w:r w:rsidR="002F72EF" w:rsidRPr="007C44EF">
        <w:t>taxable</w:t>
      </w:r>
      <w:r w:rsidR="00626A08" w:rsidRPr="007C44EF">
        <w:t xml:space="preserve"> income</w:t>
      </w:r>
      <w:r w:rsidR="00874E3D" w:rsidRPr="007C44EF">
        <w:t xml:space="preserve"> of all transferees and their domestic partners (if any) </w:t>
      </w:r>
      <w:r w:rsidRPr="007C44EF">
        <w:t>in the previous financial year must be less than or equal to the income threshold.</w:t>
      </w:r>
      <w:r w:rsidR="007B785B" w:rsidRPr="007C44EF">
        <w:t xml:space="preserve"> </w:t>
      </w:r>
      <w:r w:rsidR="002F72EF" w:rsidRPr="007C44EF">
        <w:t xml:space="preserve">Taxable income is defined under the </w:t>
      </w:r>
      <w:r w:rsidR="002F72EF" w:rsidRPr="007C44EF">
        <w:rPr>
          <w:i/>
        </w:rPr>
        <w:t xml:space="preserve">Income Tax Assessment Act 1997 </w:t>
      </w:r>
      <w:r w:rsidR="002F72EF" w:rsidRPr="007C44EF">
        <w:t>(Cwlth)</w:t>
      </w:r>
      <w:r w:rsidR="00610F02" w:rsidRPr="007C44EF">
        <w:t xml:space="preserve"> </w:t>
      </w:r>
      <w:r w:rsidR="00456F2A" w:rsidRPr="007C44EF">
        <w:t>and</w:t>
      </w:r>
      <w:r w:rsidR="00610F02" w:rsidRPr="007C44EF">
        <w:t xml:space="preserve"> determined by the notice of assessment issued by the Commissioner of Taxation relating to the previous financial year</w:t>
      </w:r>
      <w:r w:rsidR="002F72EF" w:rsidRPr="007C44EF">
        <w:t>.</w:t>
      </w:r>
    </w:p>
    <w:p w14:paraId="3728E8E5" w14:textId="77777777" w:rsidR="005E4CF1" w:rsidRDefault="005E4CF1" w:rsidP="00C37233"/>
    <w:p w14:paraId="47061D5F" w14:textId="77777777" w:rsidR="00CB460C" w:rsidRDefault="005E4CF1" w:rsidP="00C37233">
      <w:r>
        <w:t xml:space="preserve">If a person does not have a taxable income assessed for the previous financial year, then their </w:t>
      </w:r>
      <w:r w:rsidR="00B365B3">
        <w:t xml:space="preserve">gross </w:t>
      </w:r>
      <w:r>
        <w:t xml:space="preserve">income for the previous financial year must be below the income threshold. </w:t>
      </w:r>
      <w:r w:rsidR="00B365B3">
        <w:t>Gross i</w:t>
      </w:r>
      <w:r>
        <w:t xml:space="preserve">ncome is defined as being income from all sources with </w:t>
      </w:r>
      <w:r w:rsidR="000C7D9E">
        <w:t xml:space="preserve">exception for. </w:t>
      </w:r>
      <w:r w:rsidR="00B365B3">
        <w:t>Gross i</w:t>
      </w:r>
      <w:r w:rsidR="000C7D9E">
        <w:t xml:space="preserve">ncome is broadly defined and would include salaried income, fringe benefits, </w:t>
      </w:r>
      <w:r w:rsidR="00360816">
        <w:t xml:space="preserve">foreign income, reportable superannuation contributions etc. </w:t>
      </w:r>
      <w:r w:rsidR="00B365B3">
        <w:t>Exempt income is employment termination payments for a genuine redundancy package</w:t>
      </w:r>
      <w:r w:rsidR="00CB460C">
        <w:t>.</w:t>
      </w:r>
      <w:r w:rsidR="00B365B3">
        <w:t xml:space="preserve"> </w:t>
      </w:r>
    </w:p>
    <w:p w14:paraId="760194FE" w14:textId="77777777" w:rsidR="00CB460C" w:rsidRDefault="00CB460C" w:rsidP="00C37233"/>
    <w:p w14:paraId="6CBC04C7" w14:textId="55D7DD03" w:rsidR="005E4CF1" w:rsidRPr="008A6077" w:rsidRDefault="00360816" w:rsidP="00C37233">
      <w:r>
        <w:t xml:space="preserve">The income for a self-employed person is their business’s trading profit not the business’s turnover. </w:t>
      </w:r>
      <w:r w:rsidR="00CB460C">
        <w:t xml:space="preserve">A person is deemed to be self-employed if they are a sole trader, not if they are a director, shareholder and/or employee of their company. </w:t>
      </w:r>
    </w:p>
    <w:p w14:paraId="37777A02" w14:textId="77777777" w:rsidR="00DA1245" w:rsidRPr="008A6077" w:rsidRDefault="00DA1245" w:rsidP="00C37233"/>
    <w:p w14:paraId="7D906561" w14:textId="0243199E" w:rsidR="003C1C8E" w:rsidRDefault="00DA1245" w:rsidP="00C37233">
      <w:r w:rsidRPr="008A6077">
        <w:t>T</w:t>
      </w:r>
      <w:r w:rsidR="00626A08" w:rsidRPr="008A6077">
        <w:t xml:space="preserve">he income threshold </w:t>
      </w:r>
      <w:r w:rsidRPr="00044D3E">
        <w:t>is</w:t>
      </w:r>
      <w:r w:rsidR="00626A08" w:rsidRPr="00044D3E">
        <w:t xml:space="preserve"> $</w:t>
      </w:r>
      <w:r w:rsidR="00337B6A" w:rsidRPr="00044D3E">
        <w:t>250</w:t>
      </w:r>
      <w:r w:rsidR="007C44EF" w:rsidRPr="00044D3E">
        <w:t>,</w:t>
      </w:r>
      <w:r w:rsidR="00626A08" w:rsidRPr="00044D3E">
        <w:t>000 per year</w:t>
      </w:r>
      <w:r w:rsidR="002F72EF" w:rsidRPr="00044D3E">
        <w:t xml:space="preserve"> (increased from $170,000)</w:t>
      </w:r>
      <w:r w:rsidR="00626A08" w:rsidRPr="00044D3E">
        <w:t>.</w:t>
      </w:r>
      <w:r w:rsidR="0034365E" w:rsidRPr="00044D3E">
        <w:t xml:space="preserve"> An additional allowance of </w:t>
      </w:r>
      <w:r w:rsidR="002F72EF" w:rsidRPr="00044D3E">
        <w:t xml:space="preserve">$4,600 per year (increased from </w:t>
      </w:r>
      <w:r w:rsidR="0034365E" w:rsidRPr="00044D3E">
        <w:t>$3,330 per year</w:t>
      </w:r>
      <w:r w:rsidR="002F72EF" w:rsidRPr="00044D3E">
        <w:t>)</w:t>
      </w:r>
      <w:r w:rsidR="0034365E" w:rsidRPr="00044D3E">
        <w:t xml:space="preserve"> is pr</w:t>
      </w:r>
      <w:r w:rsidR="0034365E" w:rsidRPr="00AC576E">
        <w:t xml:space="preserve">ovided for </w:t>
      </w:r>
      <w:r w:rsidR="003C1C8E" w:rsidRPr="00AC576E">
        <w:t xml:space="preserve">each </w:t>
      </w:r>
      <w:r w:rsidR="005759AF" w:rsidRPr="00AC576E">
        <w:t xml:space="preserve">dependent child of </w:t>
      </w:r>
      <w:r w:rsidR="008847BF" w:rsidRPr="00AC576E">
        <w:t xml:space="preserve">a </w:t>
      </w:r>
      <w:r w:rsidR="00874E3D" w:rsidRPr="00AC576E">
        <w:t>transferee or domestic partner</w:t>
      </w:r>
      <w:r w:rsidR="00D85AC6" w:rsidRPr="00AC576E">
        <w:t>.</w:t>
      </w:r>
      <w:r w:rsidR="00D85AC6" w:rsidRPr="008A6077">
        <w:t xml:space="preserve"> </w:t>
      </w:r>
      <w:r w:rsidR="004C4333" w:rsidRPr="008A6077">
        <w:t xml:space="preserve">Each </w:t>
      </w:r>
      <w:r w:rsidR="001E6C23" w:rsidRPr="008A6077">
        <w:t>person’s</w:t>
      </w:r>
      <w:r w:rsidR="004C4333" w:rsidRPr="008A6077">
        <w:t xml:space="preserve"> dependent children are added together for this purpose.</w:t>
      </w:r>
      <w:r w:rsidRPr="008A6077">
        <w:t xml:space="preserve"> </w:t>
      </w:r>
      <w:r w:rsidR="003C1C8E" w:rsidRPr="008A6077">
        <w:t>Dependent child is de</w:t>
      </w:r>
      <w:r w:rsidR="005759AF" w:rsidRPr="008A6077">
        <w:t xml:space="preserve">fined by reference to the </w:t>
      </w:r>
      <w:r w:rsidR="005759AF" w:rsidRPr="008A6077">
        <w:rPr>
          <w:i/>
        </w:rPr>
        <w:t>Social Security Act 1991</w:t>
      </w:r>
      <w:r w:rsidR="005759AF" w:rsidRPr="008A6077">
        <w:t xml:space="preserve"> (Cwlth)</w:t>
      </w:r>
      <w:r w:rsidR="00C86538">
        <w:t>.</w:t>
      </w:r>
    </w:p>
    <w:p w14:paraId="1B01FD9B" w14:textId="77777777" w:rsidR="00CB460C" w:rsidRDefault="00CB460C" w:rsidP="00C37233"/>
    <w:p w14:paraId="278E4575" w14:textId="7ACEF40F" w:rsidR="0034365E" w:rsidRDefault="006308D6" w:rsidP="00C37233">
      <w:pPr>
        <w:rPr>
          <w:szCs w:val="24"/>
          <w:lang w:eastAsia="en-AU"/>
        </w:rPr>
      </w:pPr>
      <w:r>
        <w:rPr>
          <w:szCs w:val="24"/>
          <w:lang w:eastAsia="en-AU"/>
        </w:rPr>
        <w:t>A</w:t>
      </w:r>
      <w:r w:rsidR="005F0C24" w:rsidRPr="005F0C24">
        <w:rPr>
          <w:szCs w:val="24"/>
          <w:lang w:eastAsia="en-AU"/>
        </w:rPr>
        <w:t xml:space="preserve"> domestic partner</w:t>
      </w:r>
      <w:r w:rsidR="00456F2A">
        <w:rPr>
          <w:szCs w:val="24"/>
          <w:lang w:eastAsia="en-AU"/>
        </w:rPr>
        <w:t>’</w:t>
      </w:r>
      <w:r w:rsidR="005F0C24" w:rsidRPr="005F0C24">
        <w:rPr>
          <w:szCs w:val="24"/>
          <w:lang w:eastAsia="en-AU"/>
        </w:rPr>
        <w:t xml:space="preserve">s income </w:t>
      </w:r>
      <w:r w:rsidR="00456F2A">
        <w:rPr>
          <w:szCs w:val="24"/>
          <w:lang w:eastAsia="en-AU"/>
        </w:rPr>
        <w:t>will</w:t>
      </w:r>
      <w:r w:rsidR="005F0C24" w:rsidRPr="005F0C24">
        <w:rPr>
          <w:szCs w:val="24"/>
          <w:lang w:eastAsia="en-AU"/>
        </w:rPr>
        <w:t xml:space="preserve"> be excluded from the income requirement if the eligible home buyer or their dependent child has experienced family violence </w:t>
      </w:r>
      <w:r w:rsidR="00C86538">
        <w:rPr>
          <w:szCs w:val="24"/>
          <w:lang w:eastAsia="en-AU"/>
        </w:rPr>
        <w:t>by</w:t>
      </w:r>
      <w:r>
        <w:rPr>
          <w:szCs w:val="24"/>
          <w:lang w:eastAsia="en-AU"/>
        </w:rPr>
        <w:t xml:space="preserve"> the</w:t>
      </w:r>
      <w:r w:rsidR="005F0C24" w:rsidRPr="005F0C24">
        <w:rPr>
          <w:szCs w:val="24"/>
          <w:lang w:eastAsia="en-AU"/>
        </w:rPr>
        <w:t xml:space="preserve"> domestic partner within the previous 5 years</w:t>
      </w:r>
      <w:r w:rsidR="005F0C24">
        <w:rPr>
          <w:szCs w:val="24"/>
          <w:lang w:eastAsia="en-AU"/>
        </w:rPr>
        <w:t xml:space="preserve"> as </w:t>
      </w:r>
      <w:r w:rsidR="00C86538">
        <w:rPr>
          <w:szCs w:val="24"/>
          <w:lang w:eastAsia="en-AU"/>
        </w:rPr>
        <w:t>evidenc</w:t>
      </w:r>
      <w:r w:rsidR="005F0C24">
        <w:rPr>
          <w:szCs w:val="24"/>
          <w:lang w:eastAsia="en-AU"/>
        </w:rPr>
        <w:t xml:space="preserve">ed by either a family violence order or an injunction made under the </w:t>
      </w:r>
      <w:r w:rsidR="005F0C24">
        <w:rPr>
          <w:i/>
          <w:iCs/>
          <w:szCs w:val="24"/>
          <w:lang w:eastAsia="en-AU"/>
        </w:rPr>
        <w:t xml:space="preserve">Family Law Act 1975 </w:t>
      </w:r>
      <w:r w:rsidR="005F0C24">
        <w:rPr>
          <w:szCs w:val="24"/>
          <w:lang w:eastAsia="en-AU"/>
        </w:rPr>
        <w:t xml:space="preserve">(Cwlth), sections 68B or 114. </w:t>
      </w:r>
    </w:p>
    <w:p w14:paraId="3F46D3B2" w14:textId="77777777" w:rsidR="00044D3E" w:rsidRPr="008A6077" w:rsidRDefault="00044D3E" w:rsidP="00C37233"/>
    <w:p w14:paraId="5E4DA3D4" w14:textId="3411A98B" w:rsidR="00BC1954" w:rsidRPr="00B74A89" w:rsidRDefault="00BC1954" w:rsidP="00653D6F">
      <w:pPr>
        <w:rPr>
          <w:rFonts w:ascii="Arial" w:hAnsi="Arial" w:cs="Arial"/>
          <w:b/>
          <w:sz w:val="26"/>
          <w:szCs w:val="26"/>
        </w:rPr>
      </w:pPr>
      <w:r w:rsidRPr="00B74A89">
        <w:rPr>
          <w:rFonts w:ascii="Arial" w:hAnsi="Arial" w:cs="Arial"/>
          <w:b/>
          <w:sz w:val="26"/>
          <w:szCs w:val="26"/>
        </w:rPr>
        <w:t>Residence requirements</w:t>
      </w:r>
    </w:p>
    <w:p w14:paraId="6392EB5B" w14:textId="77777777" w:rsidR="00DA6CBE" w:rsidRPr="00B74A89" w:rsidRDefault="00DA6CBE" w:rsidP="00DA6CBE">
      <w:pPr>
        <w:keepNext/>
        <w:rPr>
          <w:rFonts w:ascii="Arial" w:hAnsi="Arial" w:cs="Arial"/>
          <w:b/>
          <w:sz w:val="26"/>
          <w:szCs w:val="26"/>
        </w:rPr>
      </w:pPr>
    </w:p>
    <w:p w14:paraId="165BFF1E" w14:textId="036B91F4" w:rsidR="00BC1954" w:rsidRPr="00B74A89" w:rsidRDefault="00390519">
      <w:r w:rsidRPr="00B74A89">
        <w:t xml:space="preserve">At least one of the </w:t>
      </w:r>
      <w:r w:rsidR="00A61F7C" w:rsidRPr="00B74A89">
        <w:t>transferee</w:t>
      </w:r>
      <w:r w:rsidRPr="00B74A89">
        <w:t xml:space="preserve">s </w:t>
      </w:r>
      <w:r w:rsidR="008A6077" w:rsidRPr="00B74A89">
        <w:t>of</w:t>
      </w:r>
      <w:r w:rsidR="00BC1954" w:rsidRPr="00B74A89">
        <w:t xml:space="preserve"> the eligible property </w:t>
      </w:r>
      <w:r w:rsidRPr="00B74A89">
        <w:t xml:space="preserve">must </w:t>
      </w:r>
      <w:r w:rsidR="00DA6CBE" w:rsidRPr="00B74A89">
        <w:t xml:space="preserve">occupy </w:t>
      </w:r>
      <w:r w:rsidRPr="00B74A89">
        <w:t xml:space="preserve">the </w:t>
      </w:r>
      <w:r w:rsidR="00720F3B" w:rsidRPr="00B74A89">
        <w:t>property</w:t>
      </w:r>
      <w:r w:rsidRPr="00B74A89">
        <w:t xml:space="preserve"> as their principal place of residence continuously for a period of </w:t>
      </w:r>
      <w:r w:rsidR="001F1F9A" w:rsidRPr="00B74A89">
        <w:t xml:space="preserve">at least </w:t>
      </w:r>
      <w:r w:rsidR="00DC7B99" w:rsidRPr="00B74A89">
        <w:t xml:space="preserve">one </w:t>
      </w:r>
      <w:r w:rsidRPr="00B74A89">
        <w:t xml:space="preserve">year. That period must commence within </w:t>
      </w:r>
      <w:r w:rsidR="00DC7B99" w:rsidRPr="00B74A89">
        <w:t xml:space="preserve">one </w:t>
      </w:r>
      <w:r w:rsidRPr="00B74A89">
        <w:t>year of completion of the</w:t>
      </w:r>
      <w:r w:rsidR="001F1F9A" w:rsidRPr="00B74A89">
        <w:t xml:space="preserve"> transfer for a home</w:t>
      </w:r>
      <w:r w:rsidRPr="00B74A89">
        <w:t xml:space="preserve">, or the date </w:t>
      </w:r>
      <w:r w:rsidR="001F1F9A" w:rsidRPr="00B74A89">
        <w:t>that</w:t>
      </w:r>
      <w:r w:rsidRPr="00B74A89">
        <w:t xml:space="preserve"> the certificate of occupancy is issued following co</w:t>
      </w:r>
      <w:r w:rsidR="001F1F9A" w:rsidRPr="00B74A89">
        <w:t xml:space="preserve">mpletion of </w:t>
      </w:r>
      <w:r w:rsidR="00C70AA7" w:rsidRPr="00B74A89">
        <w:t xml:space="preserve">the </w:t>
      </w:r>
      <w:r w:rsidR="001F1F9A" w:rsidRPr="00B74A89">
        <w:t xml:space="preserve">construction of a home for vacant </w:t>
      </w:r>
      <w:r w:rsidR="0063087D" w:rsidRPr="00B74A89">
        <w:t>land</w:t>
      </w:r>
      <w:r w:rsidR="001F1F9A" w:rsidRPr="00B74A89">
        <w:t>.</w:t>
      </w:r>
      <w:r w:rsidR="00BC1954" w:rsidRPr="00B74A89">
        <w:t xml:space="preserve"> </w:t>
      </w:r>
    </w:p>
    <w:p w14:paraId="6256DB71" w14:textId="77777777" w:rsidR="00BC1954" w:rsidRPr="00B74A89" w:rsidRDefault="00BC1954"/>
    <w:p w14:paraId="392D6B12" w14:textId="7079EABB" w:rsidR="005B6486" w:rsidRDefault="005B6486" w:rsidP="005B6486">
      <w:r w:rsidRPr="00B74A89">
        <w:t xml:space="preserve">The domestic partner of a transferee can only fulfil the residence requirements if they are a transferee themselves; that is, they are named in the grant, transfer or agreement and they hold a relevant interest in the </w:t>
      </w:r>
      <w:r w:rsidR="00EE5A1D" w:rsidRPr="00B74A89">
        <w:t xml:space="preserve">eligible </w:t>
      </w:r>
      <w:r w:rsidRPr="00B74A89">
        <w:t>property.</w:t>
      </w:r>
    </w:p>
    <w:p w14:paraId="0FA24D19" w14:textId="77777777" w:rsidR="00B0234C" w:rsidRDefault="00B0234C" w:rsidP="005B6486"/>
    <w:p w14:paraId="710F336C" w14:textId="54E01992" w:rsidR="00B0234C" w:rsidRPr="00B74A89" w:rsidRDefault="00B0234C" w:rsidP="005B6486">
      <w:r>
        <w:t xml:space="preserve">However, if the eligible home buyer has used the exemptions relating to prior property interests or income to </w:t>
      </w:r>
      <w:r w:rsidR="00861DAE">
        <w:t>meet</w:t>
      </w:r>
      <w:r>
        <w:t xml:space="preserve"> the criterion of an eligible transaction and the domestic partner is referenced in the family violence order or the injunction, the domestic partner must not occupy or reside in the eligible property</w:t>
      </w:r>
      <w:r w:rsidR="00266233">
        <w:t xml:space="preserve"> during the time of the residence requirement. </w:t>
      </w:r>
    </w:p>
    <w:p w14:paraId="1E717665" w14:textId="77777777" w:rsidR="00390519" w:rsidRPr="00B74A89" w:rsidRDefault="00390519">
      <w:pPr>
        <w:rPr>
          <w:rFonts w:ascii="Arial" w:hAnsi="Arial" w:cs="Arial"/>
          <w:b/>
          <w:sz w:val="22"/>
          <w:szCs w:val="22"/>
        </w:rPr>
      </w:pPr>
    </w:p>
    <w:p w14:paraId="01D7C6E7" w14:textId="7B396E19" w:rsidR="007141C0" w:rsidRPr="00B74A89" w:rsidRDefault="00390519">
      <w:r w:rsidRPr="00B74A89">
        <w:lastRenderedPageBreak/>
        <w:t xml:space="preserve">A principal place of residence is defined as the home </w:t>
      </w:r>
      <w:r w:rsidR="007F2FEC" w:rsidRPr="00B74A89">
        <w:t xml:space="preserve">a person primarily occupies, on an ongoing and permanent basis, </w:t>
      </w:r>
      <w:r w:rsidR="001F1F9A" w:rsidRPr="00B74A89">
        <w:t xml:space="preserve">as their </w:t>
      </w:r>
      <w:r w:rsidRPr="00B74A89">
        <w:t xml:space="preserve">settled or usual home. </w:t>
      </w:r>
      <w:r w:rsidR="00C70AA7" w:rsidRPr="00B74A89">
        <w:t>W</w:t>
      </w:r>
      <w:r w:rsidRPr="00B74A89">
        <w:t>hen the occupation is transient, temporary or of a passing nature, this is not sufficient to establish occupation as a principal place of residence</w:t>
      </w:r>
      <w:r w:rsidR="00720F3B" w:rsidRPr="00B74A89">
        <w:t>.</w:t>
      </w:r>
    </w:p>
    <w:p w14:paraId="4E5EBB97" w14:textId="77777777" w:rsidR="003655E7" w:rsidRPr="00B74A89" w:rsidRDefault="003655E7"/>
    <w:p w14:paraId="47C66376" w14:textId="58AA58A3" w:rsidR="003655E7" w:rsidRPr="00B74A89" w:rsidRDefault="003655E7" w:rsidP="003655E7">
      <w:r w:rsidRPr="00B74A89">
        <w:t>This instrument also gives the Commissioner the discretion to extend the time for a transferee to meet the residence requirement</w:t>
      </w:r>
      <w:r w:rsidR="00103E42" w:rsidRPr="00B74A89">
        <w:t>s</w:t>
      </w:r>
      <w:r w:rsidRPr="00B74A89">
        <w:t xml:space="preserve">, to approve a residence period shorter than </w:t>
      </w:r>
      <w:r w:rsidR="00DC7B99" w:rsidRPr="00B74A89">
        <w:t xml:space="preserve">one </w:t>
      </w:r>
      <w:r w:rsidRPr="00B74A89">
        <w:t>ye</w:t>
      </w:r>
      <w:r w:rsidR="0028523C" w:rsidRPr="00B74A89">
        <w:t xml:space="preserve">ar, </w:t>
      </w:r>
      <w:r w:rsidR="00A06A8D" w:rsidRPr="00B74A89">
        <w:t xml:space="preserve">or to exempt the transferee from the residence requirements, </w:t>
      </w:r>
      <w:r w:rsidRPr="00B74A89">
        <w:t xml:space="preserve">in the event of unforeseen circumstances (such as, health-related issues). </w:t>
      </w:r>
    </w:p>
    <w:p w14:paraId="20E2749E" w14:textId="77777777" w:rsidR="003655E7" w:rsidRPr="00B74A89" w:rsidRDefault="003655E7" w:rsidP="003655E7"/>
    <w:p w14:paraId="2AA0A791" w14:textId="1A173D7C" w:rsidR="003655E7" w:rsidRPr="007C2BF5" w:rsidRDefault="0014228A" w:rsidP="003655E7">
      <w:r w:rsidRPr="00B74A89">
        <w:t xml:space="preserve">The Commissioner can exercise discretion in relation to residence requirements only </w:t>
      </w:r>
      <w:r w:rsidR="003655E7" w:rsidRPr="00B74A89">
        <w:t>where a written request to exercise them is made within 18 months of completion of the transfer for a home, or the date that the certificate of occupancy is issued following completion of the construction of a home for vacant land.</w:t>
      </w:r>
    </w:p>
    <w:p w14:paraId="201CC223" w14:textId="77777777" w:rsidR="008E3CEB" w:rsidRPr="008A6077" w:rsidRDefault="008E3CEB"/>
    <w:p w14:paraId="34ADADA7" w14:textId="77777777" w:rsidR="00C3325C" w:rsidRPr="007C2BF5" w:rsidRDefault="00C3325C" w:rsidP="00C3325C">
      <w:pPr>
        <w:keepNext/>
        <w:rPr>
          <w:rFonts w:ascii="Arial" w:hAnsi="Arial" w:cs="Arial"/>
          <w:b/>
          <w:sz w:val="26"/>
          <w:szCs w:val="26"/>
        </w:rPr>
      </w:pPr>
      <w:r>
        <w:rPr>
          <w:rFonts w:ascii="Arial" w:hAnsi="Arial" w:cs="Arial"/>
          <w:b/>
          <w:sz w:val="26"/>
          <w:szCs w:val="26"/>
        </w:rPr>
        <w:t xml:space="preserve">Required Age </w:t>
      </w:r>
    </w:p>
    <w:p w14:paraId="05EB9E16" w14:textId="77777777" w:rsidR="00C3325C" w:rsidRPr="007C2BF5" w:rsidRDefault="00C3325C" w:rsidP="00C3325C">
      <w:pPr>
        <w:keepNext/>
      </w:pPr>
    </w:p>
    <w:p w14:paraId="3B1C713B" w14:textId="77777777" w:rsidR="00C3325C" w:rsidRPr="007C2BF5" w:rsidRDefault="00C3325C" w:rsidP="00C3325C">
      <w:pPr>
        <w:keepNext/>
      </w:pPr>
      <w:r w:rsidRPr="007C2BF5">
        <w:t xml:space="preserve">This instrument gives the Commissioner the discretion to </w:t>
      </w:r>
      <w:r>
        <w:t>accept</w:t>
      </w:r>
      <w:r w:rsidRPr="007C2BF5">
        <w:t xml:space="preserve"> a transferee under 18</w:t>
      </w:r>
      <w:r>
        <w:t> </w:t>
      </w:r>
      <w:r w:rsidRPr="007C2BF5">
        <w:t>years of age if satisfied that it is fair and reasonable to do so.</w:t>
      </w:r>
    </w:p>
    <w:p w14:paraId="4D30C9F6" w14:textId="77777777" w:rsidR="00C3325C" w:rsidRPr="007C2BF5" w:rsidRDefault="00C3325C" w:rsidP="00C3325C">
      <w:pPr>
        <w:keepNext/>
      </w:pPr>
    </w:p>
    <w:p w14:paraId="0A507D6D" w14:textId="77777777" w:rsidR="008E3CEB" w:rsidRPr="00160FF7" w:rsidRDefault="0086473D" w:rsidP="008E3CEB">
      <w:pPr>
        <w:keepNext/>
        <w:rPr>
          <w:rFonts w:ascii="Arial" w:hAnsi="Arial" w:cs="Arial"/>
          <w:b/>
          <w:sz w:val="26"/>
          <w:szCs w:val="26"/>
        </w:rPr>
      </w:pPr>
      <w:r w:rsidRPr="00160FF7">
        <w:rPr>
          <w:rFonts w:ascii="Arial" w:hAnsi="Arial" w:cs="Arial"/>
          <w:b/>
          <w:sz w:val="26"/>
          <w:szCs w:val="26"/>
        </w:rPr>
        <w:t>Failure to comply with requirement</w:t>
      </w:r>
      <w:r w:rsidR="008A6077" w:rsidRPr="00160FF7">
        <w:rPr>
          <w:rFonts w:ascii="Arial" w:hAnsi="Arial" w:cs="Arial"/>
          <w:b/>
          <w:sz w:val="26"/>
          <w:szCs w:val="26"/>
        </w:rPr>
        <w:t>s</w:t>
      </w:r>
    </w:p>
    <w:p w14:paraId="4CE887BA" w14:textId="77777777" w:rsidR="008E3CEB" w:rsidRPr="00160FF7" w:rsidRDefault="008E3CEB" w:rsidP="008E3CEB">
      <w:pPr>
        <w:keepNext/>
      </w:pPr>
    </w:p>
    <w:p w14:paraId="0FABCF34" w14:textId="47075C0A" w:rsidR="008E3CEB" w:rsidRPr="00160FF7" w:rsidRDefault="001D337D" w:rsidP="008E3CEB">
      <w:r>
        <w:t>If a transaction ceases to be eligible for the HBCS—</w:t>
      </w:r>
      <w:r w:rsidRPr="00717299">
        <w:t xml:space="preserve">for example, because a person </w:t>
      </w:r>
      <w:r w:rsidR="00367B6F" w:rsidRPr="00717299">
        <w:t xml:space="preserve">failed </w:t>
      </w:r>
      <w:r w:rsidR="008E3CEB" w:rsidRPr="00717299">
        <w:t xml:space="preserve">to comply with </w:t>
      </w:r>
      <w:r w:rsidRPr="00717299">
        <w:t>an</w:t>
      </w:r>
      <w:r w:rsidR="008E3CEB" w:rsidRPr="00717299">
        <w:t xml:space="preserve"> </w:t>
      </w:r>
      <w:r w:rsidRPr="00717299">
        <w:t>eligibility requirement—this</w:t>
      </w:r>
      <w:r>
        <w:t xml:space="preserve"> instrument requires written notice of that fact to be provided</w:t>
      </w:r>
      <w:r w:rsidRPr="00160FF7">
        <w:t xml:space="preserve"> to the Commissioner.</w:t>
      </w:r>
      <w:r w:rsidR="008E3CEB" w:rsidRPr="00160FF7">
        <w:t xml:space="preserve"> The notice should advise about the failure to</w:t>
      </w:r>
      <w:r w:rsidR="00A21390" w:rsidRPr="00160FF7">
        <w:t xml:space="preserve"> meet the requirement. Notice </w:t>
      </w:r>
      <w:r w:rsidR="008E3CEB" w:rsidRPr="00160FF7">
        <w:t>must be given within 14 days after the end of the period allowed for compliance with the requirement</w:t>
      </w:r>
      <w:r w:rsidR="00C70AA7">
        <w:t>,</w:t>
      </w:r>
      <w:r w:rsidR="008E3CEB" w:rsidRPr="00160FF7">
        <w:t xml:space="preserve"> or the date </w:t>
      </w:r>
      <w:r w:rsidR="00C53A54">
        <w:t>the transferee</w:t>
      </w:r>
      <w:r w:rsidR="00C53A54" w:rsidRPr="00160FF7">
        <w:t xml:space="preserve"> </w:t>
      </w:r>
      <w:r w:rsidR="008E3CEB" w:rsidRPr="00160FF7">
        <w:t xml:space="preserve">first becomes </w:t>
      </w:r>
      <w:r w:rsidR="00C53A54">
        <w:t>aware</w:t>
      </w:r>
      <w:r w:rsidR="008E3CEB" w:rsidRPr="00160FF7">
        <w:t xml:space="preserve"> that the requirement will not be complied with (whichever comes first).</w:t>
      </w:r>
    </w:p>
    <w:p w14:paraId="4D38AF31" w14:textId="77777777" w:rsidR="008E3CEB" w:rsidRPr="00160FF7" w:rsidRDefault="008E3CEB" w:rsidP="008E3CEB"/>
    <w:p w14:paraId="12A5D893" w14:textId="21117135" w:rsidR="008E3CEB" w:rsidRPr="00160FF7" w:rsidRDefault="00160FF7" w:rsidP="008E3CEB">
      <w:r w:rsidRPr="00160FF7">
        <w:t xml:space="preserve">If the transaction ceases to be an eligible transaction, </w:t>
      </w:r>
      <w:r w:rsidR="00310C47">
        <w:t xml:space="preserve">subject to the dutiable value of the </w:t>
      </w:r>
      <w:r w:rsidR="009D1BA2">
        <w:t xml:space="preserve">eligible </w:t>
      </w:r>
      <w:r w:rsidR="00310C47">
        <w:t xml:space="preserve">property, it </w:t>
      </w:r>
      <w:r w:rsidRPr="00160FF7">
        <w:t xml:space="preserve">will </w:t>
      </w:r>
      <w:r w:rsidR="008E3CEB" w:rsidRPr="00160FF7">
        <w:t xml:space="preserve">become liable for duty </w:t>
      </w:r>
      <w:r w:rsidR="00310C47">
        <w:t xml:space="preserve">or additional duty </w:t>
      </w:r>
      <w:r w:rsidR="008E3CEB" w:rsidRPr="00160FF7">
        <w:t xml:space="preserve">as at the </w:t>
      </w:r>
      <w:r w:rsidR="00A21390" w:rsidRPr="00160FF7">
        <w:t>transaction date</w:t>
      </w:r>
      <w:r w:rsidRPr="00160FF7">
        <w:t xml:space="preserve">. </w:t>
      </w:r>
      <w:r w:rsidR="008E3CEB" w:rsidRPr="00160FF7">
        <w:t xml:space="preserve">In other words, the </w:t>
      </w:r>
      <w:r w:rsidR="00A61F7C" w:rsidRPr="00160FF7">
        <w:t>transferee</w:t>
      </w:r>
      <w:r w:rsidR="00FB0E7F" w:rsidRPr="00160FF7">
        <w:t xml:space="preserve"> </w:t>
      </w:r>
      <w:r w:rsidR="008E3CEB" w:rsidRPr="00160FF7">
        <w:t xml:space="preserve">will become liable to pay the Territory </w:t>
      </w:r>
      <w:r w:rsidRPr="00160FF7">
        <w:t xml:space="preserve">the </w:t>
      </w:r>
      <w:r w:rsidR="008E3CEB" w:rsidRPr="00160FF7">
        <w:t xml:space="preserve">amount of duty that would have been payable on the eligible transaction if the </w:t>
      </w:r>
      <w:r w:rsidR="00FB0E7F" w:rsidRPr="00160FF7">
        <w:t>transaction</w:t>
      </w:r>
      <w:r w:rsidR="008E3CEB" w:rsidRPr="00160FF7">
        <w:t xml:space="preserve"> had not been eligible for the HBCS. </w:t>
      </w:r>
    </w:p>
    <w:p w14:paraId="7F7236D9" w14:textId="77777777" w:rsidR="008E3CEB" w:rsidRPr="00160FF7" w:rsidRDefault="008E3CEB" w:rsidP="008E3CEB"/>
    <w:p w14:paraId="09DDADC0" w14:textId="3E91026A" w:rsidR="007A288A" w:rsidRPr="00DE1B02" w:rsidRDefault="00416723" w:rsidP="007A288A">
      <w:r w:rsidRPr="00DE1B02">
        <w:t xml:space="preserve">If the transferee ceases to be eligible for HBCS, the transferee will be liable for duty at the non-concessional rate. A transferee is liable </w:t>
      </w:r>
      <w:r w:rsidR="001D7058" w:rsidRPr="00DE1B02">
        <w:t xml:space="preserve">for duty </w:t>
      </w:r>
      <w:r w:rsidR="007A288A" w:rsidRPr="00DE1B02">
        <w:t>from the transaction date</w:t>
      </w:r>
      <w:r w:rsidR="001D7058" w:rsidRPr="00DE1B02">
        <w:t>. A requirement</w:t>
      </w:r>
      <w:r w:rsidR="007C44EF" w:rsidRPr="00DE1B02">
        <w:t xml:space="preserve"> </w:t>
      </w:r>
      <w:r w:rsidR="007A288A" w:rsidRPr="00DE1B02">
        <w:t xml:space="preserve">to pay the duty arises from 14 days after the transfer is registered with the registrar-general under section 16 (1) ‘Table 16 Items 1 and 3’ of the </w:t>
      </w:r>
      <w:r w:rsidR="00696174" w:rsidRPr="00DE1B02">
        <w:t>Act</w:t>
      </w:r>
      <w:r w:rsidR="007A288A" w:rsidRPr="00DE1B02">
        <w:t>. A tax default arises if the tax is not paid within 14 days and penalty tax applies under section</w:t>
      </w:r>
      <w:r w:rsidR="00861DAE">
        <w:t>s</w:t>
      </w:r>
      <w:r w:rsidR="007A288A" w:rsidRPr="00DE1B02">
        <w:t xml:space="preserve"> 31 (1)</w:t>
      </w:r>
      <w:r w:rsidR="00861DAE">
        <w:t>, (2) or (4)</w:t>
      </w:r>
      <w:r w:rsidR="007A288A" w:rsidRPr="00DE1B02">
        <w:t xml:space="preserve"> of the TA</w:t>
      </w:r>
      <w:r w:rsidR="00861DAE">
        <w:t xml:space="preserve"> </w:t>
      </w:r>
      <w:r w:rsidR="00696174" w:rsidRPr="00DE1B02">
        <w:t>A</w:t>
      </w:r>
      <w:r w:rsidR="00861DAE">
        <w:t>ct</w:t>
      </w:r>
      <w:r w:rsidR="007A288A" w:rsidRPr="00DE1B02">
        <w:t>, unless the Commissioner is satisfied that section 31 (5) applies, such as taking reasonable care to comply with a tax law. Interest also applies to a tax default and is calculated daily under section 25 (1) of the TA Act. Interest therefore is imposed from the 15</w:t>
      </w:r>
      <w:r w:rsidR="007A288A" w:rsidRPr="00DE1B02">
        <w:rPr>
          <w:vertAlign w:val="superscript"/>
        </w:rPr>
        <w:t>th</w:t>
      </w:r>
      <w:r w:rsidR="007A288A" w:rsidRPr="00DE1B02">
        <w:t xml:space="preserve"> day after the transfer is registered with the registrar-general until the purchaser pays the unpaid tax. Th</w:t>
      </w:r>
      <w:r w:rsidR="00D9101F" w:rsidRPr="00DE1B02">
        <w:t>e unpaid tax</w:t>
      </w:r>
      <w:r w:rsidR="007A288A" w:rsidRPr="00DE1B02">
        <w:t xml:space="preserve"> can include penalty tax if a purchaser failed to meet the criteria for an ‘eligible transaction’ under section </w:t>
      </w:r>
      <w:r w:rsidR="00FB1129" w:rsidRPr="00DE1B02">
        <w:t>6</w:t>
      </w:r>
      <w:r w:rsidR="007A288A" w:rsidRPr="00DE1B02">
        <w:t xml:space="preserve"> of th</w:t>
      </w:r>
      <w:r w:rsidR="00FB1129" w:rsidRPr="00DE1B02">
        <w:t>is</w:t>
      </w:r>
      <w:r w:rsidR="007A288A" w:rsidRPr="00DE1B02">
        <w:t xml:space="preserve"> </w:t>
      </w:r>
      <w:r w:rsidR="00FB1129" w:rsidRPr="00DE1B02">
        <w:t>instrument</w:t>
      </w:r>
      <w:r w:rsidR="007A288A" w:rsidRPr="00DE1B02">
        <w:t xml:space="preserve"> and by definition includes the residence period requirements. </w:t>
      </w:r>
    </w:p>
    <w:p w14:paraId="185F4378" w14:textId="77777777" w:rsidR="007A288A" w:rsidRPr="00DE1B02" w:rsidRDefault="007A288A" w:rsidP="007A288A"/>
    <w:p w14:paraId="19AC0639" w14:textId="0ED7F8C3" w:rsidR="007A288A" w:rsidRPr="00DE1B02" w:rsidRDefault="007A288A" w:rsidP="007A288A">
      <w:r w:rsidRPr="00DE1B02">
        <w:lastRenderedPageBreak/>
        <w:t>If a transferee gives notice to the Commissioner within 14 days of either the end any period for compliance with a requirement (such as residency periods) or the date the transferee first becomes aware the transaction is not eligible</w:t>
      </w:r>
      <w:r w:rsidR="001D7058" w:rsidRPr="00DE1B02">
        <w:t>,</w:t>
      </w:r>
      <w:r w:rsidRPr="00DE1B02">
        <w:t xml:space="preserve"> the Commissioner may remit penalty tax and interest associated with the tax default. </w:t>
      </w:r>
    </w:p>
    <w:p w14:paraId="777771F3" w14:textId="77777777" w:rsidR="007A288A" w:rsidRPr="00DE1B02" w:rsidRDefault="007A288A" w:rsidP="007A288A"/>
    <w:p w14:paraId="3C5B6ECA" w14:textId="05CDF332" w:rsidR="007A288A" w:rsidRDefault="007A288A" w:rsidP="007A288A">
      <w:r w:rsidRPr="00DE1B02">
        <w:t>The TA</w:t>
      </w:r>
      <w:r w:rsidR="00861DAE">
        <w:t xml:space="preserve"> </w:t>
      </w:r>
      <w:r w:rsidR="001D7058" w:rsidRPr="00DE1B02">
        <w:t>A</w:t>
      </w:r>
      <w:r w:rsidR="00861DAE">
        <w:t>ct</w:t>
      </w:r>
      <w:r w:rsidRPr="00DE1B02">
        <w:t xml:space="preserve"> also provides a range of offences which may apply, such as for the avoidance of tax and failing to notify the Commissioner.</w:t>
      </w:r>
      <w:r>
        <w:t xml:space="preserve"> </w:t>
      </w:r>
    </w:p>
    <w:p w14:paraId="0FF0177B" w14:textId="77777777" w:rsidR="00861DAE" w:rsidRDefault="00861DAE" w:rsidP="007A288A"/>
    <w:p w14:paraId="4EA85F72" w14:textId="51AAB144" w:rsidR="00E4756B" w:rsidRPr="007C2BF5" w:rsidRDefault="00832B06" w:rsidP="00372917">
      <w:pPr>
        <w:keepNext/>
        <w:rPr>
          <w:rFonts w:ascii="Arial" w:hAnsi="Arial" w:cs="Arial"/>
          <w:b/>
          <w:sz w:val="26"/>
          <w:szCs w:val="26"/>
        </w:rPr>
      </w:pPr>
      <w:r>
        <w:rPr>
          <w:rFonts w:ascii="Arial" w:hAnsi="Arial" w:cs="Arial"/>
          <w:b/>
          <w:sz w:val="26"/>
          <w:szCs w:val="26"/>
        </w:rPr>
        <w:t xml:space="preserve">Duty </w:t>
      </w:r>
      <w:r w:rsidR="00E4756B" w:rsidRPr="007C2BF5">
        <w:rPr>
          <w:rFonts w:ascii="Arial" w:hAnsi="Arial" w:cs="Arial"/>
          <w:b/>
          <w:sz w:val="26"/>
          <w:szCs w:val="26"/>
        </w:rPr>
        <w:t>rates</w:t>
      </w:r>
      <w:r w:rsidR="00C34BDB">
        <w:rPr>
          <w:rFonts w:ascii="Arial" w:hAnsi="Arial" w:cs="Arial"/>
          <w:b/>
          <w:sz w:val="26"/>
          <w:szCs w:val="26"/>
        </w:rPr>
        <w:t xml:space="preserve"> and capped benefit</w:t>
      </w:r>
    </w:p>
    <w:p w14:paraId="2C628A88" w14:textId="77777777" w:rsidR="00E4756B" w:rsidRPr="007C2BF5" w:rsidRDefault="00E4756B" w:rsidP="00372917">
      <w:pPr>
        <w:keepNext/>
        <w:rPr>
          <w:rFonts w:ascii="Arial" w:hAnsi="Arial" w:cs="Arial"/>
          <w:b/>
          <w:sz w:val="26"/>
          <w:szCs w:val="26"/>
        </w:rPr>
      </w:pPr>
    </w:p>
    <w:p w14:paraId="5B79C922" w14:textId="0466F773" w:rsidR="00C34BDB" w:rsidRPr="00EB4C94" w:rsidRDefault="00C34BDB" w:rsidP="00C34BDB">
      <w:pPr>
        <w:keepNext/>
        <w:rPr>
          <w:iCs/>
          <w:szCs w:val="24"/>
          <w:lang w:eastAsia="en-AU"/>
        </w:rPr>
      </w:pPr>
      <w:r w:rsidRPr="00B74A89">
        <w:t>From 1 July 2021, the benefit available from the HBCS is capped at an amount equal to the amount of duty payable for property with a dutiable value of $1 million. From 1 July 2022, the cap amount is derived from the owner occupier base rate of duty under the</w:t>
      </w:r>
      <w:r w:rsidR="00EB4C94">
        <w:t xml:space="preserve"> applicable disallowable instrument for duty rates</w:t>
      </w:r>
      <w:r w:rsidR="005C3757">
        <w:t>—from 1 July 2024,</w:t>
      </w:r>
      <w:r w:rsidR="00EB4C94">
        <w:t xml:space="preserve"> the</w:t>
      </w:r>
      <w:r w:rsidRPr="00B74A89">
        <w:t xml:space="preserve"> </w:t>
      </w:r>
      <w:r w:rsidRPr="00B74A89">
        <w:rPr>
          <w:i/>
        </w:rPr>
        <w:t xml:space="preserve">Taxation Administration (Amounts Payable—Duty) Determination </w:t>
      </w:r>
      <w:r w:rsidRPr="00DE7FDD">
        <w:rPr>
          <w:i/>
        </w:rPr>
        <w:t>202</w:t>
      </w:r>
      <w:r w:rsidR="005C3757" w:rsidRPr="00DE7FDD">
        <w:rPr>
          <w:i/>
        </w:rPr>
        <w:t>4</w:t>
      </w:r>
      <w:r w:rsidRPr="00B74A89">
        <w:rPr>
          <w:i/>
        </w:rPr>
        <w:t>.</w:t>
      </w:r>
      <w:r w:rsidR="00EB4C94">
        <w:rPr>
          <w:i/>
        </w:rPr>
        <w:t xml:space="preserve"> </w:t>
      </w:r>
    </w:p>
    <w:p w14:paraId="658FDF63" w14:textId="77777777" w:rsidR="00C34BDB" w:rsidRPr="00B74A89" w:rsidRDefault="00C34BDB" w:rsidP="00E4756B"/>
    <w:p w14:paraId="74FB0029" w14:textId="73BE45FD" w:rsidR="004B5B0F" w:rsidRPr="00B74A89" w:rsidRDefault="00882E0E" w:rsidP="00E4756B">
      <w:r w:rsidRPr="00B74A89">
        <w:t>T</w:t>
      </w:r>
      <w:r w:rsidR="00C70AA7" w:rsidRPr="00B74A89">
        <w:t xml:space="preserve">he rate of duty payable on an eligible transaction by an eligible home buyer is a nil </w:t>
      </w:r>
      <w:r w:rsidR="00717299" w:rsidRPr="00B74A89">
        <w:t>rate</w:t>
      </w:r>
      <w:r w:rsidR="001973A8" w:rsidRPr="00B74A89">
        <w:t xml:space="preserve"> for </w:t>
      </w:r>
      <w:r w:rsidR="00311B3B" w:rsidRPr="00B74A89">
        <w:t xml:space="preserve">dutiable </w:t>
      </w:r>
      <w:r w:rsidR="00FF599A" w:rsidRPr="00B74A89">
        <w:t>value</w:t>
      </w:r>
      <w:r w:rsidR="00311B3B" w:rsidRPr="00B74A89">
        <w:t xml:space="preserve"> of</w:t>
      </w:r>
      <w:r w:rsidR="001973A8" w:rsidRPr="00B74A89">
        <w:t xml:space="preserve"> less than or equal to $1,000,000</w:t>
      </w:r>
      <w:r w:rsidR="00C70AA7" w:rsidRPr="00B74A89">
        <w:t xml:space="preserve">. </w:t>
      </w:r>
    </w:p>
    <w:p w14:paraId="6EB04EAF" w14:textId="77777777" w:rsidR="004B5B0F" w:rsidRPr="00B74A89" w:rsidRDefault="004B5B0F" w:rsidP="00E4756B"/>
    <w:p w14:paraId="5B694F62" w14:textId="18834B70" w:rsidR="00E4756B" w:rsidRPr="00B74A89" w:rsidRDefault="004B5B0F" w:rsidP="00E4756B">
      <w:r w:rsidRPr="00B74A89">
        <w:t xml:space="preserve">For </w:t>
      </w:r>
      <w:r w:rsidR="007C44EF">
        <w:t xml:space="preserve">property with a </w:t>
      </w:r>
      <w:r w:rsidR="0083569E" w:rsidRPr="00B74A89">
        <w:t xml:space="preserve">dutiable </w:t>
      </w:r>
      <w:r w:rsidR="00FF599A" w:rsidRPr="00B74A89">
        <w:t>value</w:t>
      </w:r>
      <w:r w:rsidR="0083569E" w:rsidRPr="00B74A89">
        <w:t xml:space="preserve"> over $1,000,000, the rate of duty </w:t>
      </w:r>
      <w:r w:rsidR="0083569E" w:rsidRPr="00F15570">
        <w:t>of $6.40</w:t>
      </w:r>
      <w:r w:rsidR="0083569E" w:rsidRPr="00B74A89">
        <w:t xml:space="preserve"> for every $100, or part thereof, applies to the dutiable </w:t>
      </w:r>
      <w:r w:rsidR="00FF599A" w:rsidRPr="00B74A89">
        <w:t>value</w:t>
      </w:r>
      <w:r w:rsidR="0083569E" w:rsidRPr="00B74A89">
        <w:t xml:space="preserve"> that is more than $1,000,000 but not more than $1,455,000.</w:t>
      </w:r>
      <w:r w:rsidR="00BE4ED7" w:rsidRPr="00B74A89">
        <w:t xml:space="preserve"> As this rate of duty only applies to that part of the dutiable value above $1 million the taxpayer retains the benefit of nil duty on that part of the dutiable value equal to or less than $1 million.</w:t>
      </w:r>
    </w:p>
    <w:p w14:paraId="4CCD7491" w14:textId="00FDACFB" w:rsidR="0083569E" w:rsidRPr="00B74A89" w:rsidRDefault="0083569E" w:rsidP="00E4756B"/>
    <w:p w14:paraId="1EE1D368" w14:textId="13C8853F" w:rsidR="0083569E" w:rsidRDefault="0083569E" w:rsidP="00E4756B">
      <w:r w:rsidRPr="00B74A89">
        <w:t xml:space="preserve">For dutiable </w:t>
      </w:r>
      <w:r w:rsidR="00943F2F" w:rsidRPr="00B74A89">
        <w:t>value</w:t>
      </w:r>
      <w:r w:rsidRPr="00B74A89">
        <w:t xml:space="preserve"> over $1,455,000, </w:t>
      </w:r>
      <w:r w:rsidR="009620B8" w:rsidRPr="00B74A89">
        <w:t>a flat</w:t>
      </w:r>
      <w:r w:rsidRPr="00B74A89">
        <w:t xml:space="preserve"> rate of </w:t>
      </w:r>
      <w:r w:rsidRPr="00F15570">
        <w:t>duty of $4.54 for every</w:t>
      </w:r>
      <w:r w:rsidRPr="00B74A89">
        <w:t xml:space="preserve"> $100</w:t>
      </w:r>
      <w:r w:rsidR="00F848D8" w:rsidRPr="00B74A89">
        <w:t xml:space="preserve"> applies to the total dutiable value</w:t>
      </w:r>
      <w:r w:rsidR="009620B8" w:rsidRPr="00B74A89">
        <w:t xml:space="preserve"> consistent with conveyance duty for residential properties transfers generally</w:t>
      </w:r>
      <w:r w:rsidR="00F848D8" w:rsidRPr="00B74A89">
        <w:t>.</w:t>
      </w:r>
      <w:r w:rsidR="00BE4ED7" w:rsidRPr="00B74A89">
        <w:t xml:space="preserve"> </w:t>
      </w:r>
      <w:r w:rsidR="00983C0A" w:rsidRPr="00B74A89">
        <w:t>The</w:t>
      </w:r>
      <w:r w:rsidR="000205ED" w:rsidRPr="00B74A89">
        <w:t xml:space="preserve"> capped</w:t>
      </w:r>
      <w:r w:rsidR="00983C0A" w:rsidRPr="00B74A89">
        <w:t xml:space="preserve"> HBCS benefit is then applied by subtracting a</w:t>
      </w:r>
      <w:r w:rsidR="00BE4ED7" w:rsidRPr="00B74A89">
        <w:t xml:space="preserve">n amount of duty </w:t>
      </w:r>
      <w:r w:rsidR="00983C0A" w:rsidRPr="00F15570">
        <w:t xml:space="preserve">of </w:t>
      </w:r>
      <w:r w:rsidR="00BE4ED7" w:rsidRPr="00F15570">
        <w:t>$</w:t>
      </w:r>
      <w:r w:rsidR="00B403ED" w:rsidRPr="00F15570">
        <w:t>3</w:t>
      </w:r>
      <w:r w:rsidR="0088754D" w:rsidRPr="00F15570">
        <w:t>4</w:t>
      </w:r>
      <w:r w:rsidR="009620B8" w:rsidRPr="00F15570">
        <w:t> </w:t>
      </w:r>
      <w:r w:rsidR="00F15570" w:rsidRPr="00F15570">
        <w:t>270</w:t>
      </w:r>
      <w:r w:rsidR="00B74A89" w:rsidRPr="00B74A89">
        <w:t xml:space="preserve"> </w:t>
      </w:r>
      <w:r w:rsidR="00983C0A" w:rsidRPr="00B74A89">
        <w:t>– this is</w:t>
      </w:r>
      <w:r w:rsidR="00BE4ED7" w:rsidRPr="00B74A89">
        <w:t xml:space="preserve"> equivalent to that applying to a property with a dutiable value of $1 million</w:t>
      </w:r>
      <w:r w:rsidR="00983C0A" w:rsidRPr="00B74A89">
        <w:t xml:space="preserve"> (at the </w:t>
      </w:r>
      <w:r w:rsidR="000205ED" w:rsidRPr="00B74A89">
        <w:t xml:space="preserve">owner </w:t>
      </w:r>
      <w:r w:rsidR="00983C0A" w:rsidRPr="00B74A89">
        <w:t>occupier base rate</w:t>
      </w:r>
      <w:r w:rsidR="00B403ED" w:rsidRPr="00B74A89">
        <w:t xml:space="preserve"> </w:t>
      </w:r>
      <w:r w:rsidR="00E12664" w:rsidRPr="00B74A89">
        <w:t xml:space="preserve">from </w:t>
      </w:r>
      <w:r w:rsidR="005C3757">
        <w:t>1 July 2024</w:t>
      </w:r>
      <w:r w:rsidR="00B74A89" w:rsidRPr="00B74A89">
        <w:t xml:space="preserve"> </w:t>
      </w:r>
      <w:r w:rsidR="00B403ED" w:rsidRPr="00B74A89">
        <w:t>given the application of residenc</w:t>
      </w:r>
      <w:r w:rsidR="009620B8" w:rsidRPr="00B74A89">
        <w:t>y</w:t>
      </w:r>
      <w:r w:rsidR="00B403ED" w:rsidRPr="00B74A89">
        <w:t xml:space="preserve"> requirements</w:t>
      </w:r>
      <w:r w:rsidR="00983C0A" w:rsidRPr="00B74A89">
        <w:t>).</w:t>
      </w:r>
      <w:r w:rsidR="00983C0A">
        <w:t xml:space="preserve"> </w:t>
      </w:r>
    </w:p>
    <w:p w14:paraId="669249B0" w14:textId="1521DA0E" w:rsidR="00F848D8" w:rsidRDefault="00F848D8" w:rsidP="00E4756B"/>
    <w:p w14:paraId="6970956D" w14:textId="77777777" w:rsidR="00E4756B" w:rsidRPr="00AC576E" w:rsidRDefault="00E4756B" w:rsidP="00E4756B">
      <w:pPr>
        <w:keepNext/>
        <w:rPr>
          <w:rFonts w:ascii="Arial" w:hAnsi="Arial" w:cs="Arial"/>
          <w:b/>
          <w:sz w:val="26"/>
          <w:szCs w:val="26"/>
        </w:rPr>
      </w:pPr>
      <w:r w:rsidRPr="00AC576E">
        <w:rPr>
          <w:rFonts w:ascii="Arial" w:hAnsi="Arial" w:cs="Arial"/>
          <w:b/>
          <w:sz w:val="26"/>
          <w:szCs w:val="26"/>
        </w:rPr>
        <w:t>Undivided shares</w:t>
      </w:r>
    </w:p>
    <w:p w14:paraId="1F2162DF" w14:textId="77777777" w:rsidR="00E4756B" w:rsidRPr="00AC576E" w:rsidRDefault="00E4756B" w:rsidP="00E4756B">
      <w:pPr>
        <w:keepNext/>
        <w:rPr>
          <w:rFonts w:ascii="Arial" w:hAnsi="Arial" w:cs="Arial"/>
          <w:b/>
          <w:sz w:val="26"/>
          <w:szCs w:val="26"/>
        </w:rPr>
      </w:pPr>
    </w:p>
    <w:p w14:paraId="5EDACA8B" w14:textId="7338D280" w:rsidR="00E4756B" w:rsidRPr="0053158D" w:rsidRDefault="00E4756B" w:rsidP="00E4756B">
      <w:r w:rsidRPr="00AC576E">
        <w:t>Where the eligible transaction is for a share in an eligible property, duty</w:t>
      </w:r>
      <w:r w:rsidR="001E351C" w:rsidRPr="00AC576E">
        <w:t xml:space="preserve"> is</w:t>
      </w:r>
      <w:r w:rsidRPr="00AC576E">
        <w:t xml:space="preserve"> payable i</w:t>
      </w:r>
      <w:r w:rsidR="001E351C" w:rsidRPr="00AC576E">
        <w:t>n</w:t>
      </w:r>
      <w:r w:rsidRPr="00AC576E">
        <w:t xml:space="preserve"> proportion to the share purchased by the eligible </w:t>
      </w:r>
      <w:r w:rsidR="001E351C" w:rsidRPr="00AC576E">
        <w:t>home buyer</w:t>
      </w:r>
      <w:r w:rsidRPr="00AC576E">
        <w:t>.</w:t>
      </w:r>
      <w:r w:rsidR="00385321">
        <w:t xml:space="preserve"> </w:t>
      </w:r>
    </w:p>
    <w:p w14:paraId="0A9925EB" w14:textId="77777777" w:rsidR="00E4756B" w:rsidRDefault="00E4756B" w:rsidP="00170015">
      <w:pPr>
        <w:keepNext/>
        <w:rPr>
          <w:rFonts w:ascii="Arial" w:hAnsi="Arial" w:cs="Arial"/>
          <w:b/>
          <w:sz w:val="26"/>
          <w:szCs w:val="26"/>
        </w:rPr>
      </w:pPr>
    </w:p>
    <w:p w14:paraId="618BA897" w14:textId="72D45D1A" w:rsidR="003F53CD" w:rsidRDefault="003F53CD" w:rsidP="00170015">
      <w:pPr>
        <w:keepNext/>
        <w:rPr>
          <w:rFonts w:ascii="Arial" w:hAnsi="Arial" w:cs="Arial"/>
          <w:b/>
          <w:sz w:val="26"/>
          <w:szCs w:val="26"/>
        </w:rPr>
      </w:pPr>
      <w:r>
        <w:rPr>
          <w:rFonts w:ascii="Arial" w:hAnsi="Arial" w:cs="Arial"/>
          <w:b/>
          <w:sz w:val="26"/>
          <w:szCs w:val="26"/>
        </w:rPr>
        <w:t xml:space="preserve">Application for the </w:t>
      </w:r>
      <w:r w:rsidR="00717299">
        <w:rPr>
          <w:rFonts w:ascii="Arial" w:hAnsi="Arial" w:cs="Arial"/>
          <w:b/>
          <w:sz w:val="26"/>
          <w:szCs w:val="26"/>
        </w:rPr>
        <w:t>HBC</w:t>
      </w:r>
      <w:r w:rsidR="005A3326">
        <w:rPr>
          <w:rFonts w:ascii="Arial" w:hAnsi="Arial" w:cs="Arial"/>
          <w:b/>
          <w:sz w:val="26"/>
          <w:szCs w:val="26"/>
        </w:rPr>
        <w:t>S</w:t>
      </w:r>
    </w:p>
    <w:p w14:paraId="49D7BEA8" w14:textId="77777777" w:rsidR="003F53CD" w:rsidRDefault="003F53CD" w:rsidP="00170015">
      <w:pPr>
        <w:keepNext/>
        <w:rPr>
          <w:rFonts w:ascii="Arial" w:hAnsi="Arial" w:cs="Arial"/>
          <w:b/>
          <w:sz w:val="26"/>
          <w:szCs w:val="26"/>
        </w:rPr>
      </w:pPr>
    </w:p>
    <w:p w14:paraId="20FF9383" w14:textId="36400E3F" w:rsidR="003F53CD" w:rsidRDefault="003F53CD" w:rsidP="00170015">
      <w:pPr>
        <w:keepNext/>
      </w:pPr>
      <w:r w:rsidRPr="006C7F22">
        <w:t xml:space="preserve">An application </w:t>
      </w:r>
      <w:r w:rsidR="005A3326">
        <w:t>under</w:t>
      </w:r>
      <w:r w:rsidRPr="006C7F22">
        <w:t xml:space="preserve"> the </w:t>
      </w:r>
      <w:r w:rsidR="005A3326">
        <w:t>HBCS</w:t>
      </w:r>
      <w:r>
        <w:t xml:space="preserve"> may be made at the time the </w:t>
      </w:r>
      <w:r w:rsidR="00882E0E">
        <w:t xml:space="preserve">eligible </w:t>
      </w:r>
      <w:r>
        <w:t xml:space="preserve">home buyer </w:t>
      </w:r>
      <w:r w:rsidR="00CD5FF5">
        <w:t xml:space="preserve">lodges </w:t>
      </w:r>
      <w:r>
        <w:t xml:space="preserve">the transfer of the property with the </w:t>
      </w:r>
      <w:r w:rsidR="00FA00BF">
        <w:t>registrar</w:t>
      </w:r>
      <w:r>
        <w:t>-</w:t>
      </w:r>
      <w:r w:rsidR="00FA00BF">
        <w:t>g</w:t>
      </w:r>
      <w:r>
        <w:t>eneral of Land Titles. In practice</w:t>
      </w:r>
      <w:r w:rsidR="00957824">
        <w:t>,</w:t>
      </w:r>
      <w:r>
        <w:t xml:space="preserve"> a</w:t>
      </w:r>
      <w:r w:rsidR="00143079">
        <w:t>n</w:t>
      </w:r>
      <w:r>
        <w:t xml:space="preserve"> </w:t>
      </w:r>
      <w:r w:rsidR="00143079">
        <w:t xml:space="preserve">eligible </w:t>
      </w:r>
      <w:r>
        <w:t>home buyer would</w:t>
      </w:r>
      <w:r w:rsidR="00957824">
        <w:t xml:space="preserve"> usually</w:t>
      </w:r>
      <w:r>
        <w:t xml:space="preserve"> </w:t>
      </w:r>
      <w:r w:rsidR="003655E7">
        <w:t xml:space="preserve">make such an application by </w:t>
      </w:r>
      <w:r>
        <w:t>claim</w:t>
      </w:r>
      <w:r w:rsidR="003655E7">
        <w:t>ing</w:t>
      </w:r>
      <w:r>
        <w:t xml:space="preserve"> the HBCS concession code on the transfer instrument </w:t>
      </w:r>
      <w:r w:rsidR="00FF599A">
        <w:t>at the time of lodgement</w:t>
      </w:r>
      <w:r>
        <w:t xml:space="preserve">. </w:t>
      </w:r>
    </w:p>
    <w:p w14:paraId="388E8E71" w14:textId="77777777" w:rsidR="003F53CD" w:rsidRDefault="003F53CD" w:rsidP="00170015">
      <w:pPr>
        <w:keepNext/>
      </w:pPr>
    </w:p>
    <w:p w14:paraId="1CC44BFD" w14:textId="2732B3B6" w:rsidR="00A41121" w:rsidRDefault="00957824" w:rsidP="00170015">
      <w:pPr>
        <w:keepNext/>
      </w:pPr>
      <w:r>
        <w:t xml:space="preserve">If an application is not made within this timeframe, the </w:t>
      </w:r>
      <w:r w:rsidR="00143079">
        <w:t xml:space="preserve">eligible </w:t>
      </w:r>
      <w:r>
        <w:t xml:space="preserve">home buyer may apply to the Commissioner for an extension of time to submit a late application. In applying to the Commissioner, the home buyer must specify the grounds on which an </w:t>
      </w:r>
      <w:r>
        <w:lastRenderedPageBreak/>
        <w:t xml:space="preserve">extension is sought and must submit the application for an extension of time </w:t>
      </w:r>
      <w:r w:rsidRPr="00717299">
        <w:t xml:space="preserve">within </w:t>
      </w:r>
      <w:r w:rsidR="00CD5FF5" w:rsidRPr="00717299">
        <w:t>12</w:t>
      </w:r>
      <w:r w:rsidR="00CD5FF5">
        <w:t> </w:t>
      </w:r>
      <w:r w:rsidR="000C4320" w:rsidRPr="00717299">
        <w:t>months</w:t>
      </w:r>
      <w:r>
        <w:t xml:space="preserve"> of the </w:t>
      </w:r>
      <w:r w:rsidR="00FF599A">
        <w:t xml:space="preserve">lodgement </w:t>
      </w:r>
      <w:r>
        <w:t>of the transfer of the eligible property.</w:t>
      </w:r>
    </w:p>
    <w:p w14:paraId="791C132C" w14:textId="77777777" w:rsidR="00A41121" w:rsidRDefault="00A41121" w:rsidP="00170015">
      <w:pPr>
        <w:keepNext/>
      </w:pPr>
    </w:p>
    <w:p w14:paraId="45CFA41D" w14:textId="6414CE73" w:rsidR="003F53CD" w:rsidRDefault="00957824" w:rsidP="00170015">
      <w:pPr>
        <w:keepNext/>
      </w:pPr>
      <w:r>
        <w:t>The Commissioner may</w:t>
      </w:r>
      <w:r w:rsidR="000C4320">
        <w:t xml:space="preserve"> </w:t>
      </w:r>
      <w:r w:rsidR="00B1263B">
        <w:t xml:space="preserve">accept an application to </w:t>
      </w:r>
      <w:r w:rsidR="000C4320">
        <w:t>extend</w:t>
      </w:r>
      <w:r>
        <w:t xml:space="preserve"> the time </w:t>
      </w:r>
      <w:r w:rsidR="00B1263B">
        <w:t xml:space="preserve">if satisfied that the applicant </w:t>
      </w:r>
      <w:r w:rsidR="001D085A">
        <w:t xml:space="preserve">was not able </w:t>
      </w:r>
      <w:r w:rsidR="00B1263B">
        <w:t xml:space="preserve">to apply for the duty concession at the time of </w:t>
      </w:r>
      <w:r w:rsidR="00FF599A">
        <w:t xml:space="preserve">lodgement </w:t>
      </w:r>
      <w:r w:rsidR="001D085A">
        <w:t xml:space="preserve">due to an unforeseen circumstance </w:t>
      </w:r>
      <w:r>
        <w:t>(</w:t>
      </w:r>
      <w:r w:rsidR="00A41121">
        <w:t>such as</w:t>
      </w:r>
      <w:r>
        <w:t>, serious illness</w:t>
      </w:r>
      <w:r w:rsidR="00B1263B">
        <w:t xml:space="preserve"> affecting the applicant</w:t>
      </w:r>
      <w:r>
        <w:t xml:space="preserve">). </w:t>
      </w:r>
    </w:p>
    <w:p w14:paraId="3B862240" w14:textId="77777777" w:rsidR="00044D3E" w:rsidRPr="0053158D" w:rsidRDefault="00044D3E" w:rsidP="00170015">
      <w:pPr>
        <w:keepNext/>
        <w:rPr>
          <w:rFonts w:ascii="Arial" w:hAnsi="Arial" w:cs="Arial"/>
          <w:b/>
          <w:sz w:val="26"/>
          <w:szCs w:val="26"/>
        </w:rPr>
      </w:pPr>
    </w:p>
    <w:p w14:paraId="30505FAB" w14:textId="23DCD475" w:rsidR="0001776D" w:rsidRPr="0053158D" w:rsidRDefault="0086473D" w:rsidP="00170015">
      <w:pPr>
        <w:keepNext/>
        <w:rPr>
          <w:rFonts w:ascii="Arial" w:hAnsi="Arial" w:cs="Arial"/>
          <w:b/>
          <w:sz w:val="26"/>
          <w:szCs w:val="26"/>
        </w:rPr>
      </w:pPr>
      <w:r w:rsidRPr="0053158D">
        <w:rPr>
          <w:rFonts w:ascii="Arial" w:hAnsi="Arial" w:cs="Arial"/>
          <w:b/>
          <w:sz w:val="26"/>
          <w:szCs w:val="26"/>
        </w:rPr>
        <w:t>Revocation</w:t>
      </w:r>
      <w:r w:rsidR="00B96275">
        <w:rPr>
          <w:rFonts w:ascii="Arial" w:hAnsi="Arial" w:cs="Arial"/>
          <w:b/>
          <w:sz w:val="26"/>
          <w:szCs w:val="26"/>
        </w:rPr>
        <w:t xml:space="preserve"> </w:t>
      </w:r>
    </w:p>
    <w:p w14:paraId="1672FEE9" w14:textId="77777777" w:rsidR="0001776D" w:rsidRPr="0053158D" w:rsidRDefault="0001776D" w:rsidP="0001776D"/>
    <w:p w14:paraId="0797DACE" w14:textId="470E3B78" w:rsidR="00F262EB" w:rsidRPr="007C44EF" w:rsidRDefault="001919F5">
      <w:pPr>
        <w:rPr>
          <w:lang w:val="en-US"/>
        </w:rPr>
      </w:pPr>
      <w:r>
        <w:t xml:space="preserve">Section </w:t>
      </w:r>
      <w:r w:rsidR="00FB13C2">
        <w:t xml:space="preserve">9 </w:t>
      </w:r>
      <w:r>
        <w:t xml:space="preserve">of this instrument </w:t>
      </w:r>
      <w:r w:rsidR="00F96354" w:rsidRPr="0053158D">
        <w:t>revokes</w:t>
      </w:r>
      <w:r w:rsidR="00F96354" w:rsidRPr="0053158D">
        <w:rPr>
          <w:i/>
        </w:rPr>
        <w:t xml:space="preserve"> </w:t>
      </w:r>
      <w:r w:rsidR="00383A65" w:rsidRPr="0053158D">
        <w:t>DI20</w:t>
      </w:r>
      <w:r w:rsidR="00383A65">
        <w:t>2</w:t>
      </w:r>
      <w:r w:rsidR="007A05B3">
        <w:t>3</w:t>
      </w:r>
      <w:r w:rsidR="00F96354" w:rsidRPr="0053158D">
        <w:t>-</w:t>
      </w:r>
      <w:r w:rsidR="002F72EF">
        <w:t>288</w:t>
      </w:r>
      <w:r w:rsidR="00F96354" w:rsidRPr="00DC7B99">
        <w:t>.</w:t>
      </w:r>
      <w:r w:rsidR="00F96354" w:rsidRPr="0053158D">
        <w:t xml:space="preserve"> </w:t>
      </w:r>
    </w:p>
    <w:sectPr w:rsidR="00F262EB" w:rsidRPr="007C44EF" w:rsidSect="004C4A40">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8C4D" w14:textId="77777777" w:rsidR="004052C9" w:rsidRDefault="004052C9">
      <w:r>
        <w:separator/>
      </w:r>
    </w:p>
  </w:endnote>
  <w:endnote w:type="continuationSeparator" w:id="0">
    <w:p w14:paraId="1C7312FD" w14:textId="77777777" w:rsidR="004052C9" w:rsidRDefault="004052C9">
      <w:r>
        <w:continuationSeparator/>
      </w:r>
    </w:p>
  </w:endnote>
  <w:endnote w:type="continuationNotice" w:id="1">
    <w:p w14:paraId="58A03C93" w14:textId="77777777" w:rsidR="004052C9" w:rsidRDefault="00405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BA70" w14:textId="77777777" w:rsidR="00E07259" w:rsidRDefault="00E07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966D" w14:textId="2260462E" w:rsidR="00E07259" w:rsidRPr="00E07259" w:rsidRDefault="00E07259" w:rsidP="00E07259">
    <w:pPr>
      <w:pStyle w:val="Footer"/>
      <w:jc w:val="center"/>
      <w:rPr>
        <w:rFonts w:cs="Arial"/>
        <w:sz w:val="14"/>
      </w:rPr>
    </w:pPr>
    <w:r w:rsidRPr="00E072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DB69" w14:textId="77777777" w:rsidR="00E07259" w:rsidRDefault="00E07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C6D2" w14:textId="77777777" w:rsidR="004052C9" w:rsidRDefault="004052C9">
      <w:r>
        <w:separator/>
      </w:r>
    </w:p>
  </w:footnote>
  <w:footnote w:type="continuationSeparator" w:id="0">
    <w:p w14:paraId="79C9BD22" w14:textId="77777777" w:rsidR="004052C9" w:rsidRDefault="004052C9">
      <w:r>
        <w:continuationSeparator/>
      </w:r>
    </w:p>
  </w:footnote>
  <w:footnote w:type="continuationNotice" w:id="1">
    <w:p w14:paraId="2FCEA9A4" w14:textId="77777777" w:rsidR="004052C9" w:rsidRDefault="00405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9561" w14:textId="77777777" w:rsidR="00E07259" w:rsidRDefault="00E07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17B5" w14:textId="77777777" w:rsidR="00E07259" w:rsidRDefault="00E07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DCF3" w14:textId="77777777" w:rsidR="00E07259" w:rsidRDefault="00E07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A90F75"/>
    <w:multiLevelType w:val="hybridMultilevel"/>
    <w:tmpl w:val="57A27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0853482">
    <w:abstractNumId w:val="4"/>
  </w:num>
  <w:num w:numId="2" w16cid:durableId="1662314">
    <w:abstractNumId w:val="0"/>
  </w:num>
  <w:num w:numId="3" w16cid:durableId="1731609671">
    <w:abstractNumId w:val="6"/>
  </w:num>
  <w:num w:numId="4" w16cid:durableId="1428231179">
    <w:abstractNumId w:val="11"/>
  </w:num>
  <w:num w:numId="5" w16cid:durableId="1006411">
    <w:abstractNumId w:val="19"/>
  </w:num>
  <w:num w:numId="6" w16cid:durableId="635647134">
    <w:abstractNumId w:val="3"/>
  </w:num>
  <w:num w:numId="7" w16cid:durableId="1302921368">
    <w:abstractNumId w:val="9"/>
  </w:num>
  <w:num w:numId="8" w16cid:durableId="1708068326">
    <w:abstractNumId w:val="10"/>
  </w:num>
  <w:num w:numId="9" w16cid:durableId="1756588573">
    <w:abstractNumId w:val="5"/>
  </w:num>
  <w:num w:numId="10" w16cid:durableId="267204686">
    <w:abstractNumId w:val="17"/>
  </w:num>
  <w:num w:numId="11" w16cid:durableId="615337078">
    <w:abstractNumId w:val="15"/>
  </w:num>
  <w:num w:numId="12" w16cid:durableId="996147454">
    <w:abstractNumId w:val="7"/>
  </w:num>
  <w:num w:numId="13" w16cid:durableId="423843974">
    <w:abstractNumId w:val="18"/>
  </w:num>
  <w:num w:numId="14" w16cid:durableId="1870755956">
    <w:abstractNumId w:val="2"/>
  </w:num>
  <w:num w:numId="15" w16cid:durableId="168568868">
    <w:abstractNumId w:val="8"/>
  </w:num>
  <w:num w:numId="16" w16cid:durableId="1772817826">
    <w:abstractNumId w:val="22"/>
  </w:num>
  <w:num w:numId="17" w16cid:durableId="1394111492">
    <w:abstractNumId w:val="14"/>
  </w:num>
  <w:num w:numId="18" w16cid:durableId="1324240072">
    <w:abstractNumId w:val="16"/>
  </w:num>
  <w:num w:numId="19" w16cid:durableId="1579049195">
    <w:abstractNumId w:val="1"/>
  </w:num>
  <w:num w:numId="20" w16cid:durableId="1508909438">
    <w:abstractNumId w:val="12"/>
  </w:num>
  <w:num w:numId="21" w16cid:durableId="1791431713">
    <w:abstractNumId w:val="13"/>
  </w:num>
  <w:num w:numId="22" w16cid:durableId="310404598">
    <w:abstractNumId w:val="20"/>
  </w:num>
  <w:num w:numId="23" w16cid:durableId="16120121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10513"/>
    <w:rsid w:val="00010C58"/>
    <w:rsid w:val="00010D01"/>
    <w:rsid w:val="00012BFE"/>
    <w:rsid w:val="0001776D"/>
    <w:rsid w:val="000205ED"/>
    <w:rsid w:val="000269C1"/>
    <w:rsid w:val="000273CE"/>
    <w:rsid w:val="000341B5"/>
    <w:rsid w:val="00043265"/>
    <w:rsid w:val="00044D3E"/>
    <w:rsid w:val="000460EF"/>
    <w:rsid w:val="00046802"/>
    <w:rsid w:val="00046F8A"/>
    <w:rsid w:val="00055EB0"/>
    <w:rsid w:val="00066E67"/>
    <w:rsid w:val="000806FC"/>
    <w:rsid w:val="00081CA7"/>
    <w:rsid w:val="00081EAB"/>
    <w:rsid w:val="00084553"/>
    <w:rsid w:val="00093172"/>
    <w:rsid w:val="000A0EC2"/>
    <w:rsid w:val="000B2DA6"/>
    <w:rsid w:val="000C1050"/>
    <w:rsid w:val="000C183A"/>
    <w:rsid w:val="000C4320"/>
    <w:rsid w:val="000C7D9E"/>
    <w:rsid w:val="000E73CF"/>
    <w:rsid w:val="000E7BE3"/>
    <w:rsid w:val="000F0E2A"/>
    <w:rsid w:val="00103E42"/>
    <w:rsid w:val="00123849"/>
    <w:rsid w:val="00124701"/>
    <w:rsid w:val="00127894"/>
    <w:rsid w:val="00134832"/>
    <w:rsid w:val="00136F26"/>
    <w:rsid w:val="0014228A"/>
    <w:rsid w:val="00143079"/>
    <w:rsid w:val="00143744"/>
    <w:rsid w:val="00146D90"/>
    <w:rsid w:val="001572FB"/>
    <w:rsid w:val="00160FF7"/>
    <w:rsid w:val="00162E21"/>
    <w:rsid w:val="00170015"/>
    <w:rsid w:val="00177FE4"/>
    <w:rsid w:val="00184665"/>
    <w:rsid w:val="00184FAA"/>
    <w:rsid w:val="00187EAD"/>
    <w:rsid w:val="001919F5"/>
    <w:rsid w:val="00195FA1"/>
    <w:rsid w:val="00197020"/>
    <w:rsid w:val="001973A8"/>
    <w:rsid w:val="001A18EE"/>
    <w:rsid w:val="001A23DC"/>
    <w:rsid w:val="001A6800"/>
    <w:rsid w:val="001B59B2"/>
    <w:rsid w:val="001C249D"/>
    <w:rsid w:val="001C6076"/>
    <w:rsid w:val="001D085A"/>
    <w:rsid w:val="001D2184"/>
    <w:rsid w:val="001D337D"/>
    <w:rsid w:val="001D7058"/>
    <w:rsid w:val="001E351C"/>
    <w:rsid w:val="001E6C23"/>
    <w:rsid w:val="001F1F9A"/>
    <w:rsid w:val="002022D8"/>
    <w:rsid w:val="0020307B"/>
    <w:rsid w:val="002057E4"/>
    <w:rsid w:val="0021279A"/>
    <w:rsid w:val="00217E47"/>
    <w:rsid w:val="002206A3"/>
    <w:rsid w:val="00221FF1"/>
    <w:rsid w:val="0022498A"/>
    <w:rsid w:val="00235291"/>
    <w:rsid w:val="0024204A"/>
    <w:rsid w:val="002421A1"/>
    <w:rsid w:val="00252748"/>
    <w:rsid w:val="002541D3"/>
    <w:rsid w:val="002564DE"/>
    <w:rsid w:val="00260AEB"/>
    <w:rsid w:val="00264258"/>
    <w:rsid w:val="00266233"/>
    <w:rsid w:val="002726D4"/>
    <w:rsid w:val="002756D5"/>
    <w:rsid w:val="00275B52"/>
    <w:rsid w:val="0028293C"/>
    <w:rsid w:val="0028523C"/>
    <w:rsid w:val="002C10B2"/>
    <w:rsid w:val="002C30B0"/>
    <w:rsid w:val="002D0130"/>
    <w:rsid w:val="002D113F"/>
    <w:rsid w:val="002E6B35"/>
    <w:rsid w:val="002F72EF"/>
    <w:rsid w:val="00307B74"/>
    <w:rsid w:val="00310C47"/>
    <w:rsid w:val="00311B3B"/>
    <w:rsid w:val="00312C89"/>
    <w:rsid w:val="003143D2"/>
    <w:rsid w:val="0031510D"/>
    <w:rsid w:val="00321982"/>
    <w:rsid w:val="0032582D"/>
    <w:rsid w:val="00326968"/>
    <w:rsid w:val="0032710B"/>
    <w:rsid w:val="0033454A"/>
    <w:rsid w:val="00337B6A"/>
    <w:rsid w:val="00337EDE"/>
    <w:rsid w:val="0034365E"/>
    <w:rsid w:val="003466A9"/>
    <w:rsid w:val="00354462"/>
    <w:rsid w:val="00360816"/>
    <w:rsid w:val="00364A6D"/>
    <w:rsid w:val="003655E7"/>
    <w:rsid w:val="00367B6F"/>
    <w:rsid w:val="0037075D"/>
    <w:rsid w:val="00372917"/>
    <w:rsid w:val="00377762"/>
    <w:rsid w:val="00383A65"/>
    <w:rsid w:val="00385321"/>
    <w:rsid w:val="00390519"/>
    <w:rsid w:val="00394614"/>
    <w:rsid w:val="003951C9"/>
    <w:rsid w:val="00396D64"/>
    <w:rsid w:val="003A49BE"/>
    <w:rsid w:val="003A4B6F"/>
    <w:rsid w:val="003A5919"/>
    <w:rsid w:val="003B2059"/>
    <w:rsid w:val="003C1C8E"/>
    <w:rsid w:val="003C24D1"/>
    <w:rsid w:val="003D4909"/>
    <w:rsid w:val="003D4B8E"/>
    <w:rsid w:val="003D60F8"/>
    <w:rsid w:val="003E022B"/>
    <w:rsid w:val="003E68EE"/>
    <w:rsid w:val="003F25A2"/>
    <w:rsid w:val="003F4465"/>
    <w:rsid w:val="003F53CD"/>
    <w:rsid w:val="003F6177"/>
    <w:rsid w:val="004052C9"/>
    <w:rsid w:val="00406E76"/>
    <w:rsid w:val="00416723"/>
    <w:rsid w:val="00424FED"/>
    <w:rsid w:val="0042518B"/>
    <w:rsid w:val="00427647"/>
    <w:rsid w:val="00430507"/>
    <w:rsid w:val="00432A7C"/>
    <w:rsid w:val="00440D88"/>
    <w:rsid w:val="00447305"/>
    <w:rsid w:val="00447E90"/>
    <w:rsid w:val="004538D6"/>
    <w:rsid w:val="00454973"/>
    <w:rsid w:val="00456F2A"/>
    <w:rsid w:val="00466BFC"/>
    <w:rsid w:val="00471C05"/>
    <w:rsid w:val="0047541C"/>
    <w:rsid w:val="00485436"/>
    <w:rsid w:val="004958BF"/>
    <w:rsid w:val="00496240"/>
    <w:rsid w:val="004A527C"/>
    <w:rsid w:val="004A707E"/>
    <w:rsid w:val="004B5B0F"/>
    <w:rsid w:val="004C4333"/>
    <w:rsid w:val="004C4A40"/>
    <w:rsid w:val="004D52AB"/>
    <w:rsid w:val="004D6557"/>
    <w:rsid w:val="004E544A"/>
    <w:rsid w:val="004F056A"/>
    <w:rsid w:val="004F3B84"/>
    <w:rsid w:val="004F3D11"/>
    <w:rsid w:val="005027FF"/>
    <w:rsid w:val="00504F91"/>
    <w:rsid w:val="00527A48"/>
    <w:rsid w:val="0053158D"/>
    <w:rsid w:val="0053244A"/>
    <w:rsid w:val="0053484D"/>
    <w:rsid w:val="00535BF4"/>
    <w:rsid w:val="00544385"/>
    <w:rsid w:val="0054611B"/>
    <w:rsid w:val="00557675"/>
    <w:rsid w:val="00557CA6"/>
    <w:rsid w:val="00557EA2"/>
    <w:rsid w:val="005675E6"/>
    <w:rsid w:val="005759AF"/>
    <w:rsid w:val="005833A1"/>
    <w:rsid w:val="0058482F"/>
    <w:rsid w:val="00585786"/>
    <w:rsid w:val="00591ABF"/>
    <w:rsid w:val="0059269D"/>
    <w:rsid w:val="005931F6"/>
    <w:rsid w:val="0059517B"/>
    <w:rsid w:val="00597EC2"/>
    <w:rsid w:val="005A1447"/>
    <w:rsid w:val="005A3326"/>
    <w:rsid w:val="005B6486"/>
    <w:rsid w:val="005C3757"/>
    <w:rsid w:val="005C5ABD"/>
    <w:rsid w:val="005C64EE"/>
    <w:rsid w:val="005C7375"/>
    <w:rsid w:val="005D70F1"/>
    <w:rsid w:val="005E41F6"/>
    <w:rsid w:val="005E4CF1"/>
    <w:rsid w:val="005F029F"/>
    <w:rsid w:val="005F0C24"/>
    <w:rsid w:val="005F597E"/>
    <w:rsid w:val="00600EFA"/>
    <w:rsid w:val="00610F02"/>
    <w:rsid w:val="006211CB"/>
    <w:rsid w:val="00622D51"/>
    <w:rsid w:val="00625061"/>
    <w:rsid w:val="00626A08"/>
    <w:rsid w:val="0063087D"/>
    <w:rsid w:val="006308D6"/>
    <w:rsid w:val="006437E8"/>
    <w:rsid w:val="00644C3A"/>
    <w:rsid w:val="00644E63"/>
    <w:rsid w:val="006463CF"/>
    <w:rsid w:val="00652C48"/>
    <w:rsid w:val="00653D6F"/>
    <w:rsid w:val="00655FD4"/>
    <w:rsid w:val="00657592"/>
    <w:rsid w:val="0066239F"/>
    <w:rsid w:val="00664489"/>
    <w:rsid w:val="00670FE9"/>
    <w:rsid w:val="00674852"/>
    <w:rsid w:val="006753FB"/>
    <w:rsid w:val="00682893"/>
    <w:rsid w:val="006829B3"/>
    <w:rsid w:val="00683B20"/>
    <w:rsid w:val="006929F8"/>
    <w:rsid w:val="00692F41"/>
    <w:rsid w:val="00696174"/>
    <w:rsid w:val="006A16D6"/>
    <w:rsid w:val="006A45B1"/>
    <w:rsid w:val="006A5663"/>
    <w:rsid w:val="006B484A"/>
    <w:rsid w:val="006B61FD"/>
    <w:rsid w:val="006C7F22"/>
    <w:rsid w:val="006E1F6D"/>
    <w:rsid w:val="006E1FE1"/>
    <w:rsid w:val="006E5FA2"/>
    <w:rsid w:val="006F09F2"/>
    <w:rsid w:val="00704196"/>
    <w:rsid w:val="00707D6A"/>
    <w:rsid w:val="007141C0"/>
    <w:rsid w:val="007151DF"/>
    <w:rsid w:val="00717299"/>
    <w:rsid w:val="00720F3B"/>
    <w:rsid w:val="00725F6A"/>
    <w:rsid w:val="007276F9"/>
    <w:rsid w:val="00745229"/>
    <w:rsid w:val="007458B0"/>
    <w:rsid w:val="0075065A"/>
    <w:rsid w:val="007603DE"/>
    <w:rsid w:val="007658C1"/>
    <w:rsid w:val="007671B5"/>
    <w:rsid w:val="0076763A"/>
    <w:rsid w:val="00771418"/>
    <w:rsid w:val="00782ADF"/>
    <w:rsid w:val="00782FD2"/>
    <w:rsid w:val="0078326B"/>
    <w:rsid w:val="007868C2"/>
    <w:rsid w:val="0079273F"/>
    <w:rsid w:val="007A05B3"/>
    <w:rsid w:val="007A1183"/>
    <w:rsid w:val="007A288A"/>
    <w:rsid w:val="007A38E8"/>
    <w:rsid w:val="007B785B"/>
    <w:rsid w:val="007C2BF5"/>
    <w:rsid w:val="007C44EF"/>
    <w:rsid w:val="007C7CD2"/>
    <w:rsid w:val="007D1C64"/>
    <w:rsid w:val="007D4695"/>
    <w:rsid w:val="007D6984"/>
    <w:rsid w:val="007D767A"/>
    <w:rsid w:val="007F2FEC"/>
    <w:rsid w:val="007F7759"/>
    <w:rsid w:val="0080072F"/>
    <w:rsid w:val="008020EC"/>
    <w:rsid w:val="00802FF5"/>
    <w:rsid w:val="00803667"/>
    <w:rsid w:val="00805C04"/>
    <w:rsid w:val="0082006C"/>
    <w:rsid w:val="00820FC7"/>
    <w:rsid w:val="008215FE"/>
    <w:rsid w:val="00824ABD"/>
    <w:rsid w:val="00832B06"/>
    <w:rsid w:val="00833E28"/>
    <w:rsid w:val="0083569E"/>
    <w:rsid w:val="0083672C"/>
    <w:rsid w:val="00841F92"/>
    <w:rsid w:val="00845D84"/>
    <w:rsid w:val="0085514F"/>
    <w:rsid w:val="00860244"/>
    <w:rsid w:val="008602C8"/>
    <w:rsid w:val="00861DAE"/>
    <w:rsid w:val="0086473D"/>
    <w:rsid w:val="00867C0B"/>
    <w:rsid w:val="008706CF"/>
    <w:rsid w:val="00870CD6"/>
    <w:rsid w:val="00874E3D"/>
    <w:rsid w:val="00882E0E"/>
    <w:rsid w:val="008847BF"/>
    <w:rsid w:val="0088754D"/>
    <w:rsid w:val="00893A36"/>
    <w:rsid w:val="008977AE"/>
    <w:rsid w:val="008A0F73"/>
    <w:rsid w:val="008A2D73"/>
    <w:rsid w:val="008A6077"/>
    <w:rsid w:val="008A68F4"/>
    <w:rsid w:val="008B1C8A"/>
    <w:rsid w:val="008B4C2F"/>
    <w:rsid w:val="008B7EE9"/>
    <w:rsid w:val="008C0E36"/>
    <w:rsid w:val="008C2C09"/>
    <w:rsid w:val="008C3474"/>
    <w:rsid w:val="008C6961"/>
    <w:rsid w:val="008D11D3"/>
    <w:rsid w:val="008D13AA"/>
    <w:rsid w:val="008D423D"/>
    <w:rsid w:val="008D4398"/>
    <w:rsid w:val="008D64F6"/>
    <w:rsid w:val="008E2D9E"/>
    <w:rsid w:val="008E3CEB"/>
    <w:rsid w:val="008E6FB4"/>
    <w:rsid w:val="00900E6E"/>
    <w:rsid w:val="00915314"/>
    <w:rsid w:val="00936C4C"/>
    <w:rsid w:val="009371AF"/>
    <w:rsid w:val="00937772"/>
    <w:rsid w:val="0094192A"/>
    <w:rsid w:val="00943F2F"/>
    <w:rsid w:val="00951230"/>
    <w:rsid w:val="00952599"/>
    <w:rsid w:val="00952601"/>
    <w:rsid w:val="00954609"/>
    <w:rsid w:val="00957824"/>
    <w:rsid w:val="009620B8"/>
    <w:rsid w:val="00965AED"/>
    <w:rsid w:val="00967574"/>
    <w:rsid w:val="0098194C"/>
    <w:rsid w:val="00983C0A"/>
    <w:rsid w:val="00985DD4"/>
    <w:rsid w:val="00990CF2"/>
    <w:rsid w:val="00990F91"/>
    <w:rsid w:val="009A60B7"/>
    <w:rsid w:val="009B4B0F"/>
    <w:rsid w:val="009C4E0C"/>
    <w:rsid w:val="009C530D"/>
    <w:rsid w:val="009D1BA2"/>
    <w:rsid w:val="009D772B"/>
    <w:rsid w:val="009E7CB2"/>
    <w:rsid w:val="009F01B7"/>
    <w:rsid w:val="009F2AF8"/>
    <w:rsid w:val="00A04CF1"/>
    <w:rsid w:val="00A05DD3"/>
    <w:rsid w:val="00A06A8D"/>
    <w:rsid w:val="00A21390"/>
    <w:rsid w:val="00A234EB"/>
    <w:rsid w:val="00A335E2"/>
    <w:rsid w:val="00A40A52"/>
    <w:rsid w:val="00A41121"/>
    <w:rsid w:val="00A47991"/>
    <w:rsid w:val="00A50EB5"/>
    <w:rsid w:val="00A61F7C"/>
    <w:rsid w:val="00A6523E"/>
    <w:rsid w:val="00A66C0A"/>
    <w:rsid w:val="00A71C0C"/>
    <w:rsid w:val="00A73683"/>
    <w:rsid w:val="00A74B57"/>
    <w:rsid w:val="00A83B1C"/>
    <w:rsid w:val="00A93004"/>
    <w:rsid w:val="00AA264F"/>
    <w:rsid w:val="00AA7BF0"/>
    <w:rsid w:val="00AB5126"/>
    <w:rsid w:val="00AB5A08"/>
    <w:rsid w:val="00AC2098"/>
    <w:rsid w:val="00AC3EEF"/>
    <w:rsid w:val="00AC576E"/>
    <w:rsid w:val="00AD2319"/>
    <w:rsid w:val="00AD7B75"/>
    <w:rsid w:val="00AE2061"/>
    <w:rsid w:val="00AE276F"/>
    <w:rsid w:val="00AF2B52"/>
    <w:rsid w:val="00AF78F8"/>
    <w:rsid w:val="00B0234C"/>
    <w:rsid w:val="00B041F4"/>
    <w:rsid w:val="00B1067A"/>
    <w:rsid w:val="00B1263B"/>
    <w:rsid w:val="00B22846"/>
    <w:rsid w:val="00B256EA"/>
    <w:rsid w:val="00B355FA"/>
    <w:rsid w:val="00B365B3"/>
    <w:rsid w:val="00B403ED"/>
    <w:rsid w:val="00B54842"/>
    <w:rsid w:val="00B556B3"/>
    <w:rsid w:val="00B6435B"/>
    <w:rsid w:val="00B65B1A"/>
    <w:rsid w:val="00B72B5D"/>
    <w:rsid w:val="00B74A89"/>
    <w:rsid w:val="00B74DC0"/>
    <w:rsid w:val="00B810E6"/>
    <w:rsid w:val="00B8375B"/>
    <w:rsid w:val="00B83E19"/>
    <w:rsid w:val="00B96275"/>
    <w:rsid w:val="00BA1C3E"/>
    <w:rsid w:val="00BA4D26"/>
    <w:rsid w:val="00BC1954"/>
    <w:rsid w:val="00BE4ED7"/>
    <w:rsid w:val="00C207D4"/>
    <w:rsid w:val="00C2663A"/>
    <w:rsid w:val="00C3325C"/>
    <w:rsid w:val="00C34BDB"/>
    <w:rsid w:val="00C36C86"/>
    <w:rsid w:val="00C37042"/>
    <w:rsid w:val="00C37233"/>
    <w:rsid w:val="00C4252F"/>
    <w:rsid w:val="00C4330C"/>
    <w:rsid w:val="00C47FD8"/>
    <w:rsid w:val="00C521EA"/>
    <w:rsid w:val="00C52F82"/>
    <w:rsid w:val="00C53A54"/>
    <w:rsid w:val="00C60FCB"/>
    <w:rsid w:val="00C66E2A"/>
    <w:rsid w:val="00C70AA7"/>
    <w:rsid w:val="00C86538"/>
    <w:rsid w:val="00C87908"/>
    <w:rsid w:val="00C95242"/>
    <w:rsid w:val="00CA7F63"/>
    <w:rsid w:val="00CB2BE9"/>
    <w:rsid w:val="00CB460C"/>
    <w:rsid w:val="00CB5B01"/>
    <w:rsid w:val="00CB60CA"/>
    <w:rsid w:val="00CC1F17"/>
    <w:rsid w:val="00CD0047"/>
    <w:rsid w:val="00CD35F9"/>
    <w:rsid w:val="00CD5FF5"/>
    <w:rsid w:val="00CE23DD"/>
    <w:rsid w:val="00CE4899"/>
    <w:rsid w:val="00CF0F89"/>
    <w:rsid w:val="00CF252B"/>
    <w:rsid w:val="00D02363"/>
    <w:rsid w:val="00D108F8"/>
    <w:rsid w:val="00D2391E"/>
    <w:rsid w:val="00D26A88"/>
    <w:rsid w:val="00D413D4"/>
    <w:rsid w:val="00D46FD7"/>
    <w:rsid w:val="00D51F77"/>
    <w:rsid w:val="00D636F8"/>
    <w:rsid w:val="00D64F51"/>
    <w:rsid w:val="00D7395E"/>
    <w:rsid w:val="00D7440F"/>
    <w:rsid w:val="00D77AD5"/>
    <w:rsid w:val="00D85AC6"/>
    <w:rsid w:val="00D85C4A"/>
    <w:rsid w:val="00D9101F"/>
    <w:rsid w:val="00D96ECB"/>
    <w:rsid w:val="00DA1245"/>
    <w:rsid w:val="00DA29FD"/>
    <w:rsid w:val="00DA6CBE"/>
    <w:rsid w:val="00DC01DB"/>
    <w:rsid w:val="00DC0528"/>
    <w:rsid w:val="00DC69FE"/>
    <w:rsid w:val="00DC7B99"/>
    <w:rsid w:val="00DE1B02"/>
    <w:rsid w:val="00DE30A5"/>
    <w:rsid w:val="00DE3BD4"/>
    <w:rsid w:val="00DE70DC"/>
    <w:rsid w:val="00DE7C6D"/>
    <w:rsid w:val="00DE7FDD"/>
    <w:rsid w:val="00DF395D"/>
    <w:rsid w:val="00DF5A48"/>
    <w:rsid w:val="00E07259"/>
    <w:rsid w:val="00E12664"/>
    <w:rsid w:val="00E13BEA"/>
    <w:rsid w:val="00E1400B"/>
    <w:rsid w:val="00E1644F"/>
    <w:rsid w:val="00E17B48"/>
    <w:rsid w:val="00E2131B"/>
    <w:rsid w:val="00E23EDD"/>
    <w:rsid w:val="00E33A69"/>
    <w:rsid w:val="00E3677A"/>
    <w:rsid w:val="00E4756B"/>
    <w:rsid w:val="00E54A3A"/>
    <w:rsid w:val="00E63A03"/>
    <w:rsid w:val="00E708B9"/>
    <w:rsid w:val="00E81F9E"/>
    <w:rsid w:val="00E831C8"/>
    <w:rsid w:val="00E87D49"/>
    <w:rsid w:val="00E909BF"/>
    <w:rsid w:val="00EA66A5"/>
    <w:rsid w:val="00EB1F99"/>
    <w:rsid w:val="00EB2D2F"/>
    <w:rsid w:val="00EB460C"/>
    <w:rsid w:val="00EB4C94"/>
    <w:rsid w:val="00EC0510"/>
    <w:rsid w:val="00EC14A0"/>
    <w:rsid w:val="00EC1E68"/>
    <w:rsid w:val="00EC5893"/>
    <w:rsid w:val="00EC61F6"/>
    <w:rsid w:val="00ED0D29"/>
    <w:rsid w:val="00EE3994"/>
    <w:rsid w:val="00EE5A1D"/>
    <w:rsid w:val="00EE62B4"/>
    <w:rsid w:val="00EF5287"/>
    <w:rsid w:val="00F124AC"/>
    <w:rsid w:val="00F15570"/>
    <w:rsid w:val="00F166B0"/>
    <w:rsid w:val="00F262EB"/>
    <w:rsid w:val="00F32946"/>
    <w:rsid w:val="00F445A8"/>
    <w:rsid w:val="00F46DE4"/>
    <w:rsid w:val="00F5506B"/>
    <w:rsid w:val="00F614A4"/>
    <w:rsid w:val="00F6527A"/>
    <w:rsid w:val="00F71A23"/>
    <w:rsid w:val="00F76F78"/>
    <w:rsid w:val="00F848D8"/>
    <w:rsid w:val="00F87CBD"/>
    <w:rsid w:val="00F93432"/>
    <w:rsid w:val="00F96354"/>
    <w:rsid w:val="00FA00BF"/>
    <w:rsid w:val="00FA1A07"/>
    <w:rsid w:val="00FB0E7F"/>
    <w:rsid w:val="00FB1129"/>
    <w:rsid w:val="00FB13C2"/>
    <w:rsid w:val="00FB44D8"/>
    <w:rsid w:val="00FB538B"/>
    <w:rsid w:val="00FC3818"/>
    <w:rsid w:val="00FC4423"/>
    <w:rsid w:val="00FD13E7"/>
    <w:rsid w:val="00FD5B56"/>
    <w:rsid w:val="00FF4B97"/>
    <w:rsid w:val="00FF599A"/>
    <w:rsid w:val="00FF5C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8485C"/>
  <w14:defaultImageDpi w14:val="0"/>
  <w15:docId w15:val="{27A9070E-FFB1-4790-B830-7ED0F2C0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60C"/>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paragraph" w:styleId="Revision">
    <w:name w:val="Revision"/>
    <w:hidden/>
    <w:uiPriority w:val="99"/>
    <w:semiHidden/>
    <w:rsid w:val="00383A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77BE9-6C0A-4499-9F8D-C039E203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0D7CFB-A5DB-4A7A-886D-555A7DF995B8}">
  <ds:schemaRefs>
    <ds:schemaRef ds:uri="http://schemas.openxmlformats.org/officeDocument/2006/bibliography"/>
  </ds:schemaRefs>
</ds:datastoreItem>
</file>

<file path=customXml/itemProps3.xml><?xml version="1.0" encoding="utf-8"?>
<ds:datastoreItem xmlns:ds="http://schemas.openxmlformats.org/officeDocument/2006/customXml" ds:itemID="{DF862111-5123-4BC7-8DCE-D70DBA60492A}">
  <ds:schemaRefs>
    <ds:schemaRef ds:uri="http://schemas.microsoft.com/sharepoint/v3/contenttype/forms"/>
  </ds:schemaRefs>
</ds:datastoreItem>
</file>

<file path=customXml/itemProps4.xml><?xml version="1.0" encoding="utf-8"?>
<ds:datastoreItem xmlns:ds="http://schemas.openxmlformats.org/officeDocument/2006/customXml" ds:itemID="{F1BFAF52-A4AC-4E44-A1E8-ECA44B18D618}">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2561</Words>
  <Characters>13051</Characters>
  <Application>Microsoft Office Word</Application>
  <DocSecurity>0</DocSecurity>
  <Lines>293</Lines>
  <Paragraphs>73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2017-05-23T06:52:00Z</cp:lastPrinted>
  <dcterms:created xsi:type="dcterms:W3CDTF">2024-06-24T04:14:00Z</dcterms:created>
  <dcterms:modified xsi:type="dcterms:W3CDTF">2024-06-24T04:14:00Z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2024-05-16T02:36:06Z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12da938f-0e6c-4d9d-ae9f-15c947a7f0c1</vt:lpwstr>
  </property>
  <property fmtid="{D5CDD505-2E9C-101B-9397-08002B2CF9AE}" pid="9" name="MSIP_Label_69af8531-eb46-4968-8cb3-105d2f5ea87e_ContentBits">
    <vt:lpwstr>0</vt:lpwstr>
  </property>
</Properties>
</file>