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96B2" w14:textId="2A032066" w:rsidR="00C17FAB" w:rsidRPr="00520F36" w:rsidRDefault="000A0CDA" w:rsidP="006F4177">
      <w:pPr>
        <w:spacing w:before="120"/>
        <w:outlineLvl w:val="0"/>
        <w:rPr>
          <w:rFonts w:ascii="Arial" w:hAnsi="Arial" w:cs="Arial"/>
        </w:rPr>
      </w:pPr>
      <w:bookmarkStart w:id="0" w:name="_Toc44738651"/>
      <w:r>
        <w:rPr>
          <w:rFonts w:ascii="Arial" w:hAnsi="Arial" w:cs="Arial"/>
        </w:rPr>
        <w:t>A</w:t>
      </w:r>
      <w:r w:rsidR="00C17FAB" w:rsidRPr="00520F36">
        <w:rPr>
          <w:rFonts w:ascii="Arial" w:hAnsi="Arial" w:cs="Arial"/>
        </w:rPr>
        <w:t>ustralian Capital Territory</w:t>
      </w:r>
    </w:p>
    <w:p w14:paraId="68B7223F" w14:textId="62BEF201" w:rsidR="00C17FAB" w:rsidRPr="00520F36" w:rsidRDefault="00867840">
      <w:pPr>
        <w:pStyle w:val="Billname"/>
        <w:spacing w:before="700"/>
      </w:pPr>
      <w:r>
        <w:t>Duties</w:t>
      </w:r>
      <w:r w:rsidR="00FD75CE" w:rsidRPr="00520F36">
        <w:t xml:space="preserve"> (</w:t>
      </w:r>
      <w:r w:rsidR="00BD2818">
        <w:t xml:space="preserve">Pensioner </w:t>
      </w:r>
      <w:r w:rsidR="003B128C">
        <w:t xml:space="preserve">Duty Deferral </w:t>
      </w:r>
      <w:r w:rsidR="00BD2818">
        <w:t>Scheme</w:t>
      </w:r>
      <w:r w:rsidR="00BD2818" w:rsidRPr="001554AB">
        <w:t xml:space="preserve">) </w:t>
      </w:r>
      <w:r>
        <w:t>Determination</w:t>
      </w:r>
      <w:r w:rsidRPr="001554AB">
        <w:t xml:space="preserve"> </w:t>
      </w:r>
      <w:r w:rsidR="004F28EB" w:rsidRPr="001554AB">
        <w:t>20</w:t>
      </w:r>
      <w:r w:rsidR="004F28EB">
        <w:t>2</w:t>
      </w:r>
      <w:r w:rsidR="00051BBC">
        <w:t>4</w:t>
      </w:r>
    </w:p>
    <w:p w14:paraId="54A9C731" w14:textId="769FCB5F" w:rsidR="00C17FAB" w:rsidRPr="00520F36" w:rsidRDefault="00D36662" w:rsidP="006F4177">
      <w:pPr>
        <w:spacing w:before="340"/>
        <w:outlineLvl w:val="0"/>
        <w:rPr>
          <w:rFonts w:ascii="Arial" w:hAnsi="Arial" w:cs="Arial"/>
          <w:b/>
          <w:bCs/>
        </w:rPr>
      </w:pPr>
      <w:r w:rsidRPr="00520F36">
        <w:rPr>
          <w:rFonts w:ascii="Arial" w:hAnsi="Arial" w:cs="Arial"/>
          <w:b/>
          <w:bCs/>
        </w:rPr>
        <w:t>Disallowable</w:t>
      </w:r>
      <w:r w:rsidR="002D7C60" w:rsidRPr="00520F36">
        <w:rPr>
          <w:rFonts w:ascii="Arial" w:hAnsi="Arial" w:cs="Arial"/>
          <w:b/>
          <w:bCs/>
        </w:rPr>
        <w:t xml:space="preserve"> instrument </w:t>
      </w:r>
      <w:r w:rsidR="004F28EB" w:rsidRPr="00520F36">
        <w:rPr>
          <w:rFonts w:ascii="Arial" w:hAnsi="Arial" w:cs="Arial"/>
          <w:b/>
          <w:bCs/>
        </w:rPr>
        <w:t>DI20</w:t>
      </w:r>
      <w:r w:rsidR="004F28EB">
        <w:rPr>
          <w:rFonts w:ascii="Arial" w:hAnsi="Arial" w:cs="Arial"/>
          <w:b/>
          <w:bCs/>
        </w:rPr>
        <w:t>2</w:t>
      </w:r>
      <w:r w:rsidR="00051BBC">
        <w:rPr>
          <w:rFonts w:ascii="Arial" w:hAnsi="Arial" w:cs="Arial"/>
          <w:b/>
          <w:bCs/>
        </w:rPr>
        <w:t>4</w:t>
      </w:r>
      <w:r w:rsidR="00C17FAB" w:rsidRPr="00520F36">
        <w:rPr>
          <w:rFonts w:ascii="Arial" w:hAnsi="Arial" w:cs="Arial"/>
          <w:b/>
          <w:bCs/>
        </w:rPr>
        <w:t>–</w:t>
      </w:r>
      <w:r w:rsidR="00AF2831">
        <w:rPr>
          <w:rFonts w:ascii="Arial" w:hAnsi="Arial" w:cs="Arial"/>
          <w:b/>
          <w:bCs/>
        </w:rPr>
        <w:t>180</w:t>
      </w:r>
    </w:p>
    <w:p w14:paraId="104B89C1" w14:textId="77777777" w:rsidR="00C17FAB" w:rsidRPr="00520F36" w:rsidRDefault="00C17FAB" w:rsidP="00DA3B00">
      <w:pPr>
        <w:pStyle w:val="madeunder"/>
        <w:spacing w:before="300" w:after="0"/>
      </w:pPr>
      <w:r w:rsidRPr="00520F36">
        <w:t xml:space="preserve">made under the  </w:t>
      </w:r>
    </w:p>
    <w:p w14:paraId="105E2A94" w14:textId="77777777" w:rsidR="00867840" w:rsidRPr="001554AB" w:rsidRDefault="00867840" w:rsidP="00867840">
      <w:pPr>
        <w:pStyle w:val="CoverActName"/>
        <w:spacing w:before="320" w:after="0"/>
        <w:outlineLvl w:val="0"/>
        <w:rPr>
          <w:rFonts w:cs="Arial"/>
          <w:sz w:val="20"/>
        </w:rPr>
      </w:pPr>
      <w:r>
        <w:rPr>
          <w:rFonts w:cs="Arial"/>
          <w:i/>
          <w:sz w:val="20"/>
        </w:rPr>
        <w:t>Duties</w:t>
      </w:r>
      <w:r w:rsidRPr="001554AB">
        <w:rPr>
          <w:rFonts w:cs="Arial"/>
          <w:i/>
          <w:sz w:val="20"/>
        </w:rPr>
        <w:t xml:space="preserve"> Act 1999</w:t>
      </w:r>
      <w:r w:rsidRPr="001554AB">
        <w:rPr>
          <w:rFonts w:cs="Arial"/>
          <w:sz w:val="20"/>
        </w:rPr>
        <w:t xml:space="preserve">, s </w:t>
      </w:r>
      <w:r>
        <w:rPr>
          <w:rFonts w:cs="Arial"/>
          <w:sz w:val="20"/>
        </w:rPr>
        <w:t>75AG</w:t>
      </w:r>
      <w:r w:rsidRPr="001554AB">
        <w:rPr>
          <w:rFonts w:cs="Arial"/>
          <w:sz w:val="20"/>
        </w:rPr>
        <w:t xml:space="preserve"> (</w:t>
      </w:r>
      <w:r>
        <w:rPr>
          <w:rFonts w:cs="Arial"/>
          <w:sz w:val="20"/>
        </w:rPr>
        <w:t>Duty deferral schemes</w:t>
      </w:r>
      <w:r w:rsidRPr="00115492">
        <w:rPr>
          <w:rFonts w:cs="Arial"/>
          <w:sz w:val="20"/>
        </w:rPr>
        <w:t>—determination</w:t>
      </w:r>
      <w:r w:rsidRPr="001554AB">
        <w:rPr>
          <w:rFonts w:cs="Arial"/>
          <w:sz w:val="20"/>
        </w:rPr>
        <w:t>)</w:t>
      </w:r>
    </w:p>
    <w:p w14:paraId="709CE081" w14:textId="77777777" w:rsidR="00C17FAB" w:rsidRPr="00520F36" w:rsidRDefault="00C17FAB" w:rsidP="005F4557">
      <w:pPr>
        <w:pStyle w:val="CoverActName"/>
        <w:spacing w:before="320" w:after="0"/>
        <w:outlineLvl w:val="0"/>
        <w:rPr>
          <w:rFonts w:cs="Arial"/>
          <w:bCs/>
          <w:sz w:val="28"/>
          <w:szCs w:val="28"/>
        </w:rPr>
      </w:pPr>
      <w:r w:rsidRPr="00520F36">
        <w:rPr>
          <w:rFonts w:cs="Arial"/>
          <w:bCs/>
          <w:sz w:val="28"/>
          <w:szCs w:val="28"/>
        </w:rPr>
        <w:t>EXPLANATORY STATEMENT</w:t>
      </w:r>
    </w:p>
    <w:p w14:paraId="4D5D9E49" w14:textId="77777777" w:rsidR="00C17FAB" w:rsidRPr="00520F36" w:rsidRDefault="00C17FAB">
      <w:pPr>
        <w:pStyle w:val="N-line3"/>
        <w:pBdr>
          <w:bottom w:val="none" w:sz="0" w:space="0" w:color="auto"/>
        </w:pBdr>
      </w:pPr>
    </w:p>
    <w:p w14:paraId="1B8E463D" w14:textId="77777777" w:rsidR="00C17FAB" w:rsidRPr="00520F36" w:rsidRDefault="00C17FAB">
      <w:pPr>
        <w:pStyle w:val="N-line3"/>
        <w:pBdr>
          <w:top w:val="single" w:sz="12" w:space="1" w:color="auto"/>
          <w:bottom w:val="none" w:sz="0" w:space="0" w:color="auto"/>
        </w:pBdr>
      </w:pPr>
    </w:p>
    <w:bookmarkEnd w:id="0"/>
    <w:p w14:paraId="3C296555" w14:textId="77777777" w:rsidR="00C07E4C" w:rsidRPr="00695278" w:rsidRDefault="00C07E4C" w:rsidP="00695278">
      <w:pPr>
        <w:keepNext/>
        <w:rPr>
          <w:rFonts w:ascii="Arial" w:hAnsi="Arial" w:cs="Arial"/>
          <w:b/>
          <w:sz w:val="26"/>
          <w:szCs w:val="26"/>
        </w:rPr>
      </w:pPr>
      <w:r w:rsidRPr="00695278">
        <w:rPr>
          <w:rFonts w:ascii="Arial" w:hAnsi="Arial" w:cs="Arial"/>
          <w:b/>
          <w:sz w:val="26"/>
          <w:szCs w:val="26"/>
        </w:rPr>
        <w:t>Background</w:t>
      </w:r>
    </w:p>
    <w:p w14:paraId="1B21392F" w14:textId="77777777" w:rsidR="00C07E4C" w:rsidRPr="00695278" w:rsidRDefault="00C07E4C" w:rsidP="00C07E4C">
      <w:pPr>
        <w:rPr>
          <w:szCs w:val="24"/>
        </w:rPr>
      </w:pPr>
    </w:p>
    <w:p w14:paraId="4AEBCC6B" w14:textId="225E99A6" w:rsidR="006F11E7" w:rsidRDefault="00B31B03" w:rsidP="00C77D03">
      <w:r>
        <w:t>D</w:t>
      </w:r>
      <w:r w:rsidR="006F11E7">
        <w:t xml:space="preserve">uty is </w:t>
      </w:r>
      <w:r>
        <w:t xml:space="preserve">ordinarily </w:t>
      </w:r>
      <w:r w:rsidR="006F11E7">
        <w:t xml:space="preserve">payable </w:t>
      </w:r>
      <w:r w:rsidR="008275AD">
        <w:t>at</w:t>
      </w:r>
      <w:r w:rsidR="007659B0">
        <w:t xml:space="preserve"> the times tabled in section 16 of the </w:t>
      </w:r>
      <w:r w:rsidR="007659B0" w:rsidRPr="007659B0">
        <w:rPr>
          <w:i/>
        </w:rPr>
        <w:t>Duties Act 1999</w:t>
      </w:r>
      <w:r w:rsidR="007659B0">
        <w:t xml:space="preserve"> (</w:t>
      </w:r>
      <w:r w:rsidR="007659B0" w:rsidRPr="002C2001">
        <w:t>the Duties Act</w:t>
      </w:r>
      <w:r w:rsidR="007659B0">
        <w:t xml:space="preserve">). </w:t>
      </w:r>
      <w:r w:rsidR="007659B0" w:rsidRPr="00E215B9">
        <w:t xml:space="preserve">For example, duty becomes payable on a transfer of dutiable property when the transfer is registered with the Registrar-General under the </w:t>
      </w:r>
      <w:r w:rsidR="007659B0" w:rsidRPr="00E215B9">
        <w:rPr>
          <w:i/>
        </w:rPr>
        <w:t>Land Titles Act 1925</w:t>
      </w:r>
      <w:r w:rsidR="007659B0" w:rsidRPr="00E215B9">
        <w:t>.</w:t>
      </w:r>
      <w:r w:rsidR="007659B0">
        <w:t xml:space="preserve"> </w:t>
      </w:r>
    </w:p>
    <w:p w14:paraId="530DFA83" w14:textId="77777777" w:rsidR="007659B0" w:rsidRDefault="007659B0" w:rsidP="00C77D03"/>
    <w:p w14:paraId="7078C786" w14:textId="35C27BD7" w:rsidR="00A104AD" w:rsidRDefault="00B31B03" w:rsidP="007659B0">
      <w:r>
        <w:t xml:space="preserve">Under Division 2.6A.2 of the Duties Act, the Minister may determine a scheme for deferring duty. </w:t>
      </w:r>
    </w:p>
    <w:p w14:paraId="4DB16379" w14:textId="77777777" w:rsidR="00A104AD" w:rsidRDefault="00A104AD" w:rsidP="007659B0"/>
    <w:p w14:paraId="65FCF4B9" w14:textId="439C5C92" w:rsidR="00916960" w:rsidRPr="00695278" w:rsidRDefault="00916960" w:rsidP="00695278">
      <w:pPr>
        <w:keepNext/>
        <w:rPr>
          <w:rFonts w:ascii="Arial" w:hAnsi="Arial" w:cs="Arial"/>
          <w:b/>
          <w:sz w:val="26"/>
          <w:szCs w:val="26"/>
        </w:rPr>
      </w:pPr>
      <w:r w:rsidRPr="00695278">
        <w:rPr>
          <w:rFonts w:ascii="Arial" w:hAnsi="Arial" w:cs="Arial"/>
          <w:b/>
          <w:sz w:val="26"/>
          <w:szCs w:val="26"/>
        </w:rPr>
        <w:t>Pensioner Duty Deferral Scheme</w:t>
      </w:r>
    </w:p>
    <w:p w14:paraId="08FE7321" w14:textId="77777777" w:rsidR="00916960" w:rsidRDefault="00916960" w:rsidP="003B128C"/>
    <w:p w14:paraId="6CB70EB0" w14:textId="0B498EB7" w:rsidR="000F77A6" w:rsidRDefault="00E215B9" w:rsidP="003B128C">
      <w:r>
        <w:t>T</w:t>
      </w:r>
      <w:r w:rsidR="00B31B03">
        <w:t xml:space="preserve">he </w:t>
      </w:r>
      <w:r w:rsidR="00B31B03" w:rsidRPr="004F4D09">
        <w:rPr>
          <w:i/>
          <w:iCs/>
        </w:rPr>
        <w:t>Duties (Pensioner Duty Deferral Scheme) Determination 202</w:t>
      </w:r>
      <w:r w:rsidR="00051BBC">
        <w:rPr>
          <w:i/>
          <w:iCs/>
        </w:rPr>
        <w:t>4</w:t>
      </w:r>
      <w:r w:rsidR="00B31B03">
        <w:t xml:space="preserve"> (</w:t>
      </w:r>
      <w:r w:rsidR="00B31B03" w:rsidRPr="002C2001">
        <w:t>the Determination</w:t>
      </w:r>
      <w:r w:rsidR="00B31B03" w:rsidRPr="00E215B9">
        <w:t xml:space="preserve">) </w:t>
      </w:r>
      <w:r>
        <w:t>continues</w:t>
      </w:r>
      <w:r w:rsidR="00D66061" w:rsidRPr="00E215B9">
        <w:t xml:space="preserve"> </w:t>
      </w:r>
      <w:r w:rsidR="00703FF6" w:rsidRPr="00E215B9">
        <w:t>the Pensioner Duty Deferral Scheme</w:t>
      </w:r>
      <w:r w:rsidR="00600AC7" w:rsidRPr="00E215B9">
        <w:t xml:space="preserve"> </w:t>
      </w:r>
      <w:r>
        <w:t>which provides the</w:t>
      </w:r>
      <w:r w:rsidR="004F4D09" w:rsidRPr="00E215B9">
        <w:t xml:space="preserve"> opportunity to defer the payment of duty to all pensioners acquiring a property as a principal place of residence.</w:t>
      </w:r>
    </w:p>
    <w:p w14:paraId="42A6262A" w14:textId="41E93864" w:rsidR="00E215B9" w:rsidRDefault="00E215B9" w:rsidP="003B128C"/>
    <w:p w14:paraId="74B76800" w14:textId="77777777" w:rsidR="00A007DF" w:rsidRPr="00BF77B3" w:rsidRDefault="00A007DF" w:rsidP="00A007DF">
      <w:pPr>
        <w:rPr>
          <w:rFonts w:ascii="Arial" w:hAnsi="Arial" w:cs="Arial"/>
          <w:b/>
          <w:sz w:val="26"/>
          <w:szCs w:val="26"/>
        </w:rPr>
      </w:pPr>
      <w:r w:rsidRPr="00BF77B3">
        <w:rPr>
          <w:rFonts w:ascii="Arial" w:hAnsi="Arial" w:cs="Arial"/>
          <w:b/>
          <w:sz w:val="26"/>
          <w:szCs w:val="26"/>
        </w:rPr>
        <w:t>Updates</w:t>
      </w:r>
    </w:p>
    <w:p w14:paraId="3B1DCE7F" w14:textId="77777777" w:rsidR="00A007DF" w:rsidRPr="00BF77B3" w:rsidRDefault="00A007DF" w:rsidP="00A007DF"/>
    <w:p w14:paraId="0187B9C7" w14:textId="507B1A24" w:rsidR="00A007DF" w:rsidRDefault="00A007DF" w:rsidP="00A007DF">
      <w:r>
        <w:t>Th</w:t>
      </w:r>
      <w:r w:rsidR="000B33F9">
        <w:t>e</w:t>
      </w:r>
      <w:r>
        <w:t xml:space="preserve"> Determination </w:t>
      </w:r>
      <w:r w:rsidR="000B16EF">
        <w:t xml:space="preserve">commences on </w:t>
      </w:r>
      <w:r w:rsidR="00051BBC">
        <w:t>1 July 2024</w:t>
      </w:r>
      <w:r w:rsidR="000B16EF">
        <w:t xml:space="preserve"> and </w:t>
      </w:r>
      <w:r>
        <w:t xml:space="preserve">replaces the </w:t>
      </w:r>
      <w:r w:rsidRPr="00D10244">
        <w:rPr>
          <w:i/>
        </w:rPr>
        <w:t>Duties (Pensioner Duty Deferral Scheme) Determination 202</w:t>
      </w:r>
      <w:r w:rsidR="004925A5">
        <w:rPr>
          <w:i/>
        </w:rPr>
        <w:t>3</w:t>
      </w:r>
      <w:r w:rsidR="00051BBC">
        <w:rPr>
          <w:i/>
        </w:rPr>
        <w:t xml:space="preserve"> (No 2)</w:t>
      </w:r>
      <w:r>
        <w:t>, DI202</w:t>
      </w:r>
      <w:r w:rsidR="004925A5">
        <w:t>3</w:t>
      </w:r>
      <w:r>
        <w:t>-</w:t>
      </w:r>
      <w:r w:rsidR="00051BBC">
        <w:t>281</w:t>
      </w:r>
      <w:r>
        <w:t xml:space="preserve">. </w:t>
      </w:r>
      <w:bookmarkStart w:id="1" w:name="_Hlk148506649"/>
      <w:r w:rsidR="004925A5">
        <w:t xml:space="preserve">The instrument </w:t>
      </w:r>
      <w:r w:rsidR="00051BBC">
        <w:t>undertakes</w:t>
      </w:r>
      <w:r w:rsidR="004925A5">
        <w:t xml:space="preserve"> minor amendment</w:t>
      </w:r>
      <w:r w:rsidR="009A7F4C">
        <w:t>s</w:t>
      </w:r>
      <w:r w:rsidR="004925A5">
        <w:t xml:space="preserve"> </w:t>
      </w:r>
      <w:r w:rsidR="00051BBC" w:rsidRPr="000B33F9">
        <w:t>to</w:t>
      </w:r>
      <w:r w:rsidR="009E0024" w:rsidRPr="000B33F9">
        <w:t xml:space="preserve"> update references to</w:t>
      </w:r>
      <w:r w:rsidR="00051BBC" w:rsidRPr="000B33F9">
        <w:t xml:space="preserve"> Services Australia</w:t>
      </w:r>
      <w:r w:rsidR="003B59A2" w:rsidRPr="000B33F9">
        <w:t>.</w:t>
      </w:r>
    </w:p>
    <w:bookmarkEnd w:id="1"/>
    <w:p w14:paraId="2B253849" w14:textId="77777777" w:rsidR="00A007DF" w:rsidRDefault="00A007DF" w:rsidP="003B128C"/>
    <w:p w14:paraId="5D2A471A" w14:textId="77777777" w:rsidR="00695278" w:rsidRPr="00D96ECB" w:rsidRDefault="00695278" w:rsidP="00695278">
      <w:pPr>
        <w:keepNext/>
        <w:rPr>
          <w:rFonts w:ascii="Arial" w:hAnsi="Arial" w:cs="Arial"/>
          <w:b/>
          <w:sz w:val="26"/>
          <w:szCs w:val="26"/>
        </w:rPr>
      </w:pPr>
      <w:r w:rsidRPr="00D96ECB">
        <w:rPr>
          <w:rFonts w:ascii="Arial" w:hAnsi="Arial" w:cs="Arial"/>
          <w:b/>
          <w:sz w:val="26"/>
          <w:szCs w:val="26"/>
        </w:rPr>
        <w:t>Eligible properties</w:t>
      </w:r>
    </w:p>
    <w:p w14:paraId="38F7E053" w14:textId="77777777" w:rsidR="00695278" w:rsidRDefault="00695278" w:rsidP="00695278">
      <w:pPr>
        <w:keepNext/>
      </w:pPr>
    </w:p>
    <w:p w14:paraId="39F686D7" w14:textId="70DF74CA" w:rsidR="00695278" w:rsidRPr="00D96ECB" w:rsidRDefault="00695278" w:rsidP="00695278">
      <w:pPr>
        <w:keepNext/>
      </w:pPr>
      <w:r w:rsidRPr="00D96ECB">
        <w:t>The</w:t>
      </w:r>
      <w:r>
        <w:t xml:space="preserve">re are two types of eligible property for the </w:t>
      </w:r>
      <w:r w:rsidR="004D3328">
        <w:t>Pensioner Duty Deferral Scheme</w:t>
      </w:r>
      <w:r>
        <w:t>:</w:t>
      </w:r>
      <w:r w:rsidRPr="00D96ECB">
        <w:t xml:space="preserve"> </w:t>
      </w:r>
      <w:r w:rsidRPr="00695278">
        <w:t>homes, and vacant land. Homes</w:t>
      </w:r>
      <w:r>
        <w:t xml:space="preserve"> may be new (including off the plan residential units) or established.</w:t>
      </w:r>
    </w:p>
    <w:p w14:paraId="15B1B2EF" w14:textId="54FF7473" w:rsidR="00695278" w:rsidRDefault="00695278" w:rsidP="003B128C"/>
    <w:p w14:paraId="499059B0" w14:textId="77777777" w:rsidR="004925A5" w:rsidRDefault="004925A5">
      <w:pPr>
        <w:rPr>
          <w:rFonts w:ascii="Arial" w:hAnsi="Arial" w:cs="Arial"/>
          <w:b/>
          <w:sz w:val="26"/>
          <w:szCs w:val="26"/>
        </w:rPr>
      </w:pPr>
      <w:r>
        <w:rPr>
          <w:rFonts w:ascii="Arial" w:hAnsi="Arial" w:cs="Arial"/>
          <w:b/>
          <w:sz w:val="26"/>
          <w:szCs w:val="26"/>
        </w:rPr>
        <w:br w:type="page"/>
      </w:r>
    </w:p>
    <w:p w14:paraId="398681A5" w14:textId="1C10BF87" w:rsidR="00847074" w:rsidRPr="004939FA" w:rsidRDefault="00847074" w:rsidP="00847074">
      <w:pPr>
        <w:keepNext/>
        <w:rPr>
          <w:rFonts w:ascii="Arial" w:hAnsi="Arial" w:cs="Arial"/>
          <w:b/>
          <w:sz w:val="26"/>
          <w:szCs w:val="26"/>
        </w:rPr>
      </w:pPr>
      <w:r w:rsidRPr="004939FA">
        <w:rPr>
          <w:rFonts w:ascii="Arial" w:hAnsi="Arial" w:cs="Arial"/>
          <w:b/>
          <w:sz w:val="26"/>
          <w:szCs w:val="26"/>
        </w:rPr>
        <w:lastRenderedPageBreak/>
        <w:t>Eligible transactions</w:t>
      </w:r>
    </w:p>
    <w:p w14:paraId="67234F7E" w14:textId="77777777" w:rsidR="00847074" w:rsidRDefault="00847074" w:rsidP="003B128C"/>
    <w:p w14:paraId="1089B543" w14:textId="6544655E" w:rsidR="00847074" w:rsidRDefault="00847074" w:rsidP="00847074">
      <w:r w:rsidRPr="00A61F7C">
        <w:t xml:space="preserve">A transaction is deemed </w:t>
      </w:r>
      <w:r>
        <w:t xml:space="preserve">an </w:t>
      </w:r>
      <w:r w:rsidRPr="00A61F7C">
        <w:t xml:space="preserve">eligible </w:t>
      </w:r>
      <w:r>
        <w:t xml:space="preserve">transaction </w:t>
      </w:r>
      <w:r w:rsidRPr="00A61F7C">
        <w:t xml:space="preserve">if the eligibility requirements specified in the </w:t>
      </w:r>
      <w:r>
        <w:t xml:space="preserve">Determination </w:t>
      </w:r>
      <w:r w:rsidRPr="00A61F7C">
        <w:t>are met</w:t>
      </w:r>
      <w:r w:rsidR="00541BF0">
        <w:t>, including that the transaction date is on or after 1 July 2024</w:t>
      </w:r>
      <w:r w:rsidRPr="00A61F7C">
        <w:t>.</w:t>
      </w:r>
      <w:r>
        <w:t xml:space="preserve"> These eligibility requirements are:</w:t>
      </w:r>
    </w:p>
    <w:p w14:paraId="3F6C0E98" w14:textId="77777777" w:rsidR="00847074" w:rsidRDefault="00847074" w:rsidP="00847074"/>
    <w:p w14:paraId="197A083F" w14:textId="77777777" w:rsidR="00847074" w:rsidRPr="0046556A" w:rsidRDefault="00847074" w:rsidP="00847074">
      <w:pPr>
        <w:pStyle w:val="ListParagraph"/>
        <w:numPr>
          <w:ilvl w:val="0"/>
          <w:numId w:val="13"/>
        </w:numPr>
        <w:rPr>
          <w:bCs/>
          <w:szCs w:val="24"/>
        </w:rPr>
      </w:pPr>
      <w:r w:rsidRPr="0046556A">
        <w:rPr>
          <w:bCs/>
          <w:szCs w:val="24"/>
        </w:rPr>
        <w:t xml:space="preserve">Pensioner requirement </w:t>
      </w:r>
    </w:p>
    <w:p w14:paraId="7C6234E3" w14:textId="77777777" w:rsidR="000B16EF" w:rsidRDefault="000B16EF" w:rsidP="00847074">
      <w:pPr>
        <w:ind w:left="720"/>
      </w:pPr>
    </w:p>
    <w:p w14:paraId="330583C7" w14:textId="6558026E" w:rsidR="004D64DC" w:rsidRPr="0066291F" w:rsidRDefault="004F477B" w:rsidP="00847074">
      <w:pPr>
        <w:ind w:left="720"/>
      </w:pPr>
      <w:r>
        <w:t xml:space="preserve">To be eligible for a duty deferral under </w:t>
      </w:r>
      <w:r w:rsidR="00D66061">
        <w:t>the Determination</w:t>
      </w:r>
      <w:r>
        <w:t xml:space="preserve">, a </w:t>
      </w:r>
      <w:r w:rsidR="000D7BC5">
        <w:t xml:space="preserve">transferee </w:t>
      </w:r>
      <w:r>
        <w:t>must</w:t>
      </w:r>
      <w:r w:rsidR="004B0456">
        <w:t xml:space="preserve"> </w:t>
      </w:r>
      <w:r>
        <w:t xml:space="preserve">be </w:t>
      </w:r>
      <w:r w:rsidR="004D64DC">
        <w:t xml:space="preserve">a </w:t>
      </w:r>
      <w:r w:rsidR="00D66061">
        <w:t xml:space="preserve">prescribed </w:t>
      </w:r>
      <w:r w:rsidR="004D64DC">
        <w:t>pensioner</w:t>
      </w:r>
      <w:r w:rsidR="00D66061">
        <w:t xml:space="preserve"> which, for the purposes of the Determination, means </w:t>
      </w:r>
      <w:r w:rsidR="004D64DC" w:rsidRPr="0066291F">
        <w:t>a person who</w:t>
      </w:r>
      <w:r w:rsidR="00D66061">
        <w:t>,</w:t>
      </w:r>
      <w:r w:rsidR="004D64DC" w:rsidRPr="0066291F">
        <w:t xml:space="preserve"> on the transaction date:</w:t>
      </w:r>
    </w:p>
    <w:p w14:paraId="759D4620" w14:textId="4D201CF7" w:rsidR="004D64DC" w:rsidRDefault="00703FF6" w:rsidP="00847074">
      <w:pPr>
        <w:pStyle w:val="ListParagraph"/>
        <w:numPr>
          <w:ilvl w:val="0"/>
          <w:numId w:val="18"/>
        </w:numPr>
        <w:spacing w:before="140"/>
        <w:ind w:left="1145" w:hanging="425"/>
      </w:pPr>
      <w:r>
        <w:t>wa</w:t>
      </w:r>
      <w:r w:rsidR="00D66061">
        <w:t xml:space="preserve">s in receipt of </w:t>
      </w:r>
      <w:r w:rsidR="004D64DC" w:rsidRPr="008071CE">
        <w:t>a</w:t>
      </w:r>
      <w:r w:rsidR="003B59A2">
        <w:t xml:space="preserve"> Services Australia </w:t>
      </w:r>
      <w:r w:rsidR="004D64DC" w:rsidRPr="008071CE">
        <w:t>age pension or Department</w:t>
      </w:r>
      <w:r w:rsidR="00D66061">
        <w:t xml:space="preserve"> </w:t>
      </w:r>
      <w:r w:rsidR="004D64DC" w:rsidRPr="008071CE">
        <w:t>of</w:t>
      </w:r>
      <w:r w:rsidR="00D66061">
        <w:t xml:space="preserve"> </w:t>
      </w:r>
      <w:r w:rsidR="004D64DC" w:rsidRPr="008071CE">
        <w:t>Veterans’</w:t>
      </w:r>
      <w:r w:rsidR="00D66061">
        <w:t xml:space="preserve"> </w:t>
      </w:r>
      <w:r w:rsidR="004D64DC" w:rsidRPr="008071CE">
        <w:t>Affairs age pension equivalent; or</w:t>
      </w:r>
    </w:p>
    <w:p w14:paraId="2D983BDA" w14:textId="09961B34" w:rsidR="004D64DC" w:rsidRDefault="00703FF6" w:rsidP="00847074">
      <w:pPr>
        <w:pStyle w:val="ListParagraph"/>
        <w:numPr>
          <w:ilvl w:val="0"/>
          <w:numId w:val="18"/>
        </w:numPr>
        <w:spacing w:before="140"/>
        <w:ind w:left="1146" w:hanging="426"/>
      </w:pPr>
      <w:r>
        <w:t>wa</w:t>
      </w:r>
      <w:r w:rsidR="00D66061">
        <w:t xml:space="preserve">s in receipt of </w:t>
      </w:r>
      <w:r w:rsidR="004D64DC" w:rsidRPr="008071CE">
        <w:t>a</w:t>
      </w:r>
      <w:r w:rsidR="003B59A2">
        <w:t xml:space="preserve"> Services Australia</w:t>
      </w:r>
      <w:r w:rsidR="004D64DC" w:rsidRPr="008071CE">
        <w:t xml:space="preserve"> disability support pension and was </w:t>
      </w:r>
      <w:r w:rsidR="004F4D09" w:rsidRPr="008071CE">
        <w:t>50</w:t>
      </w:r>
      <w:r w:rsidR="004F4D09">
        <w:t> </w:t>
      </w:r>
      <w:r w:rsidR="004D64DC" w:rsidRPr="008071CE">
        <w:t>years of age or older; or</w:t>
      </w:r>
    </w:p>
    <w:p w14:paraId="7F3A19A4" w14:textId="5F0AE280" w:rsidR="00935B2E" w:rsidRDefault="00600AC7" w:rsidP="00847074">
      <w:pPr>
        <w:ind w:left="1146" w:hanging="426"/>
      </w:pPr>
      <w:r w:rsidRPr="009A6826">
        <w:t xml:space="preserve">(c)  </w:t>
      </w:r>
      <w:r w:rsidR="004D64DC" w:rsidRPr="009A6826">
        <w:t>ha</w:t>
      </w:r>
      <w:r w:rsidR="00D66061" w:rsidRPr="009A6826">
        <w:t>s</w:t>
      </w:r>
      <w:r w:rsidR="004D64DC" w:rsidRPr="009A6826">
        <w:t xml:space="preserve"> held a Department of Veterans’ Affairs Gold Card for a period of at least</w:t>
      </w:r>
      <w:r w:rsidRPr="009A6826">
        <w:t xml:space="preserve"> </w:t>
      </w:r>
      <w:r w:rsidR="00583D94">
        <w:t>one</w:t>
      </w:r>
      <w:r w:rsidR="00583D94" w:rsidRPr="009A6826">
        <w:t> </w:t>
      </w:r>
      <w:r w:rsidR="004D64DC" w:rsidRPr="009A6826">
        <w:t>year</w:t>
      </w:r>
      <w:r w:rsidR="00F64549" w:rsidRPr="009A6826">
        <w:t xml:space="preserve"> immediately prior to the transaction</w:t>
      </w:r>
      <w:r w:rsidR="000115B2" w:rsidRPr="009A6826">
        <w:t>.</w:t>
      </w:r>
    </w:p>
    <w:p w14:paraId="7D849D81" w14:textId="77777777" w:rsidR="00935B2E" w:rsidRDefault="00935B2E" w:rsidP="00935B2E"/>
    <w:p w14:paraId="2375CEF9" w14:textId="1F768BAF" w:rsidR="00847074" w:rsidRDefault="00847074" w:rsidP="00847074">
      <w:pPr>
        <w:pStyle w:val="ListParagraph"/>
        <w:keepNext/>
        <w:numPr>
          <w:ilvl w:val="0"/>
          <w:numId w:val="13"/>
        </w:numPr>
        <w:rPr>
          <w:bCs/>
          <w:szCs w:val="24"/>
        </w:rPr>
      </w:pPr>
      <w:r w:rsidRPr="00F737FF">
        <w:rPr>
          <w:bCs/>
          <w:szCs w:val="24"/>
        </w:rPr>
        <w:t>Residence requirements</w:t>
      </w:r>
    </w:p>
    <w:p w14:paraId="21D97232" w14:textId="77777777" w:rsidR="00847074" w:rsidRPr="00F737FF" w:rsidRDefault="00847074" w:rsidP="00847074">
      <w:pPr>
        <w:pStyle w:val="ListParagraph"/>
        <w:keepNext/>
        <w:rPr>
          <w:bCs/>
          <w:szCs w:val="24"/>
        </w:rPr>
      </w:pPr>
    </w:p>
    <w:p w14:paraId="01213207" w14:textId="36E7AE9C" w:rsidR="00935B2E" w:rsidRPr="00935B2E" w:rsidRDefault="00935B2E" w:rsidP="00847074">
      <w:pPr>
        <w:ind w:left="720"/>
        <w:rPr>
          <w:bCs/>
        </w:rPr>
      </w:pPr>
      <w:r w:rsidRPr="00935B2E">
        <w:rPr>
          <w:bCs/>
        </w:rPr>
        <w:t xml:space="preserve">At least one of the transferees of the eligible property </w:t>
      </w:r>
      <w:r>
        <w:rPr>
          <w:bCs/>
        </w:rPr>
        <w:t xml:space="preserve">(being a pensioner or their domestic partner) </w:t>
      </w:r>
      <w:r w:rsidRPr="00935B2E">
        <w:rPr>
          <w:bCs/>
        </w:rPr>
        <w:t>must occupy the property as their principal place of residence continuously for a period of at least one year. That period must commence within one year of completion of the transfer for an eligible home, or the date that the certificate of occupancy that is issued following completion of construction of a home for vacant land. Some exemptions apply to the residence requirement</w:t>
      </w:r>
      <w:r w:rsidR="009205A2">
        <w:rPr>
          <w:bCs/>
        </w:rPr>
        <w:t>s</w:t>
      </w:r>
      <w:r w:rsidRPr="00935B2E">
        <w:rPr>
          <w:bCs/>
        </w:rPr>
        <w:t>.</w:t>
      </w:r>
    </w:p>
    <w:p w14:paraId="7188E046" w14:textId="77777777" w:rsidR="00935B2E" w:rsidRPr="00935B2E" w:rsidRDefault="00935B2E" w:rsidP="00935B2E">
      <w:pPr>
        <w:rPr>
          <w:bCs/>
        </w:rPr>
      </w:pPr>
    </w:p>
    <w:p w14:paraId="2B10E44E" w14:textId="77777777" w:rsidR="00935B2E" w:rsidRPr="00935B2E" w:rsidRDefault="00935B2E" w:rsidP="00847074">
      <w:pPr>
        <w:ind w:left="720"/>
        <w:rPr>
          <w:bCs/>
        </w:rPr>
      </w:pPr>
      <w:r w:rsidRPr="00935B2E">
        <w:rPr>
          <w:bCs/>
        </w:rPr>
        <w:t>The domestic partner of a transferee can only fulfil the residence requirements if they are a transferee themselves; that is, they are named in the grant, transfer or agreement and they hold a relevant interest in the property.</w:t>
      </w:r>
    </w:p>
    <w:p w14:paraId="4213418D" w14:textId="77777777" w:rsidR="00935B2E" w:rsidRPr="00935B2E" w:rsidRDefault="00935B2E" w:rsidP="00847074">
      <w:pPr>
        <w:ind w:left="720"/>
        <w:rPr>
          <w:bCs/>
        </w:rPr>
      </w:pPr>
    </w:p>
    <w:p w14:paraId="5BCD9F40" w14:textId="4C7290A6" w:rsidR="001D2D85" w:rsidRDefault="00935B2E" w:rsidP="00847074">
      <w:pPr>
        <w:ind w:left="720"/>
      </w:pPr>
      <w:r w:rsidRPr="00935B2E">
        <w:rPr>
          <w:bCs/>
        </w:rPr>
        <w:t xml:space="preserve">A principal place of residence is defined as the home a person primarily occupies, on an ongoing and permanent basis, as their settled or usual home. </w:t>
      </w:r>
      <w:r w:rsidR="001D2D85" w:rsidRPr="00390519">
        <w:t xml:space="preserve">However, </w:t>
      </w:r>
      <w:r w:rsidR="001D2D85">
        <w:t xml:space="preserve">an occupation that is </w:t>
      </w:r>
      <w:r w:rsidR="001D2D85" w:rsidRPr="00390519">
        <w:t>transient, temporary or of a passing nature, is not sufficient to establish occupation as a principal place of residence</w:t>
      </w:r>
      <w:r w:rsidR="001D2D85">
        <w:t>.</w:t>
      </w:r>
    </w:p>
    <w:p w14:paraId="622401D3" w14:textId="77777777" w:rsidR="00E215B9" w:rsidRDefault="00E215B9" w:rsidP="00847074">
      <w:pPr>
        <w:ind w:left="720"/>
      </w:pPr>
    </w:p>
    <w:p w14:paraId="7D531864" w14:textId="77777777" w:rsidR="00E215B9" w:rsidRPr="007C2BF5" w:rsidRDefault="00E215B9" w:rsidP="00E215B9">
      <w:pPr>
        <w:ind w:left="720"/>
      </w:pPr>
      <w:r w:rsidRPr="007C2BF5">
        <w:t>Th</w:t>
      </w:r>
      <w:r>
        <w:t xml:space="preserve">e Determination </w:t>
      </w:r>
      <w:r w:rsidRPr="007C2BF5">
        <w:t>gives the Commissioner the discretion to extend the time for a transferee to meet the residence requirement</w:t>
      </w:r>
      <w:r>
        <w:t>s</w:t>
      </w:r>
      <w:r w:rsidRPr="007C2BF5">
        <w:t xml:space="preserve">, to approve a residence period shorter than </w:t>
      </w:r>
      <w:r>
        <w:t>one</w:t>
      </w:r>
      <w:r w:rsidRPr="007C2BF5">
        <w:t xml:space="preserve"> year, or to exempt the transferee from the residence requirements, in the event of unforeseen circumstances (such as health-related issues). </w:t>
      </w:r>
    </w:p>
    <w:p w14:paraId="77DBBA12" w14:textId="77777777" w:rsidR="00E215B9" w:rsidRDefault="00E215B9" w:rsidP="00E215B9">
      <w:pPr>
        <w:ind w:left="720"/>
      </w:pPr>
    </w:p>
    <w:p w14:paraId="5A479E0F" w14:textId="171BF47F" w:rsidR="00E215B9" w:rsidRDefault="00E215B9" w:rsidP="00E215B9">
      <w:pPr>
        <w:ind w:left="720"/>
      </w:pPr>
      <w:r>
        <w:t>The Commissioner can exercise d</w:t>
      </w:r>
      <w:r w:rsidRPr="00565168">
        <w:t>iscretion</w:t>
      </w:r>
      <w:r>
        <w:t xml:space="preserve"> in relation to residence</w:t>
      </w:r>
      <w:r w:rsidRPr="00565168">
        <w:t xml:space="preserve"> </w:t>
      </w:r>
      <w:r>
        <w:t xml:space="preserve">requirements only </w:t>
      </w:r>
      <w:r w:rsidRPr="00565168">
        <w:t xml:space="preserve">where a written request to exercise them is made within 18 months </w:t>
      </w:r>
      <w:r w:rsidRPr="00390519">
        <w:t>of completion of the</w:t>
      </w:r>
      <w:r>
        <w:t xml:space="preserve"> transfer for a home</w:t>
      </w:r>
      <w:r w:rsidRPr="00390519">
        <w:t xml:space="preserve">, or the date </w:t>
      </w:r>
      <w:r>
        <w:t>that</w:t>
      </w:r>
      <w:r w:rsidRPr="00390519">
        <w:t xml:space="preserve"> the certificate of occupancy that is issued following co</w:t>
      </w:r>
      <w:r>
        <w:t>mpletion of construction of a home for vacant land.</w:t>
      </w:r>
    </w:p>
    <w:p w14:paraId="241073D4" w14:textId="77777777" w:rsidR="008B28F2" w:rsidRDefault="008B28F2" w:rsidP="00C07E4C">
      <w:pPr>
        <w:rPr>
          <w:b/>
        </w:rPr>
      </w:pPr>
    </w:p>
    <w:p w14:paraId="01430CEF" w14:textId="77777777" w:rsidR="00F9355E" w:rsidRPr="00F44C41" w:rsidRDefault="00F9355E" w:rsidP="00F9355E">
      <w:pPr>
        <w:keepNext/>
        <w:rPr>
          <w:rFonts w:ascii="Arial" w:hAnsi="Arial" w:cs="Arial"/>
          <w:b/>
          <w:sz w:val="26"/>
          <w:szCs w:val="26"/>
        </w:rPr>
      </w:pPr>
      <w:r w:rsidRPr="00F62620">
        <w:rPr>
          <w:rFonts w:ascii="Arial" w:hAnsi="Arial" w:cs="Arial"/>
          <w:b/>
          <w:sz w:val="26"/>
          <w:szCs w:val="26"/>
        </w:rPr>
        <w:lastRenderedPageBreak/>
        <w:t xml:space="preserve">Failure to comply with </w:t>
      </w:r>
      <w:r w:rsidRPr="00160FF7">
        <w:rPr>
          <w:rFonts w:ascii="Arial" w:hAnsi="Arial" w:cs="Arial"/>
          <w:b/>
          <w:sz w:val="26"/>
          <w:szCs w:val="26"/>
        </w:rPr>
        <w:t>requirements</w:t>
      </w:r>
    </w:p>
    <w:p w14:paraId="0453CACD" w14:textId="77777777" w:rsidR="00F9355E" w:rsidRDefault="00F9355E" w:rsidP="00F9355E">
      <w:pPr>
        <w:keepNext/>
      </w:pPr>
    </w:p>
    <w:p w14:paraId="1D97C0C4" w14:textId="31922B06" w:rsidR="00F9355E" w:rsidRPr="00160FF7" w:rsidRDefault="00F9355E" w:rsidP="00F9355E">
      <w:r>
        <w:t xml:space="preserve">If a transaction ceases to be an eligible transaction—for example, because a person failed </w:t>
      </w:r>
      <w:r w:rsidRPr="00160FF7">
        <w:t xml:space="preserve">to comply with </w:t>
      </w:r>
      <w:r>
        <w:t>an</w:t>
      </w:r>
      <w:r w:rsidRPr="00160FF7">
        <w:t xml:space="preserve"> </w:t>
      </w:r>
      <w:r>
        <w:t>eligibility requirement—the Determination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t>the transferee</w:t>
      </w:r>
      <w:r w:rsidRPr="00160FF7">
        <w:t xml:space="preserve"> first becomes </w:t>
      </w:r>
      <w:r>
        <w:t xml:space="preserve">aware </w:t>
      </w:r>
      <w:r w:rsidRPr="00160FF7">
        <w:t>that the requirement will not be complied with (whichever comes first).</w:t>
      </w:r>
    </w:p>
    <w:p w14:paraId="61CAD735" w14:textId="77777777" w:rsidR="00F9355E" w:rsidRDefault="00F9355E" w:rsidP="00F9355E"/>
    <w:p w14:paraId="3DAEE90E" w14:textId="17B9464B" w:rsidR="00F9355E" w:rsidRDefault="00F9355E" w:rsidP="00F9355E">
      <w:r w:rsidRPr="00160FF7">
        <w:t>If the transaction ceases to be an</w:t>
      </w:r>
      <w:r w:rsidRPr="005F597E">
        <w:t xml:space="preserve"> </w:t>
      </w:r>
      <w:r>
        <w:t>eligible transaction</w:t>
      </w:r>
      <w:r w:rsidRPr="00160FF7">
        <w:t xml:space="preserve">, </w:t>
      </w:r>
      <w:r w:rsidR="00083C38">
        <w:t xml:space="preserve">the </w:t>
      </w:r>
      <w:r>
        <w:t>duty</w:t>
      </w:r>
      <w:r w:rsidR="00083C38">
        <w:t xml:space="preserve"> deferred will become payable</w:t>
      </w:r>
      <w:r>
        <w:t xml:space="preserve">. </w:t>
      </w:r>
    </w:p>
    <w:p w14:paraId="7A2F8351" w14:textId="77777777" w:rsidR="00F9355E" w:rsidRDefault="00F9355E" w:rsidP="00F9355E"/>
    <w:p w14:paraId="73DBF8E3" w14:textId="42808900" w:rsidR="00167566" w:rsidRPr="000B33F9" w:rsidRDefault="00167566" w:rsidP="00167566">
      <w:r w:rsidRPr="000B33F9">
        <w:t xml:space="preserve">As the transferee is liable duty from the transaction date, a liability to pay the duty arises from 14 days after the transfer is registered with the registrar-general under section 16 (1) ‘Table 16 Items 1 and 3’ of the </w:t>
      </w:r>
      <w:r w:rsidRPr="000B33F9">
        <w:rPr>
          <w:i/>
          <w:iCs/>
        </w:rPr>
        <w:t>Duties Act 1999</w:t>
      </w:r>
      <w:r w:rsidRPr="000B33F9">
        <w:t>. A tax default arises if the tax is not paid within 14 days and penalty tax applies under section</w:t>
      </w:r>
      <w:r w:rsidR="000B33F9" w:rsidRPr="000B33F9">
        <w:t>s</w:t>
      </w:r>
      <w:r w:rsidRPr="000B33F9">
        <w:t xml:space="preserve"> 31 (1)</w:t>
      </w:r>
      <w:r w:rsidR="000B33F9" w:rsidRPr="000B33F9">
        <w:t xml:space="preserve">, (2), </w:t>
      </w:r>
      <w:r w:rsidR="00EF5330">
        <w:t>or</w:t>
      </w:r>
      <w:r w:rsidR="000B33F9" w:rsidRPr="000B33F9">
        <w:t xml:space="preserve"> (4)</w:t>
      </w:r>
      <w:r w:rsidRPr="000B33F9">
        <w:t xml:space="preserve"> of the </w:t>
      </w:r>
      <w:r w:rsidRPr="000B33F9">
        <w:rPr>
          <w:i/>
          <w:iCs/>
        </w:rPr>
        <w:t>Taxation Administration Act 1999</w:t>
      </w:r>
      <w:r w:rsidRPr="000B33F9">
        <w:t xml:space="preserve"> (TA Act), unless the Commissioner is satisfied that section 31 (5) applies, such as taking reasonable care to comply with a tax law. Interest also applies to a tax default and is calculated daily under section 25 (1) of the TA Act. Interest therefore is imposed from the 15</w:t>
      </w:r>
      <w:r w:rsidRPr="000B33F9">
        <w:rPr>
          <w:vertAlign w:val="superscript"/>
        </w:rPr>
        <w:t>th</w:t>
      </w:r>
      <w:r w:rsidRPr="000B33F9">
        <w:t xml:space="preserve"> day after the transfer is registered with the registrar-general until the purchaser pays the unpaid tax. This can include penalty tax if a purchaser failed to meet the criteria for an ‘eligible transaction’ under section </w:t>
      </w:r>
      <w:r w:rsidR="00133791">
        <w:t>4</w:t>
      </w:r>
      <w:r w:rsidRPr="000B33F9">
        <w:t xml:space="preserve"> of the Determination and by definition includes the residence period requirements. </w:t>
      </w:r>
    </w:p>
    <w:p w14:paraId="58E80D28" w14:textId="77777777" w:rsidR="00167566" w:rsidRPr="000B33F9" w:rsidRDefault="00167566" w:rsidP="00167566"/>
    <w:p w14:paraId="594D9890" w14:textId="77777777" w:rsidR="00167566" w:rsidRPr="000B33F9" w:rsidRDefault="00167566" w:rsidP="00167566">
      <w:r w:rsidRPr="000B33F9">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10E2AEC5" w14:textId="77777777" w:rsidR="00167566" w:rsidRPr="000B33F9" w:rsidRDefault="00167566" w:rsidP="00167566"/>
    <w:p w14:paraId="635788F7" w14:textId="77777777" w:rsidR="00167566" w:rsidRDefault="00167566" w:rsidP="00167566">
      <w:r w:rsidRPr="000B33F9">
        <w:t>The TA Act also provides a range of offences which may apply, such as for the avoidance of tax and failing to notify the Commissioner.</w:t>
      </w:r>
      <w:r>
        <w:t xml:space="preserve"> </w:t>
      </w:r>
    </w:p>
    <w:p w14:paraId="114268A5" w14:textId="217BCAA6" w:rsidR="005C73CE" w:rsidRDefault="00F9355E" w:rsidP="001D7467">
      <w:pPr>
        <w:keepNext/>
        <w:rPr>
          <w:rFonts w:ascii="Arial" w:hAnsi="Arial" w:cs="Arial"/>
          <w:b/>
          <w:sz w:val="26"/>
          <w:szCs w:val="26"/>
        </w:rPr>
      </w:pPr>
      <w:r>
        <w:br/>
      </w:r>
      <w:r w:rsidR="00A0434D" w:rsidRPr="00695278">
        <w:rPr>
          <w:rFonts w:ascii="Arial" w:hAnsi="Arial" w:cs="Arial"/>
          <w:b/>
          <w:sz w:val="26"/>
          <w:szCs w:val="26"/>
        </w:rPr>
        <w:t xml:space="preserve">Conditions of </w:t>
      </w:r>
      <w:r w:rsidR="00916960" w:rsidRPr="00695278">
        <w:rPr>
          <w:rFonts w:ascii="Arial" w:hAnsi="Arial" w:cs="Arial"/>
          <w:b/>
          <w:sz w:val="26"/>
          <w:szCs w:val="26"/>
        </w:rPr>
        <w:t>Duty Deferral</w:t>
      </w:r>
    </w:p>
    <w:p w14:paraId="3DA3D27B" w14:textId="77777777" w:rsidR="001D7467" w:rsidRPr="00695278" w:rsidRDefault="001D7467" w:rsidP="00695278">
      <w:pPr>
        <w:keepNext/>
        <w:rPr>
          <w:rFonts w:ascii="Arial" w:hAnsi="Arial" w:cs="Arial"/>
          <w:b/>
          <w:sz w:val="26"/>
          <w:szCs w:val="26"/>
        </w:rPr>
      </w:pPr>
    </w:p>
    <w:p w14:paraId="336D08EC" w14:textId="3214D9DF" w:rsidR="0079709A" w:rsidRDefault="004B0456" w:rsidP="00C07E4C">
      <w:r>
        <w:t xml:space="preserve">A duty deferral arrangement </w:t>
      </w:r>
      <w:r w:rsidR="00703FF6">
        <w:t xml:space="preserve">determined </w:t>
      </w:r>
      <w:r>
        <w:t xml:space="preserve">under Division 2.6A.2 </w:t>
      </w:r>
      <w:r w:rsidR="00703FF6">
        <w:t xml:space="preserve">of the Duties Act </w:t>
      </w:r>
      <w:r>
        <w:t>may be subject to conditions</w:t>
      </w:r>
      <w:r w:rsidR="00E215B9">
        <w:t>—</w:t>
      </w:r>
      <w:r>
        <w:t xml:space="preserve">refer </w:t>
      </w:r>
      <w:r w:rsidR="009F7509">
        <w:t xml:space="preserve">to </w:t>
      </w:r>
      <w:r>
        <w:t xml:space="preserve">section 75AG (3) and section </w:t>
      </w:r>
      <w:r w:rsidR="00DF690B">
        <w:t>75AJ of the Duties Act</w:t>
      </w:r>
      <w:r>
        <w:t xml:space="preserve">. </w:t>
      </w:r>
    </w:p>
    <w:p w14:paraId="78FC0D23" w14:textId="77777777" w:rsidR="0079709A" w:rsidRDefault="0079709A" w:rsidP="00C07E4C"/>
    <w:p w14:paraId="7890FBE3" w14:textId="3016696D" w:rsidR="008275AD" w:rsidRPr="00520F36" w:rsidRDefault="00703FF6" w:rsidP="00C07E4C">
      <w:r>
        <w:t>The Determination sets conditions on duty deferrals:</w:t>
      </w:r>
    </w:p>
    <w:p w14:paraId="0D1AA1DA" w14:textId="77777777" w:rsidR="0079709A" w:rsidRDefault="0079709A" w:rsidP="0079709A"/>
    <w:p w14:paraId="04EA4C82" w14:textId="5C919B78" w:rsidR="00935B2E" w:rsidRDefault="00935B2E" w:rsidP="0079709A">
      <w:pPr>
        <w:pStyle w:val="ListParagraph"/>
        <w:numPr>
          <w:ilvl w:val="0"/>
          <w:numId w:val="15"/>
        </w:numPr>
        <w:ind w:left="426" w:hanging="426"/>
      </w:pPr>
      <w:r>
        <w:t>Application</w:t>
      </w:r>
    </w:p>
    <w:p w14:paraId="44068C5C" w14:textId="59063597" w:rsidR="00935B2E" w:rsidRDefault="00935B2E" w:rsidP="00935B2E">
      <w:pPr>
        <w:pStyle w:val="ListParagraph"/>
        <w:ind w:left="426"/>
      </w:pPr>
    </w:p>
    <w:p w14:paraId="5E42CA61" w14:textId="74F96022" w:rsidR="00935B2E" w:rsidRDefault="00935B2E" w:rsidP="00935B2E">
      <w:pPr>
        <w:pStyle w:val="ListParagraph"/>
        <w:ind w:left="426"/>
      </w:pPr>
      <w:r>
        <w:t>An eligible person must apply to the Commissioner for the deferred payment of duty</w:t>
      </w:r>
      <w:r w:rsidR="00051BBC">
        <w:t>—</w:t>
      </w:r>
      <w:r>
        <w:t xml:space="preserve">refer to section 75AH of the Duties Act. The application must be made at the same time the instrument of transfer for the property is lodged with the </w:t>
      </w:r>
      <w:r w:rsidR="00541BF0">
        <w:t>r</w:t>
      </w:r>
      <w:r>
        <w:t>egistrar-</w:t>
      </w:r>
      <w:r w:rsidR="00541BF0">
        <w:t>g</w:t>
      </w:r>
      <w:r>
        <w:t xml:space="preserve">eneral under the </w:t>
      </w:r>
      <w:r w:rsidRPr="003E1FAF">
        <w:rPr>
          <w:i/>
          <w:iCs/>
        </w:rPr>
        <w:t>Land Ti</w:t>
      </w:r>
      <w:r w:rsidR="00086655">
        <w:rPr>
          <w:i/>
          <w:iCs/>
        </w:rPr>
        <w:t>t</w:t>
      </w:r>
      <w:r w:rsidRPr="003E1FAF">
        <w:rPr>
          <w:i/>
          <w:iCs/>
        </w:rPr>
        <w:t>les Act 1925</w:t>
      </w:r>
      <w:r>
        <w:rPr>
          <w:i/>
          <w:iCs/>
        </w:rPr>
        <w:t>.</w:t>
      </w:r>
    </w:p>
    <w:p w14:paraId="0E836834" w14:textId="77777777" w:rsidR="00935B2E" w:rsidRDefault="00935B2E" w:rsidP="00935B2E">
      <w:pPr>
        <w:pStyle w:val="ListParagraph"/>
        <w:ind w:left="426"/>
      </w:pPr>
    </w:p>
    <w:p w14:paraId="1B2DE5DE" w14:textId="77777777" w:rsidR="009102FF" w:rsidRDefault="009102FF">
      <w:r>
        <w:br w:type="page"/>
      </w:r>
    </w:p>
    <w:p w14:paraId="2DCF9116" w14:textId="11DE60A2" w:rsidR="0079709A" w:rsidRDefault="0079709A" w:rsidP="0079709A">
      <w:pPr>
        <w:pStyle w:val="ListParagraph"/>
        <w:numPr>
          <w:ilvl w:val="0"/>
          <w:numId w:val="15"/>
        </w:numPr>
        <w:ind w:left="426" w:hanging="426"/>
      </w:pPr>
      <w:r>
        <w:lastRenderedPageBreak/>
        <w:t>Interest</w:t>
      </w:r>
    </w:p>
    <w:p w14:paraId="0EFDB1B7" w14:textId="77777777" w:rsidR="00A0434D" w:rsidRPr="005F4557" w:rsidRDefault="00A0434D" w:rsidP="00C07E4C">
      <w:pPr>
        <w:rPr>
          <w:sz w:val="12"/>
          <w:szCs w:val="12"/>
        </w:rPr>
      </w:pPr>
    </w:p>
    <w:p w14:paraId="35978037" w14:textId="46483E25" w:rsidR="0079709A" w:rsidRDefault="0079709A" w:rsidP="004F4D09">
      <w:pPr>
        <w:ind w:left="426"/>
      </w:pPr>
      <w:r>
        <w:t xml:space="preserve">Interest at the market rate </w:t>
      </w:r>
      <w:r w:rsidR="00DF690B">
        <w:t xml:space="preserve">(determined under </w:t>
      </w:r>
      <w:r w:rsidR="008B28F2">
        <w:t xml:space="preserve">section 26 of </w:t>
      </w:r>
      <w:r w:rsidR="00DF690B">
        <w:t>the</w:t>
      </w:r>
      <w:r w:rsidR="00380C77">
        <w:t xml:space="preserve"> TA</w:t>
      </w:r>
      <w:r w:rsidR="00133791">
        <w:t xml:space="preserve"> </w:t>
      </w:r>
      <w:r w:rsidR="00380C77">
        <w:t>A</w:t>
      </w:r>
      <w:r w:rsidR="00133791">
        <w:t>ct</w:t>
      </w:r>
      <w:r w:rsidR="00DF690B">
        <w:t xml:space="preserve">) </w:t>
      </w:r>
      <w:r>
        <w:t xml:space="preserve">will be payable on the deferred amount of duty </w:t>
      </w:r>
      <w:r w:rsidR="000A4BA4">
        <w:t>for as long as the amount of duty remains unpaid</w:t>
      </w:r>
      <w:r>
        <w:t>.</w:t>
      </w:r>
    </w:p>
    <w:p w14:paraId="101E8371" w14:textId="77777777" w:rsidR="0079709A" w:rsidRDefault="0079709A" w:rsidP="00C07E4C"/>
    <w:p w14:paraId="7DA54822" w14:textId="77777777" w:rsidR="0079709A" w:rsidRDefault="0079709A" w:rsidP="0079709A">
      <w:pPr>
        <w:pStyle w:val="ListParagraph"/>
        <w:numPr>
          <w:ilvl w:val="0"/>
          <w:numId w:val="15"/>
        </w:numPr>
        <w:ind w:left="426" w:hanging="426"/>
      </w:pPr>
      <w:r>
        <w:t xml:space="preserve">Payment of deferred </w:t>
      </w:r>
      <w:r w:rsidR="000A4BA4">
        <w:t>amount</w:t>
      </w:r>
    </w:p>
    <w:p w14:paraId="48CD487F" w14:textId="289B006D" w:rsidR="00A82A9D" w:rsidRPr="005F4557" w:rsidRDefault="00A82A9D" w:rsidP="00C07E4C">
      <w:pPr>
        <w:rPr>
          <w:sz w:val="12"/>
          <w:szCs w:val="12"/>
        </w:rPr>
      </w:pPr>
    </w:p>
    <w:p w14:paraId="1F3F6712" w14:textId="521D172C" w:rsidR="00CB5A12" w:rsidRPr="0066291F" w:rsidRDefault="000A4BA4" w:rsidP="004F4D09">
      <w:pPr>
        <w:spacing w:after="140"/>
        <w:ind w:left="426"/>
      </w:pPr>
      <w:r w:rsidRPr="0066291F">
        <w:t>The deferred duty and any interest that accrues must be paid when</w:t>
      </w:r>
      <w:r w:rsidR="00CB5A12" w:rsidRPr="0066291F">
        <w:t>:</w:t>
      </w:r>
    </w:p>
    <w:p w14:paraId="22530992" w14:textId="61D0E1A8" w:rsidR="00CB5A12" w:rsidRPr="0066291F" w:rsidRDefault="000A4BA4" w:rsidP="004F4D09">
      <w:pPr>
        <w:pStyle w:val="ListParagraph"/>
        <w:numPr>
          <w:ilvl w:val="0"/>
          <w:numId w:val="16"/>
        </w:numPr>
        <w:ind w:left="993" w:hanging="568"/>
      </w:pPr>
      <w:r w:rsidRPr="0066291F">
        <w:t>the property is transferred to an</w:t>
      </w:r>
      <w:r w:rsidR="007F669E" w:rsidRPr="0066291F">
        <w:t xml:space="preserve">y </w:t>
      </w:r>
      <w:r w:rsidRPr="0066291F">
        <w:t>other person</w:t>
      </w:r>
      <w:r w:rsidR="00BB5C97" w:rsidRPr="0066291F">
        <w:t>;</w:t>
      </w:r>
    </w:p>
    <w:p w14:paraId="32772769" w14:textId="009D2BAB" w:rsidR="00CB5A12" w:rsidRPr="0066291F" w:rsidRDefault="00B30776" w:rsidP="004F4D09">
      <w:pPr>
        <w:pStyle w:val="ListParagraph"/>
        <w:numPr>
          <w:ilvl w:val="0"/>
          <w:numId w:val="16"/>
        </w:numPr>
        <w:ind w:left="993" w:hanging="568"/>
      </w:pPr>
      <w:r w:rsidRPr="0066291F">
        <w:t>t</w:t>
      </w:r>
      <w:r w:rsidR="00CB5A12" w:rsidRPr="0066291F">
        <w:t xml:space="preserve">he interest in the property held by the </w:t>
      </w:r>
      <w:r w:rsidR="00BB5C97" w:rsidRPr="0066291F">
        <w:t>‘</w:t>
      </w:r>
      <w:r w:rsidR="00CB5A12" w:rsidRPr="0066291F">
        <w:t>pensioner</w:t>
      </w:r>
      <w:r w:rsidR="00BB5C97" w:rsidRPr="0066291F">
        <w:t>’</w:t>
      </w:r>
      <w:r w:rsidR="00CB5A12" w:rsidRPr="0066291F">
        <w:t xml:space="preserve"> for the purposes of the transaction</w:t>
      </w:r>
      <w:r w:rsidR="00BB5C97" w:rsidRPr="0066291F">
        <w:t>,</w:t>
      </w:r>
      <w:r w:rsidR="00CB5A12" w:rsidRPr="0066291F">
        <w:t xml:space="preserve"> is transferred</w:t>
      </w:r>
      <w:r w:rsidR="00BB5C97" w:rsidRPr="0066291F">
        <w:t xml:space="preserve"> </w:t>
      </w:r>
      <w:r w:rsidR="00CB5A12" w:rsidRPr="0066291F">
        <w:t>to:</w:t>
      </w:r>
    </w:p>
    <w:p w14:paraId="7157977D" w14:textId="41E0C53F" w:rsidR="00CB5A12" w:rsidRPr="0066291F" w:rsidRDefault="00CB5A12" w:rsidP="004F4D09">
      <w:pPr>
        <w:pStyle w:val="ListParagraph"/>
        <w:numPr>
          <w:ilvl w:val="0"/>
          <w:numId w:val="17"/>
        </w:numPr>
        <w:ind w:left="1560" w:hanging="589"/>
      </w:pPr>
      <w:r w:rsidRPr="0066291F">
        <w:t>another transferee;</w:t>
      </w:r>
    </w:p>
    <w:p w14:paraId="4FDA6FEE" w14:textId="49BB0592" w:rsidR="00CB5A12" w:rsidRPr="0066291F" w:rsidRDefault="00CB5A12" w:rsidP="004F4D09">
      <w:pPr>
        <w:ind w:left="1560" w:hanging="589"/>
      </w:pPr>
      <w:r w:rsidRPr="0066291F">
        <w:t xml:space="preserve">(ii) </w:t>
      </w:r>
      <w:r w:rsidR="00B30776" w:rsidRPr="0066291F">
        <w:tab/>
      </w:r>
      <w:r w:rsidRPr="0066291F">
        <w:t>an administrator or executor of the estate of the pensioner</w:t>
      </w:r>
      <w:r w:rsidR="00BB5C97" w:rsidRPr="0066291F">
        <w:t xml:space="preserve"> (includes a transfer by transmission application);</w:t>
      </w:r>
      <w:r w:rsidR="00086655">
        <w:t xml:space="preserve"> or</w:t>
      </w:r>
    </w:p>
    <w:p w14:paraId="239DF523" w14:textId="4682CEAE" w:rsidR="00CB5A12" w:rsidRPr="0066291F" w:rsidRDefault="00CB5A12" w:rsidP="004F4D09">
      <w:pPr>
        <w:ind w:left="1560" w:hanging="589"/>
      </w:pPr>
      <w:r w:rsidRPr="0066291F">
        <w:t>(iii)</w:t>
      </w:r>
      <w:r w:rsidR="00B30776" w:rsidRPr="0066291F">
        <w:tab/>
      </w:r>
      <w:r w:rsidRPr="0066291F">
        <w:t xml:space="preserve">any other person. </w:t>
      </w:r>
    </w:p>
    <w:p w14:paraId="20C1CAA6" w14:textId="77777777" w:rsidR="000A4BA4" w:rsidRDefault="000A4BA4" w:rsidP="0066291F">
      <w:pPr>
        <w:pStyle w:val="ListParagraph"/>
      </w:pPr>
    </w:p>
    <w:p w14:paraId="45880DC2" w14:textId="4ECB15B6" w:rsidR="000A4BA4" w:rsidRDefault="000A4BA4" w:rsidP="004A0477">
      <w:r w:rsidRPr="0066291F">
        <w:t xml:space="preserve">Any duty payable is a debt owing to the Territory and is a first charge on the interest </w:t>
      </w:r>
      <w:r w:rsidR="000B33F9">
        <w:t xml:space="preserve">in the property </w:t>
      </w:r>
      <w:r w:rsidRPr="0066291F">
        <w:t xml:space="preserve">held by an owner </w:t>
      </w:r>
      <w:r w:rsidR="000B33F9">
        <w:t xml:space="preserve">and </w:t>
      </w:r>
      <w:r w:rsidRPr="0066291F">
        <w:t xml:space="preserve">takes priority over other interests – see section 5 </w:t>
      </w:r>
      <w:r w:rsidR="00B71D59" w:rsidRPr="0066291F">
        <w:t xml:space="preserve">of the Duties Act </w:t>
      </w:r>
      <w:r w:rsidRPr="0066291F">
        <w:t>and section 56H of the</w:t>
      </w:r>
      <w:r w:rsidR="00380C77">
        <w:t xml:space="preserve"> TA</w:t>
      </w:r>
      <w:r w:rsidR="000B33F9">
        <w:t xml:space="preserve"> </w:t>
      </w:r>
      <w:r w:rsidR="00380C77">
        <w:t>A</w:t>
      </w:r>
      <w:r w:rsidR="000B33F9">
        <w:t>ct</w:t>
      </w:r>
      <w:r w:rsidRPr="0066291F">
        <w:t>.</w:t>
      </w:r>
    </w:p>
    <w:p w14:paraId="0F84A1F2" w14:textId="77777777" w:rsidR="000A4BA4" w:rsidRDefault="000A4BA4" w:rsidP="00C07E4C"/>
    <w:p w14:paraId="36E94B68" w14:textId="5C402E6B" w:rsidR="006724AD" w:rsidRDefault="00A007DF" w:rsidP="001D7467">
      <w:pPr>
        <w:keepNext/>
        <w:rPr>
          <w:rFonts w:ascii="Arial" w:hAnsi="Arial" w:cs="Arial"/>
          <w:b/>
          <w:sz w:val="26"/>
          <w:szCs w:val="26"/>
        </w:rPr>
      </w:pPr>
      <w:r>
        <w:rPr>
          <w:rFonts w:ascii="Arial" w:hAnsi="Arial" w:cs="Arial"/>
          <w:b/>
          <w:sz w:val="26"/>
          <w:szCs w:val="26"/>
        </w:rPr>
        <w:t>Operation</w:t>
      </w:r>
    </w:p>
    <w:p w14:paraId="240A36E9" w14:textId="77777777" w:rsidR="006724AD" w:rsidRPr="00E215B9" w:rsidRDefault="006724AD" w:rsidP="000A4BA4">
      <w:pPr>
        <w:rPr>
          <w:b/>
          <w:highlight w:val="yellow"/>
        </w:rPr>
      </w:pPr>
    </w:p>
    <w:p w14:paraId="498C1F5A" w14:textId="7805666C" w:rsidR="002D05A9" w:rsidRPr="00A007DF" w:rsidRDefault="00B31B03" w:rsidP="002D05A9">
      <w:pPr>
        <w:pStyle w:val="Amain"/>
        <w:tabs>
          <w:tab w:val="clear" w:pos="500"/>
          <w:tab w:val="clear" w:pos="700"/>
          <w:tab w:val="right" w:pos="-284"/>
          <w:tab w:val="left" w:pos="567"/>
        </w:tabs>
        <w:spacing w:before="0" w:after="0"/>
        <w:ind w:left="0" w:firstLine="0"/>
        <w:jc w:val="left"/>
        <w:outlineLvl w:val="9"/>
      </w:pPr>
      <w:r w:rsidRPr="00A007DF">
        <w:t>D</w:t>
      </w:r>
      <w:r w:rsidR="0011786A" w:rsidRPr="00A007DF">
        <w:t xml:space="preserve">uty </w:t>
      </w:r>
      <w:r w:rsidR="00DA410E" w:rsidRPr="00A007DF">
        <w:t xml:space="preserve">deferrals approved under </w:t>
      </w:r>
      <w:r w:rsidRPr="00A007DF">
        <w:t xml:space="preserve">the </w:t>
      </w:r>
      <w:r w:rsidR="00C34E51" w:rsidRPr="00A007DF">
        <w:t>Determination</w:t>
      </w:r>
      <w:r w:rsidR="00C34E51" w:rsidRPr="00A007DF">
        <w:rPr>
          <w:i/>
          <w:iCs/>
        </w:rPr>
        <w:t xml:space="preserve"> </w:t>
      </w:r>
      <w:r w:rsidR="00A665DB" w:rsidRPr="00A007DF">
        <w:t xml:space="preserve">(and its conditions of approval) </w:t>
      </w:r>
      <w:r w:rsidR="00DA410E" w:rsidRPr="00A007DF">
        <w:t xml:space="preserve">will continue to apply </w:t>
      </w:r>
      <w:r w:rsidR="009A6826" w:rsidRPr="00A007DF">
        <w:t xml:space="preserve">should the </w:t>
      </w:r>
      <w:r w:rsidR="00703FF6" w:rsidRPr="00A007DF">
        <w:t xml:space="preserve">Determination </w:t>
      </w:r>
      <w:r w:rsidR="009A6826" w:rsidRPr="00A007DF">
        <w:t xml:space="preserve">cease </w:t>
      </w:r>
      <w:r w:rsidR="00DA410E" w:rsidRPr="00A007DF">
        <w:t>until the</w:t>
      </w:r>
      <w:r w:rsidR="00896DB3" w:rsidRPr="00A007DF">
        <w:t xml:space="preserve"> duty </w:t>
      </w:r>
      <w:r w:rsidR="0014009A" w:rsidRPr="00A007DF">
        <w:t xml:space="preserve">amount </w:t>
      </w:r>
      <w:r w:rsidR="00896DB3" w:rsidRPr="00A007DF">
        <w:t xml:space="preserve">deferred and any accrued interest is </w:t>
      </w:r>
      <w:r w:rsidR="00DA410E" w:rsidRPr="00A007DF">
        <w:t xml:space="preserve">paid </w:t>
      </w:r>
      <w:r w:rsidR="0014009A" w:rsidRPr="00A007DF">
        <w:t>in full</w:t>
      </w:r>
      <w:r w:rsidR="00896DB3" w:rsidRPr="00A007DF">
        <w:t xml:space="preserve">. </w:t>
      </w:r>
      <w:r w:rsidR="002D05A9" w:rsidRPr="00A007DF">
        <w:t xml:space="preserve">Similarly, the Determination does not affect the operation of deferrals granted under previous instruments for the operation of the Pensioner Duty Deferral Scheme. </w:t>
      </w:r>
    </w:p>
    <w:p w14:paraId="7DB3AABF" w14:textId="1F9B9A70" w:rsidR="00896DB3" w:rsidRPr="0066291F" w:rsidRDefault="00896DB3" w:rsidP="00695278">
      <w:pPr>
        <w:spacing w:before="140"/>
      </w:pPr>
    </w:p>
    <w:p w14:paraId="5E43F21F" w14:textId="77777777" w:rsidR="000E22E8" w:rsidRPr="0053158D" w:rsidRDefault="000E22E8" w:rsidP="000E22E8">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w:t>
      </w:r>
    </w:p>
    <w:p w14:paraId="6FAC8605" w14:textId="77777777" w:rsidR="000E22E8" w:rsidRPr="0053158D" w:rsidRDefault="000E22E8" w:rsidP="000E22E8"/>
    <w:p w14:paraId="489E6A32" w14:textId="7488C7CD" w:rsidR="000E22E8" w:rsidRDefault="000E22E8" w:rsidP="000E22E8">
      <w:pPr>
        <w:rPr>
          <w:lang w:val="en-US"/>
        </w:rPr>
      </w:pPr>
      <w:r>
        <w:t xml:space="preserve">Section </w:t>
      </w:r>
      <w:r w:rsidR="000B33F9">
        <w:t>8</w:t>
      </w:r>
      <w:r>
        <w:t xml:space="preserve"> of th</w:t>
      </w:r>
      <w:r w:rsidR="000B33F9">
        <w:t>e</w:t>
      </w:r>
      <w:r>
        <w:t xml:space="preserve"> Determination </w:t>
      </w:r>
      <w:r w:rsidRPr="0053158D">
        <w:t>revokes</w:t>
      </w:r>
      <w:r w:rsidRPr="0053158D">
        <w:rPr>
          <w:i/>
        </w:rPr>
        <w:t xml:space="preserve"> </w:t>
      </w:r>
      <w:r w:rsidRPr="0053158D">
        <w:t>DI20</w:t>
      </w:r>
      <w:r>
        <w:t>23</w:t>
      </w:r>
      <w:r w:rsidRPr="0053158D">
        <w:t>-</w:t>
      </w:r>
      <w:r>
        <w:t>281</w:t>
      </w:r>
      <w:r w:rsidRPr="00DC7B99">
        <w:t>.</w:t>
      </w:r>
      <w:r w:rsidRPr="0053158D">
        <w:t xml:space="preserve"> </w:t>
      </w:r>
    </w:p>
    <w:p w14:paraId="6C693529" w14:textId="7D54D24C" w:rsidR="00B31B03" w:rsidRDefault="00B31B03"/>
    <w:p w14:paraId="55D72235" w14:textId="77777777" w:rsidR="00896DB3" w:rsidRDefault="00896DB3"/>
    <w:p w14:paraId="58A79A13" w14:textId="006FBFF3" w:rsidR="00AA6B8B" w:rsidRDefault="00AA6B8B"/>
    <w:sectPr w:rsidR="00AA6B8B" w:rsidSect="004A047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A291" w14:textId="77777777" w:rsidR="00D3463A" w:rsidRDefault="00D3463A" w:rsidP="00C17FAB">
      <w:r>
        <w:separator/>
      </w:r>
    </w:p>
  </w:endnote>
  <w:endnote w:type="continuationSeparator" w:id="0">
    <w:p w14:paraId="6741F435" w14:textId="77777777" w:rsidR="00D3463A" w:rsidRDefault="00D3463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21E9" w14:textId="77777777" w:rsidR="00942866" w:rsidRDefault="00942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800" w14:textId="56415ABE" w:rsidR="00942866" w:rsidRPr="00942866" w:rsidRDefault="00942866" w:rsidP="00942866">
    <w:pPr>
      <w:pStyle w:val="Footer"/>
      <w:jc w:val="center"/>
      <w:rPr>
        <w:rFonts w:cs="Arial"/>
        <w:sz w:val="14"/>
      </w:rPr>
    </w:pPr>
    <w:r w:rsidRPr="0094286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307F" w14:textId="77777777" w:rsidR="00942866" w:rsidRDefault="0094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FB5" w14:textId="77777777" w:rsidR="00D3463A" w:rsidRDefault="00D3463A" w:rsidP="00C17FAB">
      <w:r>
        <w:separator/>
      </w:r>
    </w:p>
  </w:footnote>
  <w:footnote w:type="continuationSeparator" w:id="0">
    <w:p w14:paraId="0EAF1E3E" w14:textId="77777777" w:rsidR="00D3463A" w:rsidRDefault="00D3463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8CA" w14:textId="77777777" w:rsidR="00942866" w:rsidRDefault="00942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1284" w14:textId="77777777" w:rsidR="00942866" w:rsidRDefault="00942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37C8" w14:textId="77777777" w:rsidR="00942866" w:rsidRDefault="00942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34144"/>
    <w:multiLevelType w:val="hybridMultilevel"/>
    <w:tmpl w:val="0B9A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67479"/>
    <w:multiLevelType w:val="hybridMultilevel"/>
    <w:tmpl w:val="0F3E0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671568"/>
    <w:multiLevelType w:val="hybridMultilevel"/>
    <w:tmpl w:val="996C3D50"/>
    <w:lvl w:ilvl="0" w:tplc="02640ED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4416C"/>
    <w:multiLevelType w:val="hybridMultilevel"/>
    <w:tmpl w:val="B5724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F335A"/>
    <w:multiLevelType w:val="hybridMultilevel"/>
    <w:tmpl w:val="C31A709E"/>
    <w:lvl w:ilvl="0" w:tplc="18EC8A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8F6636"/>
    <w:multiLevelType w:val="hybridMultilevel"/>
    <w:tmpl w:val="39A49D4E"/>
    <w:lvl w:ilvl="0" w:tplc="370ADA8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714EF"/>
    <w:multiLevelType w:val="hybridMultilevel"/>
    <w:tmpl w:val="DA581434"/>
    <w:lvl w:ilvl="0" w:tplc="FBACB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322A27"/>
    <w:multiLevelType w:val="hybridMultilevel"/>
    <w:tmpl w:val="BBD0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0AD7C41"/>
    <w:multiLevelType w:val="hybridMultilevel"/>
    <w:tmpl w:val="053AE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E4F40AE4">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2940164">
    <w:abstractNumId w:val="2"/>
  </w:num>
  <w:num w:numId="2" w16cid:durableId="879634587">
    <w:abstractNumId w:val="0"/>
  </w:num>
  <w:num w:numId="3" w16cid:durableId="71045780">
    <w:abstractNumId w:val="3"/>
  </w:num>
  <w:num w:numId="4" w16cid:durableId="486633263">
    <w:abstractNumId w:val="9"/>
  </w:num>
  <w:num w:numId="5" w16cid:durableId="465973155">
    <w:abstractNumId w:val="17"/>
  </w:num>
  <w:num w:numId="6" w16cid:durableId="975137078">
    <w:abstractNumId w:val="1"/>
  </w:num>
  <w:num w:numId="7" w16cid:durableId="242496198">
    <w:abstractNumId w:val="7"/>
  </w:num>
  <w:num w:numId="8" w16cid:durableId="1834833274">
    <w:abstractNumId w:val="8"/>
  </w:num>
  <w:num w:numId="9" w16cid:durableId="1157768882">
    <w:abstractNumId w:val="19"/>
  </w:num>
  <w:num w:numId="10" w16cid:durableId="1802843506">
    <w:abstractNumId w:val="18"/>
  </w:num>
  <w:num w:numId="11" w16cid:durableId="1361006893">
    <w:abstractNumId w:val="5"/>
  </w:num>
  <w:num w:numId="12" w16cid:durableId="1210414004">
    <w:abstractNumId w:val="11"/>
  </w:num>
  <w:num w:numId="13" w16cid:durableId="1248733980">
    <w:abstractNumId w:val="13"/>
  </w:num>
  <w:num w:numId="14" w16cid:durableId="934096843">
    <w:abstractNumId w:val="10"/>
  </w:num>
  <w:num w:numId="15" w16cid:durableId="2048018215">
    <w:abstractNumId w:val="16"/>
  </w:num>
  <w:num w:numId="16" w16cid:durableId="742215090">
    <w:abstractNumId w:val="6"/>
  </w:num>
  <w:num w:numId="17" w16cid:durableId="2025859610">
    <w:abstractNumId w:val="12"/>
  </w:num>
  <w:num w:numId="18" w16cid:durableId="1775903741">
    <w:abstractNumId w:val="15"/>
  </w:num>
  <w:num w:numId="19" w16cid:durableId="538738561">
    <w:abstractNumId w:val="14"/>
  </w:num>
  <w:num w:numId="20" w16cid:durableId="1350570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15B2"/>
    <w:rsid w:val="0001555E"/>
    <w:rsid w:val="00036FD6"/>
    <w:rsid w:val="000370B7"/>
    <w:rsid w:val="0004401B"/>
    <w:rsid w:val="00044A47"/>
    <w:rsid w:val="00044D06"/>
    <w:rsid w:val="00047F7C"/>
    <w:rsid w:val="00051BBC"/>
    <w:rsid w:val="0005616A"/>
    <w:rsid w:val="000620F8"/>
    <w:rsid w:val="00083C38"/>
    <w:rsid w:val="00084151"/>
    <w:rsid w:val="00084A95"/>
    <w:rsid w:val="00086655"/>
    <w:rsid w:val="000A0CDA"/>
    <w:rsid w:val="000A4950"/>
    <w:rsid w:val="000A4BA4"/>
    <w:rsid w:val="000A69CC"/>
    <w:rsid w:val="000B16EF"/>
    <w:rsid w:val="000B33F9"/>
    <w:rsid w:val="000B47B3"/>
    <w:rsid w:val="000C0320"/>
    <w:rsid w:val="000C406A"/>
    <w:rsid w:val="000D7351"/>
    <w:rsid w:val="000D7BC5"/>
    <w:rsid w:val="000E22E8"/>
    <w:rsid w:val="000F71A8"/>
    <w:rsid w:val="000F77A6"/>
    <w:rsid w:val="00104E59"/>
    <w:rsid w:val="0011786A"/>
    <w:rsid w:val="0013287B"/>
    <w:rsid w:val="00133791"/>
    <w:rsid w:val="0014009A"/>
    <w:rsid w:val="00143E2D"/>
    <w:rsid w:val="0015449C"/>
    <w:rsid w:val="001546D9"/>
    <w:rsid w:val="00163067"/>
    <w:rsid w:val="00167566"/>
    <w:rsid w:val="00175FAA"/>
    <w:rsid w:val="001D2D85"/>
    <w:rsid w:val="001D7467"/>
    <w:rsid w:val="001F588D"/>
    <w:rsid w:val="001F780B"/>
    <w:rsid w:val="00233323"/>
    <w:rsid w:val="00244B5E"/>
    <w:rsid w:val="00256FA9"/>
    <w:rsid w:val="00266C34"/>
    <w:rsid w:val="00276BAF"/>
    <w:rsid w:val="002838D3"/>
    <w:rsid w:val="00284688"/>
    <w:rsid w:val="00295B06"/>
    <w:rsid w:val="00295F8A"/>
    <w:rsid w:val="002A3727"/>
    <w:rsid w:val="002A6EDD"/>
    <w:rsid w:val="002C2001"/>
    <w:rsid w:val="002C747B"/>
    <w:rsid w:val="002D05A9"/>
    <w:rsid w:val="002D24F1"/>
    <w:rsid w:val="002D2A83"/>
    <w:rsid w:val="002D3299"/>
    <w:rsid w:val="002D3524"/>
    <w:rsid w:val="002D6F30"/>
    <w:rsid w:val="002D7523"/>
    <w:rsid w:val="002D7C60"/>
    <w:rsid w:val="00324663"/>
    <w:rsid w:val="00330BF5"/>
    <w:rsid w:val="0033212D"/>
    <w:rsid w:val="003555C6"/>
    <w:rsid w:val="003642CE"/>
    <w:rsid w:val="00380C77"/>
    <w:rsid w:val="0038342A"/>
    <w:rsid w:val="00387BAB"/>
    <w:rsid w:val="003A2713"/>
    <w:rsid w:val="003A5656"/>
    <w:rsid w:val="003B128C"/>
    <w:rsid w:val="003B2344"/>
    <w:rsid w:val="003B59A2"/>
    <w:rsid w:val="003C158F"/>
    <w:rsid w:val="003C338B"/>
    <w:rsid w:val="003C69D1"/>
    <w:rsid w:val="003F111B"/>
    <w:rsid w:val="0047377C"/>
    <w:rsid w:val="004925A5"/>
    <w:rsid w:val="004A0477"/>
    <w:rsid w:val="004B0456"/>
    <w:rsid w:val="004D3328"/>
    <w:rsid w:val="004D64DC"/>
    <w:rsid w:val="004E6ED0"/>
    <w:rsid w:val="004F28EB"/>
    <w:rsid w:val="004F477B"/>
    <w:rsid w:val="004F4D09"/>
    <w:rsid w:val="005035B3"/>
    <w:rsid w:val="00520F36"/>
    <w:rsid w:val="00541BF0"/>
    <w:rsid w:val="00545537"/>
    <w:rsid w:val="005477AA"/>
    <w:rsid w:val="00574C6E"/>
    <w:rsid w:val="00577C99"/>
    <w:rsid w:val="005830EC"/>
    <w:rsid w:val="00583D94"/>
    <w:rsid w:val="005B0A55"/>
    <w:rsid w:val="005C73CE"/>
    <w:rsid w:val="005D4519"/>
    <w:rsid w:val="005D7612"/>
    <w:rsid w:val="005E0D3B"/>
    <w:rsid w:val="005F29A0"/>
    <w:rsid w:val="005F4557"/>
    <w:rsid w:val="005F6AF3"/>
    <w:rsid w:val="00600AC7"/>
    <w:rsid w:val="006174F0"/>
    <w:rsid w:val="006252C9"/>
    <w:rsid w:val="00635DA5"/>
    <w:rsid w:val="00646C67"/>
    <w:rsid w:val="00656F3F"/>
    <w:rsid w:val="0066291F"/>
    <w:rsid w:val="00670A96"/>
    <w:rsid w:val="006724AD"/>
    <w:rsid w:val="00687ED0"/>
    <w:rsid w:val="00695278"/>
    <w:rsid w:val="006A45E0"/>
    <w:rsid w:val="006A550B"/>
    <w:rsid w:val="006C5788"/>
    <w:rsid w:val="006C7109"/>
    <w:rsid w:val="006C7D45"/>
    <w:rsid w:val="006D2B49"/>
    <w:rsid w:val="006D2FC8"/>
    <w:rsid w:val="006F11E7"/>
    <w:rsid w:val="006F4177"/>
    <w:rsid w:val="00703FF6"/>
    <w:rsid w:val="00727AA5"/>
    <w:rsid w:val="007346AC"/>
    <w:rsid w:val="00746B93"/>
    <w:rsid w:val="00746C1D"/>
    <w:rsid w:val="00750038"/>
    <w:rsid w:val="007659B0"/>
    <w:rsid w:val="00771DEB"/>
    <w:rsid w:val="007819E5"/>
    <w:rsid w:val="0079709A"/>
    <w:rsid w:val="007D28F9"/>
    <w:rsid w:val="007F669E"/>
    <w:rsid w:val="00803D9B"/>
    <w:rsid w:val="00815B1B"/>
    <w:rsid w:val="008275AD"/>
    <w:rsid w:val="00831E29"/>
    <w:rsid w:val="00832A8B"/>
    <w:rsid w:val="00847074"/>
    <w:rsid w:val="00850A49"/>
    <w:rsid w:val="00860C3C"/>
    <w:rsid w:val="0086346C"/>
    <w:rsid w:val="00867840"/>
    <w:rsid w:val="00896DB3"/>
    <w:rsid w:val="008A5EC7"/>
    <w:rsid w:val="008B28F2"/>
    <w:rsid w:val="008C0A45"/>
    <w:rsid w:val="009102FF"/>
    <w:rsid w:val="00915D31"/>
    <w:rsid w:val="00916960"/>
    <w:rsid w:val="009205A2"/>
    <w:rsid w:val="009255AF"/>
    <w:rsid w:val="00930A10"/>
    <w:rsid w:val="00933FCC"/>
    <w:rsid w:val="00935B2E"/>
    <w:rsid w:val="00942866"/>
    <w:rsid w:val="00953D64"/>
    <w:rsid w:val="00986FE3"/>
    <w:rsid w:val="009943F3"/>
    <w:rsid w:val="00994473"/>
    <w:rsid w:val="009A6826"/>
    <w:rsid w:val="009A7F4C"/>
    <w:rsid w:val="009D4FC2"/>
    <w:rsid w:val="009D7400"/>
    <w:rsid w:val="009E0024"/>
    <w:rsid w:val="009E46E7"/>
    <w:rsid w:val="009E6158"/>
    <w:rsid w:val="009F7509"/>
    <w:rsid w:val="00A007DF"/>
    <w:rsid w:val="00A0434D"/>
    <w:rsid w:val="00A05764"/>
    <w:rsid w:val="00A104AD"/>
    <w:rsid w:val="00A20A8C"/>
    <w:rsid w:val="00A32971"/>
    <w:rsid w:val="00A438C9"/>
    <w:rsid w:val="00A56DE4"/>
    <w:rsid w:val="00A65BCC"/>
    <w:rsid w:val="00A665DB"/>
    <w:rsid w:val="00A67C0A"/>
    <w:rsid w:val="00A82A9D"/>
    <w:rsid w:val="00A84C4F"/>
    <w:rsid w:val="00A87FA6"/>
    <w:rsid w:val="00A96525"/>
    <w:rsid w:val="00AA6B8B"/>
    <w:rsid w:val="00AE2586"/>
    <w:rsid w:val="00AF2831"/>
    <w:rsid w:val="00B254AC"/>
    <w:rsid w:val="00B30776"/>
    <w:rsid w:val="00B31B03"/>
    <w:rsid w:val="00B474F6"/>
    <w:rsid w:val="00B71D59"/>
    <w:rsid w:val="00B82282"/>
    <w:rsid w:val="00BB5C97"/>
    <w:rsid w:val="00BC61FF"/>
    <w:rsid w:val="00BD2818"/>
    <w:rsid w:val="00BE45A4"/>
    <w:rsid w:val="00C04517"/>
    <w:rsid w:val="00C07E4C"/>
    <w:rsid w:val="00C17FAB"/>
    <w:rsid w:val="00C3498C"/>
    <w:rsid w:val="00C34E51"/>
    <w:rsid w:val="00C614AD"/>
    <w:rsid w:val="00C66225"/>
    <w:rsid w:val="00C77D03"/>
    <w:rsid w:val="00C80CE3"/>
    <w:rsid w:val="00CA11F6"/>
    <w:rsid w:val="00CA540C"/>
    <w:rsid w:val="00CA7C09"/>
    <w:rsid w:val="00CB46F5"/>
    <w:rsid w:val="00CB5A12"/>
    <w:rsid w:val="00CB6874"/>
    <w:rsid w:val="00CE2DC9"/>
    <w:rsid w:val="00CE599C"/>
    <w:rsid w:val="00CF0B1F"/>
    <w:rsid w:val="00CF1C02"/>
    <w:rsid w:val="00D00C96"/>
    <w:rsid w:val="00D13F6F"/>
    <w:rsid w:val="00D3463A"/>
    <w:rsid w:val="00D36662"/>
    <w:rsid w:val="00D44937"/>
    <w:rsid w:val="00D45330"/>
    <w:rsid w:val="00D56FBF"/>
    <w:rsid w:val="00D624E7"/>
    <w:rsid w:val="00D66061"/>
    <w:rsid w:val="00D7192A"/>
    <w:rsid w:val="00D72B24"/>
    <w:rsid w:val="00DA1B90"/>
    <w:rsid w:val="00DA3B00"/>
    <w:rsid w:val="00DA410E"/>
    <w:rsid w:val="00DB08D0"/>
    <w:rsid w:val="00DB7D86"/>
    <w:rsid w:val="00DC022E"/>
    <w:rsid w:val="00DC4C6D"/>
    <w:rsid w:val="00DF690B"/>
    <w:rsid w:val="00E02896"/>
    <w:rsid w:val="00E05B50"/>
    <w:rsid w:val="00E215B9"/>
    <w:rsid w:val="00E21CC7"/>
    <w:rsid w:val="00E52774"/>
    <w:rsid w:val="00E534C1"/>
    <w:rsid w:val="00E60E52"/>
    <w:rsid w:val="00E64DA7"/>
    <w:rsid w:val="00E809D1"/>
    <w:rsid w:val="00E82AD3"/>
    <w:rsid w:val="00E8487E"/>
    <w:rsid w:val="00EB1068"/>
    <w:rsid w:val="00EB2F3D"/>
    <w:rsid w:val="00EB365D"/>
    <w:rsid w:val="00EB466E"/>
    <w:rsid w:val="00ED46EE"/>
    <w:rsid w:val="00ED6089"/>
    <w:rsid w:val="00EE3561"/>
    <w:rsid w:val="00EE47CE"/>
    <w:rsid w:val="00EE50D0"/>
    <w:rsid w:val="00EF5330"/>
    <w:rsid w:val="00F119D0"/>
    <w:rsid w:val="00F43DFE"/>
    <w:rsid w:val="00F441F6"/>
    <w:rsid w:val="00F51E5C"/>
    <w:rsid w:val="00F64549"/>
    <w:rsid w:val="00F9355E"/>
    <w:rsid w:val="00FB6069"/>
    <w:rsid w:val="00FC277C"/>
    <w:rsid w:val="00FD75CE"/>
    <w:rsid w:val="00FF091E"/>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55985415"/>
  <w15:docId w15:val="{C613F87D-B3BC-45CB-868E-9427CDD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DocumentMap">
    <w:name w:val="Document Map"/>
    <w:basedOn w:val="Normal"/>
    <w:link w:val="DocumentMapChar"/>
    <w:uiPriority w:val="99"/>
    <w:semiHidden/>
    <w:unhideWhenUsed/>
    <w:rsid w:val="006F4177"/>
    <w:rPr>
      <w:rFonts w:ascii="Tahoma" w:hAnsi="Tahoma" w:cs="Tahoma"/>
      <w:sz w:val="16"/>
      <w:szCs w:val="16"/>
    </w:rPr>
  </w:style>
  <w:style w:type="character" w:customStyle="1" w:styleId="DocumentMapChar">
    <w:name w:val="Document Map Char"/>
    <w:basedOn w:val="DefaultParagraphFont"/>
    <w:link w:val="DocumentMap"/>
    <w:uiPriority w:val="99"/>
    <w:semiHidden/>
    <w:rsid w:val="006F4177"/>
    <w:rPr>
      <w:rFonts w:ascii="Tahoma" w:hAnsi="Tahoma" w:cs="Tahoma"/>
      <w:sz w:val="16"/>
      <w:szCs w:val="16"/>
      <w:lang w:eastAsia="en-US"/>
    </w:rPr>
  </w:style>
  <w:style w:type="paragraph" w:styleId="ListParagraph">
    <w:name w:val="List Paragraph"/>
    <w:basedOn w:val="Normal"/>
    <w:uiPriority w:val="34"/>
    <w:qFormat/>
    <w:rsid w:val="00656F3F"/>
    <w:pPr>
      <w:ind w:left="720"/>
      <w:contextualSpacing/>
    </w:pPr>
  </w:style>
  <w:style w:type="character" w:styleId="CommentReference">
    <w:name w:val="annotation reference"/>
    <w:basedOn w:val="DefaultParagraphFont"/>
    <w:uiPriority w:val="99"/>
    <w:unhideWhenUsed/>
    <w:rsid w:val="00A84C4F"/>
    <w:rPr>
      <w:sz w:val="16"/>
      <w:szCs w:val="16"/>
    </w:rPr>
  </w:style>
  <w:style w:type="paragraph" w:styleId="CommentText">
    <w:name w:val="annotation text"/>
    <w:basedOn w:val="Normal"/>
    <w:link w:val="CommentTextChar"/>
    <w:uiPriority w:val="99"/>
    <w:unhideWhenUsed/>
    <w:rsid w:val="00A84C4F"/>
    <w:rPr>
      <w:sz w:val="20"/>
    </w:rPr>
  </w:style>
  <w:style w:type="character" w:customStyle="1" w:styleId="CommentTextChar">
    <w:name w:val="Comment Text Char"/>
    <w:basedOn w:val="DefaultParagraphFont"/>
    <w:link w:val="CommentText"/>
    <w:uiPriority w:val="99"/>
    <w:rsid w:val="00A84C4F"/>
    <w:rPr>
      <w:lang w:eastAsia="en-US"/>
    </w:rPr>
  </w:style>
  <w:style w:type="paragraph" w:styleId="CommentSubject">
    <w:name w:val="annotation subject"/>
    <w:basedOn w:val="CommentText"/>
    <w:next w:val="CommentText"/>
    <w:link w:val="CommentSubjectChar"/>
    <w:uiPriority w:val="99"/>
    <w:semiHidden/>
    <w:unhideWhenUsed/>
    <w:rsid w:val="00A84C4F"/>
    <w:rPr>
      <w:b/>
      <w:bCs/>
    </w:rPr>
  </w:style>
  <w:style w:type="character" w:customStyle="1" w:styleId="CommentSubjectChar">
    <w:name w:val="Comment Subject Char"/>
    <w:basedOn w:val="CommentTextChar"/>
    <w:link w:val="CommentSubject"/>
    <w:uiPriority w:val="99"/>
    <w:semiHidden/>
    <w:rsid w:val="00A84C4F"/>
    <w:rPr>
      <w:b/>
      <w:bCs/>
      <w:lang w:eastAsia="en-US"/>
    </w:rPr>
  </w:style>
  <w:style w:type="paragraph" w:styleId="BalloonText">
    <w:name w:val="Balloon Text"/>
    <w:basedOn w:val="Normal"/>
    <w:link w:val="BalloonTextChar"/>
    <w:uiPriority w:val="99"/>
    <w:semiHidden/>
    <w:unhideWhenUsed/>
    <w:rsid w:val="00A84C4F"/>
    <w:rPr>
      <w:rFonts w:ascii="Tahoma" w:hAnsi="Tahoma" w:cs="Tahoma"/>
      <w:sz w:val="16"/>
      <w:szCs w:val="16"/>
    </w:rPr>
  </w:style>
  <w:style w:type="character" w:customStyle="1" w:styleId="BalloonTextChar">
    <w:name w:val="Balloon Text Char"/>
    <w:basedOn w:val="DefaultParagraphFont"/>
    <w:link w:val="BalloonText"/>
    <w:uiPriority w:val="99"/>
    <w:semiHidden/>
    <w:rsid w:val="00A84C4F"/>
    <w:rPr>
      <w:rFonts w:ascii="Tahoma" w:hAnsi="Tahoma" w:cs="Tahoma"/>
      <w:sz w:val="16"/>
      <w:szCs w:val="16"/>
      <w:lang w:eastAsia="en-US"/>
    </w:rPr>
  </w:style>
  <w:style w:type="paragraph" w:styleId="Revision">
    <w:name w:val="Revision"/>
    <w:hidden/>
    <w:uiPriority w:val="99"/>
    <w:semiHidden/>
    <w:rsid w:val="002333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6430-E462-459E-BE7D-5312E08A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6474</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2021-05-26T06:24:00Z</cp:lastPrinted>
  <dcterms:created xsi:type="dcterms:W3CDTF">2024-06-24T05:16:00Z</dcterms:created>
  <dcterms:modified xsi:type="dcterms:W3CDTF">2024-06-24T05:16:00Z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2024-05-30T04:37:32Z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02161bf7-1339-4fc3-a019-abc4b1272b32</vt:lpwstr>
  </property>
  <property fmtid="{D5CDD505-2E9C-101B-9397-08002B2CF9AE}" pid="8" name="MSIP_Label_69af8531-eb46-4968-8cb3-105d2f5ea87e_ContentBits">
    <vt:lpwstr>0</vt:lpwstr>
  </property>
</Properties>
</file>