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8852F2D" w14:textId="77777777" w:rsidR="00C17FAB" w:rsidRDefault="00C17FAB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486F95AF" w14:textId="5A06D0D8" w:rsidR="00C17FAB" w:rsidRDefault="006D6540">
      <w:pPr>
        <w:pStyle w:val="Billname"/>
        <w:spacing w:before="700"/>
      </w:pPr>
      <w:r w:rsidRPr="006D6540">
        <w:t xml:space="preserve">Public Trustee and Guardian (Investment Board) Appointment 2024 (No </w:t>
      </w:r>
      <w:r w:rsidR="00213F2C">
        <w:t>2</w:t>
      </w:r>
      <w:r w:rsidRPr="006D6540">
        <w:t>)</w:t>
      </w:r>
    </w:p>
    <w:p w14:paraId="7BCE2739" w14:textId="09735D6A" w:rsidR="00C17FAB" w:rsidRDefault="002D7C60" w:rsidP="00DA3B00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Disallowable instrument DI</w:t>
      </w:r>
      <w:r w:rsidR="006D6540">
        <w:rPr>
          <w:rFonts w:ascii="Arial" w:hAnsi="Arial" w:cs="Arial"/>
          <w:b/>
          <w:bCs/>
        </w:rPr>
        <w:t>2024</w:t>
      </w:r>
      <w:r w:rsidR="00C17FAB">
        <w:rPr>
          <w:rFonts w:ascii="Arial" w:hAnsi="Arial" w:cs="Arial"/>
          <w:b/>
          <w:bCs/>
        </w:rPr>
        <w:t>–</w:t>
      </w:r>
      <w:r w:rsidR="00D54A52">
        <w:rPr>
          <w:rFonts w:ascii="Arial" w:hAnsi="Arial" w:cs="Arial"/>
          <w:b/>
          <w:bCs/>
        </w:rPr>
        <w:t>226</w:t>
      </w:r>
    </w:p>
    <w:p w14:paraId="2EC3AEF1" w14:textId="77777777" w:rsidR="00C17FAB" w:rsidRDefault="00C17FAB" w:rsidP="00DA3B00">
      <w:pPr>
        <w:pStyle w:val="madeunder"/>
        <w:spacing w:before="300" w:after="0"/>
      </w:pPr>
      <w:r>
        <w:t xml:space="preserve">made under the  </w:t>
      </w:r>
    </w:p>
    <w:p w14:paraId="241B297F" w14:textId="3733ACB6" w:rsidR="00C17FAB" w:rsidRDefault="006D6540" w:rsidP="00DA3B00">
      <w:pPr>
        <w:pStyle w:val="CoverActName"/>
        <w:spacing w:before="320" w:after="0"/>
        <w:rPr>
          <w:rFonts w:cs="Arial"/>
          <w:sz w:val="20"/>
        </w:rPr>
      </w:pPr>
      <w:r w:rsidRPr="006D6540">
        <w:rPr>
          <w:rFonts w:cs="Arial"/>
          <w:sz w:val="20"/>
        </w:rPr>
        <w:t>Public Trustee and Guardian Act 1985, s 48 (1) (b)</w:t>
      </w:r>
    </w:p>
    <w:p w14:paraId="4113ADBA" w14:textId="77777777" w:rsidR="00C17FAB" w:rsidRDefault="00C17FAB">
      <w:pPr>
        <w:spacing w:before="360"/>
        <w:ind w:right="565"/>
        <w:rPr>
          <w:rFonts w:ascii="Arial" w:hAnsi="Arial" w:cs="Arial"/>
          <w:b/>
          <w:bCs/>
          <w:sz w:val="28"/>
          <w:szCs w:val="28"/>
        </w:rPr>
      </w:pPr>
      <w:r>
        <w:rPr>
          <w:rFonts w:ascii="Arial" w:hAnsi="Arial" w:cs="Arial"/>
          <w:b/>
          <w:bCs/>
          <w:sz w:val="28"/>
          <w:szCs w:val="28"/>
        </w:rPr>
        <w:t>EXPLANATORY STATEMENT</w:t>
      </w:r>
    </w:p>
    <w:p w14:paraId="2AFC8214" w14:textId="77777777" w:rsidR="00C17FAB" w:rsidRDefault="00C17FAB">
      <w:pPr>
        <w:pStyle w:val="N-line3"/>
        <w:pBdr>
          <w:bottom w:val="none" w:sz="0" w:space="0" w:color="auto"/>
        </w:pBdr>
      </w:pPr>
    </w:p>
    <w:p w14:paraId="3416F403" w14:textId="77777777" w:rsidR="00C17FAB" w:rsidRDefault="00C17FAB">
      <w:pPr>
        <w:pStyle w:val="N-line3"/>
        <w:pBdr>
          <w:top w:val="single" w:sz="12" w:space="1" w:color="auto"/>
          <w:bottom w:val="none" w:sz="0" w:space="0" w:color="auto"/>
        </w:pBdr>
      </w:pPr>
    </w:p>
    <w:bookmarkEnd w:id="0"/>
    <w:p w14:paraId="54036300" w14:textId="77777777" w:rsidR="006D6540" w:rsidRDefault="006D6540" w:rsidP="006D6540">
      <w:r>
        <w:t xml:space="preserve">Section 48 (1) (b) of the </w:t>
      </w:r>
      <w:r w:rsidRPr="00D733D5">
        <w:rPr>
          <w:i/>
          <w:iCs/>
        </w:rPr>
        <w:t>Public Trustee and Guardian Act 1985</w:t>
      </w:r>
      <w:r>
        <w:t xml:space="preserve"> requires the Minister to appoint at least two members of the Public Trustee and Guardian Investment Board.</w:t>
      </w:r>
    </w:p>
    <w:p w14:paraId="20F9C813" w14:textId="77777777" w:rsidR="006D6540" w:rsidRDefault="006D6540" w:rsidP="006D6540"/>
    <w:p w14:paraId="297D48E9" w14:textId="77777777" w:rsidR="006D6540" w:rsidRDefault="006D6540" w:rsidP="006D6540">
      <w:r>
        <w:t>The function of the Public Trustee and Guardian Investment Board is to advise the public trustee and guardian on the investment of money that is from time to time in a common fund or otherwise in the hands of the public trustee and guardian and available for investment.</w:t>
      </w:r>
    </w:p>
    <w:p w14:paraId="4662DB7A" w14:textId="77777777" w:rsidR="006D6540" w:rsidRDefault="006D6540" w:rsidP="006D6540"/>
    <w:p w14:paraId="6F9BDA26" w14:textId="1A8B563F" w:rsidR="00C17FAB" w:rsidRDefault="006D6540" w:rsidP="006D6540">
      <w:r>
        <w:t xml:space="preserve">This instrument re-appoints </w:t>
      </w:r>
      <w:r w:rsidR="00213F2C" w:rsidRPr="00213F2C">
        <w:t>Michael White</w:t>
      </w:r>
      <w:r>
        <w:t xml:space="preserve"> as a Member of the Public Trustee and Guardian Investment Board.</w:t>
      </w:r>
    </w:p>
    <w:p w14:paraId="499DBBAB" w14:textId="77777777" w:rsidR="006D6540" w:rsidRDefault="006D6540" w:rsidP="006D6540"/>
    <w:p w14:paraId="02529149" w14:textId="30A78A2D" w:rsidR="00F64B3E" w:rsidRDefault="00F64B3E" w:rsidP="00F64B3E">
      <w:r>
        <w:t>Mr White is the Director, Analytics and Asset Allocation at Colonial First State and has a long professional work history across investment performance, financial advisory and investment roles. Mr White brings deep investment experience and a pragmatic and commercial oversight knowledge to his work.</w:t>
      </w:r>
    </w:p>
    <w:p w14:paraId="349C4C80" w14:textId="77777777" w:rsidR="00F64B3E" w:rsidRDefault="00F64B3E" w:rsidP="00F64B3E"/>
    <w:p w14:paraId="74A67D5D" w14:textId="6B2FA011" w:rsidR="006D6540" w:rsidRDefault="00F64B3E" w:rsidP="00F64B3E">
      <w:r>
        <w:t xml:space="preserve">Mr White has been a member of the Investment Board since 2021. </w:t>
      </w:r>
    </w:p>
    <w:p w14:paraId="2D56171C" w14:textId="77777777" w:rsidR="00BE5530" w:rsidRDefault="00BE5530" w:rsidP="006D6540"/>
    <w:p w14:paraId="2C73C365" w14:textId="77777777" w:rsidR="00621863" w:rsidRPr="007B2AAA" w:rsidRDefault="00621863" w:rsidP="00621863">
      <w:pPr>
        <w:pStyle w:val="pf0"/>
        <w:spacing w:before="0" w:beforeAutospacing="0"/>
      </w:pPr>
      <w:r w:rsidRPr="007B2AAA">
        <w:rPr>
          <w:rStyle w:val="cf01"/>
          <w:rFonts w:ascii="Times New Roman" w:hAnsi="Times New Roman" w:cs="Times New Roman"/>
          <w:sz w:val="24"/>
          <w:szCs w:val="24"/>
        </w:rPr>
        <w:t>The appointee is not an ACT Public Servant and this instrument makes an appointment to which the </w:t>
      </w:r>
      <w:r w:rsidRPr="007B2AAA">
        <w:rPr>
          <w:rStyle w:val="cf11"/>
          <w:rFonts w:ascii="Times New Roman" w:hAnsi="Times New Roman" w:cs="Times New Roman"/>
          <w:sz w:val="24"/>
          <w:szCs w:val="24"/>
        </w:rPr>
        <w:t>Legislation Act 2001</w:t>
      </w:r>
      <w:r w:rsidRPr="007B2AAA">
        <w:rPr>
          <w:rStyle w:val="cf01"/>
          <w:rFonts w:ascii="Times New Roman" w:hAnsi="Times New Roman" w:cs="Times New Roman"/>
          <w:sz w:val="24"/>
          <w:szCs w:val="24"/>
        </w:rPr>
        <w:t>, Division 19.3.3 applies. Accordingly, under s 229 of the Legislation Act, the appointment instrument is a disallowable instrument.</w:t>
      </w:r>
    </w:p>
    <w:p w14:paraId="45861332" w14:textId="701BCDC2" w:rsidR="00BE5530" w:rsidRDefault="00621863" w:rsidP="00621863">
      <w:r w:rsidRPr="007B2AAA">
        <w:rPr>
          <w:rStyle w:val="cf01"/>
          <w:rFonts w:ascii="Times New Roman" w:hAnsi="Times New Roman" w:cs="Times New Roman"/>
          <w:sz w:val="24"/>
          <w:szCs w:val="24"/>
        </w:rPr>
        <w:t xml:space="preserve">The </w:t>
      </w:r>
      <w:r>
        <w:rPr>
          <w:rStyle w:val="cf01"/>
          <w:rFonts w:ascii="Times New Roman" w:hAnsi="Times New Roman" w:cs="Times New Roman"/>
          <w:sz w:val="24"/>
          <w:szCs w:val="24"/>
        </w:rPr>
        <w:t>Standing Committee on Justice and Community Safety</w:t>
      </w:r>
      <w:r w:rsidRPr="007B2AAA">
        <w:rPr>
          <w:rStyle w:val="cf01"/>
          <w:rFonts w:ascii="Times New Roman" w:hAnsi="Times New Roman" w:cs="Times New Roman"/>
          <w:sz w:val="24"/>
          <w:szCs w:val="24"/>
        </w:rPr>
        <w:t xml:space="preserve"> was consulted in accordance with section 228 of the </w:t>
      </w:r>
      <w:r w:rsidRPr="007B2AAA">
        <w:rPr>
          <w:rStyle w:val="cf11"/>
          <w:rFonts w:ascii="Times New Roman" w:hAnsi="Times New Roman" w:cs="Times New Roman"/>
          <w:sz w:val="24"/>
          <w:szCs w:val="24"/>
        </w:rPr>
        <w:t>Legislation Act 2001 </w:t>
      </w:r>
      <w:r w:rsidRPr="007B2AAA">
        <w:rPr>
          <w:rStyle w:val="cf01"/>
          <w:rFonts w:ascii="Times New Roman" w:hAnsi="Times New Roman" w:cs="Times New Roman"/>
          <w:sz w:val="24"/>
          <w:szCs w:val="24"/>
        </w:rPr>
        <w:t>(Consultation with appropriate Assembly committee) and had no objections to the appointment.</w:t>
      </w:r>
      <w:r w:rsidR="00BE5530">
        <w:t xml:space="preserve"> </w:t>
      </w:r>
    </w:p>
    <w:sectPr w:rsidR="00BE5530" w:rsidSect="007346AC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2C88E1D" w14:textId="77777777" w:rsidR="00631E9C" w:rsidRDefault="00631E9C" w:rsidP="00C17FAB">
      <w:r>
        <w:separator/>
      </w:r>
    </w:p>
  </w:endnote>
  <w:endnote w:type="continuationSeparator" w:id="0">
    <w:p w14:paraId="4F47C5BA" w14:textId="77777777" w:rsidR="00631E9C" w:rsidRDefault="00631E9C" w:rsidP="00C17FA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AD0C624" w14:textId="77777777" w:rsidR="00DA3B00" w:rsidRDefault="00DA3B00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E0D1CD8" w14:textId="5648DD4D" w:rsidR="00DA3B00" w:rsidRPr="00204E7A" w:rsidRDefault="00204E7A" w:rsidP="00204E7A">
    <w:pPr>
      <w:pStyle w:val="Footer"/>
      <w:jc w:val="center"/>
      <w:rPr>
        <w:rFonts w:cs="Arial"/>
        <w:sz w:val="14"/>
      </w:rPr>
    </w:pPr>
    <w:r w:rsidRPr="00204E7A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5F207C7" w14:textId="77777777" w:rsidR="00DA3B00" w:rsidRDefault="00DA3B00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374887F" w14:textId="77777777" w:rsidR="00631E9C" w:rsidRDefault="00631E9C" w:rsidP="00C17FAB">
      <w:r>
        <w:separator/>
      </w:r>
    </w:p>
  </w:footnote>
  <w:footnote w:type="continuationSeparator" w:id="0">
    <w:p w14:paraId="5C553CA0" w14:textId="77777777" w:rsidR="00631E9C" w:rsidRDefault="00631E9C" w:rsidP="00C17FA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E701BF8" w14:textId="77777777" w:rsidR="00DA3B00" w:rsidRDefault="00DA3B00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8DB9FD2" w14:textId="77777777" w:rsidR="00DA3B00" w:rsidRDefault="00DA3B00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3A30EE2" w14:textId="77777777" w:rsidR="00DA3B00" w:rsidRDefault="00DA3B00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5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6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8" w15:restartNumberingAfterBreak="0">
    <w:nsid w:val="7A89259E"/>
    <w:multiLevelType w:val="multilevel"/>
    <w:tmpl w:val="A59A850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num w:numId="1" w16cid:durableId="1469661005">
    <w:abstractNumId w:val="2"/>
  </w:num>
  <w:num w:numId="2" w16cid:durableId="923339020">
    <w:abstractNumId w:val="0"/>
  </w:num>
  <w:num w:numId="3" w16cid:durableId="1535725620">
    <w:abstractNumId w:val="3"/>
  </w:num>
  <w:num w:numId="4" w16cid:durableId="1902056061">
    <w:abstractNumId w:val="6"/>
  </w:num>
  <w:num w:numId="5" w16cid:durableId="850145413">
    <w:abstractNumId w:val="7"/>
  </w:num>
  <w:num w:numId="6" w16cid:durableId="1145438720">
    <w:abstractNumId w:val="1"/>
  </w:num>
  <w:num w:numId="7" w16cid:durableId="1906448139">
    <w:abstractNumId w:val="4"/>
  </w:num>
  <w:num w:numId="8" w16cid:durableId="2095664446">
    <w:abstractNumId w:val="5"/>
  </w:num>
  <w:num w:numId="9" w16cid:durableId="568734168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D7C60"/>
    <w:rsid w:val="00204E7A"/>
    <w:rsid w:val="00213F2C"/>
    <w:rsid w:val="002D7C60"/>
    <w:rsid w:val="00427FC4"/>
    <w:rsid w:val="004B01DA"/>
    <w:rsid w:val="00621863"/>
    <w:rsid w:val="006308AA"/>
    <w:rsid w:val="00631E9C"/>
    <w:rsid w:val="006D6540"/>
    <w:rsid w:val="007346AC"/>
    <w:rsid w:val="00781814"/>
    <w:rsid w:val="009508A5"/>
    <w:rsid w:val="00B37F44"/>
    <w:rsid w:val="00BE5530"/>
    <w:rsid w:val="00C17FAB"/>
    <w:rsid w:val="00CE599C"/>
    <w:rsid w:val="00D54A52"/>
    <w:rsid w:val="00D733D5"/>
    <w:rsid w:val="00DA3B00"/>
    <w:rsid w:val="00F64B3E"/>
    <w:rsid w:val="00FD75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6853D3F2"/>
  <w15:docId w15:val="{B48BEE36-EDC5-49B2-B827-FE37BB74DEC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346AC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7346AC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7346AC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7346AC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7346AC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7346AC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7346AC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7346AC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7346AC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7346AC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7346AC"/>
    <w:pPr>
      <w:spacing w:before="180" w:after="60"/>
      <w:jc w:val="both"/>
    </w:pPr>
  </w:style>
  <w:style w:type="paragraph" w:customStyle="1" w:styleId="CoverActName">
    <w:name w:val="CoverActName"/>
    <w:basedOn w:val="Normal"/>
    <w:rsid w:val="007346AC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7346AC"/>
    <w:pPr>
      <w:tabs>
        <w:tab w:val="left" w:pos="2880"/>
      </w:tabs>
    </w:pPr>
  </w:style>
  <w:style w:type="paragraph" w:customStyle="1" w:styleId="Apara">
    <w:name w:val="A para"/>
    <w:basedOn w:val="Normal"/>
    <w:rsid w:val="007346AC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7346AC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7346AC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7346AC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7346AC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7346AC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7346AC"/>
  </w:style>
  <w:style w:type="paragraph" w:customStyle="1" w:styleId="CoverInForce">
    <w:name w:val="CoverInForce"/>
    <w:basedOn w:val="Normal"/>
    <w:rsid w:val="007346AC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7346AC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7346AC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7346AC"/>
  </w:style>
  <w:style w:type="paragraph" w:customStyle="1" w:styleId="Aparabullet">
    <w:name w:val="A para bullet"/>
    <w:basedOn w:val="Normal"/>
    <w:rsid w:val="007346AC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7346AC"/>
  </w:style>
  <w:style w:type="paragraph" w:styleId="TOC2">
    <w:name w:val="toc 2"/>
    <w:basedOn w:val="Normal"/>
    <w:next w:val="Normal"/>
    <w:autoRedefine/>
    <w:semiHidden/>
    <w:rsid w:val="007346AC"/>
    <w:pPr>
      <w:ind w:left="240"/>
    </w:pPr>
  </w:style>
  <w:style w:type="paragraph" w:styleId="TOC3">
    <w:name w:val="toc 3"/>
    <w:basedOn w:val="Normal"/>
    <w:next w:val="Normal"/>
    <w:autoRedefine/>
    <w:semiHidden/>
    <w:rsid w:val="007346AC"/>
    <w:pPr>
      <w:ind w:left="480"/>
    </w:pPr>
  </w:style>
  <w:style w:type="paragraph" w:styleId="TOC4">
    <w:name w:val="toc 4"/>
    <w:basedOn w:val="Normal"/>
    <w:next w:val="Normal"/>
    <w:autoRedefine/>
    <w:semiHidden/>
    <w:rsid w:val="007346AC"/>
    <w:pPr>
      <w:ind w:left="720"/>
    </w:pPr>
  </w:style>
  <w:style w:type="paragraph" w:styleId="TOC5">
    <w:name w:val="toc 5"/>
    <w:basedOn w:val="Normal"/>
    <w:next w:val="Normal"/>
    <w:autoRedefine/>
    <w:semiHidden/>
    <w:rsid w:val="007346AC"/>
    <w:pPr>
      <w:ind w:left="960"/>
    </w:pPr>
  </w:style>
  <w:style w:type="paragraph" w:styleId="TOC6">
    <w:name w:val="toc 6"/>
    <w:basedOn w:val="Normal"/>
    <w:next w:val="Normal"/>
    <w:autoRedefine/>
    <w:semiHidden/>
    <w:rsid w:val="007346AC"/>
    <w:pPr>
      <w:ind w:left="1200"/>
    </w:pPr>
  </w:style>
  <w:style w:type="paragraph" w:styleId="TOC7">
    <w:name w:val="toc 7"/>
    <w:basedOn w:val="Normal"/>
    <w:next w:val="Normal"/>
    <w:autoRedefine/>
    <w:semiHidden/>
    <w:rsid w:val="007346AC"/>
    <w:pPr>
      <w:ind w:left="1440"/>
    </w:pPr>
  </w:style>
  <w:style w:type="paragraph" w:styleId="TOC8">
    <w:name w:val="toc 8"/>
    <w:basedOn w:val="Normal"/>
    <w:next w:val="Normal"/>
    <w:autoRedefine/>
    <w:semiHidden/>
    <w:rsid w:val="007346AC"/>
    <w:pPr>
      <w:ind w:left="1680"/>
    </w:pPr>
  </w:style>
  <w:style w:type="paragraph" w:styleId="TOC9">
    <w:name w:val="toc 9"/>
    <w:basedOn w:val="Normal"/>
    <w:next w:val="Normal"/>
    <w:autoRedefine/>
    <w:semiHidden/>
    <w:rsid w:val="007346AC"/>
    <w:pPr>
      <w:ind w:left="1920"/>
    </w:pPr>
  </w:style>
  <w:style w:type="character" w:styleId="Hyperlink">
    <w:name w:val="Hyperlink"/>
    <w:basedOn w:val="DefaultParagraphFont"/>
    <w:semiHidden/>
    <w:rsid w:val="007346AC"/>
    <w:rPr>
      <w:color w:val="0000FF"/>
      <w:u w:val="single"/>
    </w:rPr>
  </w:style>
  <w:style w:type="paragraph" w:styleId="BodyTextIndent">
    <w:name w:val="Body Text Indent"/>
    <w:basedOn w:val="Normal"/>
    <w:semiHidden/>
    <w:rsid w:val="007346AC"/>
    <w:pPr>
      <w:spacing w:before="120" w:after="60"/>
      <w:ind w:left="709"/>
    </w:pPr>
  </w:style>
  <w:style w:type="paragraph" w:customStyle="1" w:styleId="Minister">
    <w:name w:val="Minister"/>
    <w:basedOn w:val="Normal"/>
    <w:rsid w:val="007346AC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7346AC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7346AC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7346AC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7346AC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7346AC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7346AC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7346AC"/>
  </w:style>
  <w:style w:type="character" w:styleId="CommentReference">
    <w:name w:val="annotation reference"/>
    <w:basedOn w:val="DefaultParagraphFont"/>
    <w:uiPriority w:val="99"/>
    <w:semiHidden/>
    <w:unhideWhenUsed/>
    <w:rsid w:val="00427FC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427FC4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427FC4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427FC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427FC4"/>
    <w:rPr>
      <w:b/>
      <w:bCs/>
      <w:lang w:eastAsia="en-US"/>
    </w:rPr>
  </w:style>
  <w:style w:type="paragraph" w:customStyle="1" w:styleId="pf0">
    <w:name w:val="pf0"/>
    <w:basedOn w:val="Normal"/>
    <w:rsid w:val="00621863"/>
    <w:pPr>
      <w:spacing w:before="100" w:beforeAutospacing="1" w:after="100" w:afterAutospacing="1"/>
    </w:pPr>
    <w:rPr>
      <w:szCs w:val="24"/>
      <w:lang w:eastAsia="en-AU"/>
    </w:rPr>
  </w:style>
  <w:style w:type="character" w:customStyle="1" w:styleId="cf01">
    <w:name w:val="cf01"/>
    <w:basedOn w:val="DefaultParagraphFont"/>
    <w:rsid w:val="00621863"/>
    <w:rPr>
      <w:rFonts w:ascii="Segoe UI" w:hAnsi="Segoe UI" w:cs="Segoe UI" w:hint="default"/>
      <w:sz w:val="18"/>
      <w:szCs w:val="18"/>
      <w:shd w:val="clear" w:color="auto" w:fill="FFFFFF"/>
    </w:rPr>
  </w:style>
  <w:style w:type="character" w:customStyle="1" w:styleId="cf11">
    <w:name w:val="cf11"/>
    <w:basedOn w:val="DefaultParagraphFont"/>
    <w:rsid w:val="00621863"/>
    <w:rPr>
      <w:rFonts w:ascii="Segoe UI" w:hAnsi="Segoe UI" w:cs="Segoe UI" w:hint="default"/>
      <w:i/>
      <w:iCs/>
      <w:sz w:val="18"/>
      <w:szCs w:val="18"/>
      <w:shd w:val="clear" w:color="auto" w:fill="FFFFFF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71323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204641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24984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26532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80145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230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515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251</Words>
  <Characters>1356</Characters>
  <Application>Microsoft Office Word</Application>
  <DocSecurity>0</DocSecurity>
  <Lines>35</Lines>
  <Paragraphs>13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1597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PCODCS</cp:lastModifiedBy>
  <cp:revision>4</cp:revision>
  <cp:lastPrinted>2006-03-31T04:28:00Z</cp:lastPrinted>
  <dcterms:created xsi:type="dcterms:W3CDTF">2024-07-17T00:01:00Z</dcterms:created>
  <dcterms:modified xsi:type="dcterms:W3CDTF">2024-07-17T00:01:00Z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69af8531-eb46-4968-8cb3-105d2f5ea87e_Enabled">
    <vt:lpwstr>true</vt:lpwstr>
  </property>
  <property fmtid="{D5CDD505-2E9C-101B-9397-08002B2CF9AE}" pid="3" name="MSIP_Label_69af8531-eb46-4968-8cb3-105d2f5ea87e_SetDate">
    <vt:lpwstr>2024-06-14T05:26:12Z</vt:lpwstr>
  </property>
  <property fmtid="{D5CDD505-2E9C-101B-9397-08002B2CF9AE}" pid="4" name="MSIP_Label_69af8531-eb46-4968-8cb3-105d2f5ea87e_Method">
    <vt:lpwstr>Standard</vt:lpwstr>
  </property>
  <property fmtid="{D5CDD505-2E9C-101B-9397-08002B2CF9AE}" pid="5" name="MSIP_Label_69af8531-eb46-4968-8cb3-105d2f5ea87e_Name">
    <vt:lpwstr>Official - No Marking</vt:lpwstr>
  </property>
  <property fmtid="{D5CDD505-2E9C-101B-9397-08002B2CF9AE}" pid="6" name="MSIP_Label_69af8531-eb46-4968-8cb3-105d2f5ea87e_SiteId">
    <vt:lpwstr>b46c1908-0334-4236-b978-585ee88e4199</vt:lpwstr>
  </property>
  <property fmtid="{D5CDD505-2E9C-101B-9397-08002B2CF9AE}" pid="7" name="MSIP_Label_69af8531-eb46-4968-8cb3-105d2f5ea87e_ActionId">
    <vt:lpwstr>df644b64-4558-47ff-8347-fc96b984e433</vt:lpwstr>
  </property>
  <property fmtid="{D5CDD505-2E9C-101B-9397-08002B2CF9AE}" pid="8" name="MSIP_Label_69af8531-eb46-4968-8cb3-105d2f5ea87e_ContentBits">
    <vt:lpwstr>0</vt:lpwstr>
  </property>
</Properties>
</file>