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E14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F3D5D74" w14:textId="77777777" w:rsidR="00323D08" w:rsidRDefault="00323D08" w:rsidP="00323D08">
      <w:pPr>
        <w:pStyle w:val="Billname"/>
        <w:spacing w:before="700"/>
      </w:pPr>
      <w:r w:rsidRPr="00BD5359">
        <w:t>Energy Efficiency (Cost of Living) Improvement (Priority Households) Determination</w:t>
      </w:r>
      <w:r>
        <w:t xml:space="preserve"> 2024</w:t>
      </w:r>
    </w:p>
    <w:p w14:paraId="093E2C20" w14:textId="4337F44C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23D08">
        <w:rPr>
          <w:rFonts w:ascii="Arial" w:hAnsi="Arial" w:cs="Arial"/>
          <w:b/>
          <w:bCs/>
        </w:rPr>
        <w:t>2024</w:t>
      </w:r>
      <w:r w:rsidR="00C17FAB">
        <w:rPr>
          <w:rFonts w:ascii="Arial" w:hAnsi="Arial" w:cs="Arial"/>
          <w:b/>
          <w:bCs/>
        </w:rPr>
        <w:t>–</w:t>
      </w:r>
      <w:r w:rsidR="005246AA">
        <w:rPr>
          <w:rFonts w:ascii="Arial" w:hAnsi="Arial" w:cs="Arial"/>
          <w:b/>
          <w:bCs/>
        </w:rPr>
        <w:t>268</w:t>
      </w:r>
    </w:p>
    <w:p w14:paraId="312F8EE2" w14:textId="0C68A540" w:rsidR="00C17FAB" w:rsidRDefault="00C17FAB" w:rsidP="00DA3B00">
      <w:pPr>
        <w:pStyle w:val="madeunder"/>
        <w:spacing w:before="300" w:after="0"/>
      </w:pPr>
      <w:r>
        <w:t>made under the</w:t>
      </w:r>
    </w:p>
    <w:p w14:paraId="63772EEC" w14:textId="77777777" w:rsidR="00323D08" w:rsidRDefault="00323D08" w:rsidP="00323D08">
      <w:pPr>
        <w:pStyle w:val="CoverActName"/>
        <w:spacing w:before="320" w:after="0"/>
        <w:rPr>
          <w:rFonts w:cs="Arial"/>
          <w:sz w:val="20"/>
        </w:rPr>
      </w:pPr>
      <w:r w:rsidRPr="00BD5359">
        <w:rPr>
          <w:rFonts w:cs="Arial"/>
          <w:sz w:val="20"/>
        </w:rPr>
        <w:t>Energy Efficiency (Cost of Living) Improvement Act 2012, s7A (Priority households)</w:t>
      </w:r>
    </w:p>
    <w:p w14:paraId="1501996D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967A8A3" w14:textId="77777777" w:rsidR="00C17FAB" w:rsidRDefault="00C17FAB">
      <w:pPr>
        <w:pStyle w:val="N-line3"/>
        <w:pBdr>
          <w:bottom w:val="none" w:sz="0" w:space="0" w:color="auto"/>
        </w:pBdr>
      </w:pPr>
    </w:p>
    <w:p w14:paraId="18BD5E58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D688DA7" w14:textId="253A7550" w:rsidR="0016381A" w:rsidRDefault="0016381A" w:rsidP="0016381A">
      <w:pPr>
        <w:pStyle w:val="default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Introduction</w:t>
      </w:r>
    </w:p>
    <w:p w14:paraId="2F0F3D53" w14:textId="0D0EB672" w:rsidR="0016381A" w:rsidRDefault="0016381A" w:rsidP="0016381A">
      <w:pPr>
        <w:pStyle w:val="default"/>
        <w:shd w:val="clear" w:color="auto" w:fill="FFFFFF"/>
        <w:spacing w:before="120" w:beforeAutospacing="0" w:after="12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This explanatory statement relates to the </w:t>
      </w:r>
      <w:r w:rsidRPr="00233817">
        <w:rPr>
          <w:i/>
          <w:iCs/>
          <w:color w:val="000000"/>
        </w:rPr>
        <w:t>Energy Efficiency (Cost of Living) Improvement (Priority Household) Determination 2024</w:t>
      </w:r>
      <w:r>
        <w:rPr>
          <w:color w:val="000000"/>
        </w:rPr>
        <w:t xml:space="preserve"> (the </w:t>
      </w:r>
      <w:r w:rsidRPr="00233817">
        <w:rPr>
          <w:b/>
          <w:bCs/>
          <w:i/>
          <w:iCs/>
          <w:color w:val="000000"/>
        </w:rPr>
        <w:t>Determination</w:t>
      </w:r>
      <w:r>
        <w:rPr>
          <w:color w:val="000000"/>
        </w:rPr>
        <w:t>). It has been prepared to assist the reader of the Determination. It does not form part of the Determination and has not been endorsed by the Assembly.</w:t>
      </w:r>
    </w:p>
    <w:p w14:paraId="76B06427" w14:textId="53801599" w:rsidR="0016381A" w:rsidRDefault="0016381A" w:rsidP="0016381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This explanatory statement clarifies the intent of the Determination and must be read in conjunction with the Determination. It is not, and is not intended to be, a comprehensive description of the Determination. </w:t>
      </w:r>
    </w:p>
    <w:p w14:paraId="3E32EDE3" w14:textId="77777777" w:rsidR="0016381A" w:rsidRPr="00521790" w:rsidRDefault="0016381A" w:rsidP="00521790">
      <w:pPr>
        <w:pStyle w:val="default"/>
        <w:shd w:val="clear" w:color="auto" w:fill="FFFFFF"/>
        <w:spacing w:before="120" w:beforeAutospacing="0" w:after="120" w:afterAutospacing="0"/>
        <w:rPr>
          <w:b/>
          <w:bCs/>
          <w:color w:val="000000"/>
        </w:rPr>
      </w:pPr>
      <w:r>
        <w:rPr>
          <w:b/>
          <w:bCs/>
          <w:color w:val="000000"/>
        </w:rPr>
        <w:t>Overview</w:t>
      </w:r>
    </w:p>
    <w:p w14:paraId="315BC4C5" w14:textId="5F3389EA" w:rsidR="0016381A" w:rsidRDefault="0016381A" w:rsidP="0016381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The</w:t>
      </w:r>
      <w:r w:rsidR="0007507F">
        <w:rPr>
          <w:color w:val="000000"/>
        </w:rPr>
        <w:t xml:space="preserve"> </w:t>
      </w:r>
      <w:r>
        <w:rPr>
          <w:i/>
          <w:iCs/>
          <w:color w:val="000000"/>
        </w:rPr>
        <w:t>Energy Efficiency (Cost of Living) Improvement Act 2012</w:t>
      </w:r>
      <w:r w:rsidR="0007507F">
        <w:rPr>
          <w:i/>
          <w:iCs/>
          <w:color w:val="000000"/>
        </w:rPr>
        <w:t xml:space="preserve"> </w:t>
      </w:r>
      <w:r>
        <w:rPr>
          <w:color w:val="000000"/>
        </w:rPr>
        <w:t xml:space="preserve">(the </w:t>
      </w:r>
      <w:r w:rsidRPr="00233817">
        <w:rPr>
          <w:b/>
          <w:bCs/>
          <w:i/>
          <w:iCs/>
          <w:color w:val="000000"/>
        </w:rPr>
        <w:t>Act</w:t>
      </w:r>
      <w:r>
        <w:rPr>
          <w:color w:val="000000"/>
        </w:rPr>
        <w:t>)</w:t>
      </w:r>
      <w:r w:rsidR="0007507F">
        <w:rPr>
          <w:color w:val="000000"/>
        </w:rPr>
        <w:t xml:space="preserve"> </w:t>
      </w:r>
      <w:r>
        <w:rPr>
          <w:color w:val="000000"/>
        </w:rPr>
        <w:t xml:space="preserve">requires electricity retailers to achieve energy savings in households and small-to-medium enterprises. It is a key mechanism for delivering on the ACT’s emission reduction targets by helping households and businesses reduce emissions and energy costs. The </w:t>
      </w:r>
      <w:r w:rsidR="001F6FEA">
        <w:rPr>
          <w:color w:val="000000"/>
        </w:rPr>
        <w:t>o</w:t>
      </w:r>
      <w:r>
        <w:rPr>
          <w:color w:val="000000"/>
        </w:rPr>
        <w:t>bjects of the Act are to:-</w:t>
      </w:r>
    </w:p>
    <w:p w14:paraId="28987DAE" w14:textId="77777777" w:rsidR="0016381A" w:rsidRDefault="0016381A" w:rsidP="0016381A">
      <w:pPr>
        <w:pStyle w:val="listparagraph"/>
        <w:shd w:val="clear" w:color="auto" w:fill="FFFFFF"/>
        <w:spacing w:before="0" w:beforeAutospacing="0" w:after="0" w:afterAutospacing="0"/>
        <w:ind w:left="720" w:hanging="360"/>
        <w:rPr>
          <w:color w:val="000000"/>
        </w:rPr>
      </w:pPr>
      <w:r>
        <w:rPr>
          <w:color w:val="000000"/>
        </w:rPr>
        <w:t>a)</w:t>
      </w:r>
      <w:r>
        <w:rPr>
          <w:color w:val="000000"/>
          <w:sz w:val="14"/>
          <w:szCs w:val="14"/>
        </w:rPr>
        <w:t>      </w:t>
      </w:r>
      <w:r>
        <w:rPr>
          <w:color w:val="000000"/>
        </w:rPr>
        <w:t>encourage the use of energy efficiency;</w:t>
      </w:r>
    </w:p>
    <w:p w14:paraId="7D1A33F4" w14:textId="77777777" w:rsidR="0016381A" w:rsidRDefault="0016381A" w:rsidP="0016381A">
      <w:pPr>
        <w:pStyle w:val="listparagraph"/>
        <w:shd w:val="clear" w:color="auto" w:fill="FFFFFF"/>
        <w:spacing w:before="0" w:beforeAutospacing="0" w:after="0" w:afterAutospacing="0"/>
        <w:ind w:left="720" w:hanging="360"/>
        <w:rPr>
          <w:color w:val="000000"/>
        </w:rPr>
      </w:pPr>
      <w:r>
        <w:rPr>
          <w:color w:val="000000"/>
        </w:rPr>
        <w:t>b)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reduce greenhouse gas emissions associated with energy use in the Territory;</w:t>
      </w:r>
    </w:p>
    <w:p w14:paraId="71481D3C" w14:textId="77777777" w:rsidR="0016381A" w:rsidRDefault="0016381A" w:rsidP="0016381A">
      <w:pPr>
        <w:pStyle w:val="listparagraph"/>
        <w:shd w:val="clear" w:color="auto" w:fill="FFFFFF"/>
        <w:spacing w:before="0" w:beforeAutospacing="0" w:after="0" w:afterAutospacing="0"/>
        <w:ind w:left="720" w:hanging="360"/>
        <w:rPr>
          <w:color w:val="000000"/>
        </w:rPr>
      </w:pPr>
      <w:r>
        <w:rPr>
          <w:color w:val="000000"/>
        </w:rPr>
        <w:t>c)</w:t>
      </w:r>
      <w:r>
        <w:rPr>
          <w:color w:val="000000"/>
          <w:sz w:val="14"/>
          <w:szCs w:val="14"/>
        </w:rPr>
        <w:t>      </w:t>
      </w:r>
      <w:r>
        <w:rPr>
          <w:color w:val="000000"/>
        </w:rPr>
        <w:t>reduce household and business energy use and costs; and</w:t>
      </w:r>
    </w:p>
    <w:p w14:paraId="769681E7" w14:textId="77777777" w:rsidR="0016381A" w:rsidRDefault="0016381A" w:rsidP="0016381A">
      <w:pPr>
        <w:pStyle w:val="listparagraph"/>
        <w:shd w:val="clear" w:color="auto" w:fill="FFFFFF"/>
        <w:spacing w:before="0" w:beforeAutospacing="0" w:after="0" w:afterAutospacing="0"/>
        <w:ind w:left="720" w:hanging="360"/>
        <w:rPr>
          <w:color w:val="000000"/>
        </w:rPr>
      </w:pPr>
      <w:r>
        <w:rPr>
          <w:color w:val="000000"/>
        </w:rPr>
        <w:t>d)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increase opportunities for priority households to reduce energy use and costs. </w:t>
      </w:r>
    </w:p>
    <w:p w14:paraId="01FE4B42" w14:textId="1D5C30E2" w:rsidR="0016381A" w:rsidRDefault="0016381A" w:rsidP="0016381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1399DA94" w14:textId="527FB57D" w:rsidR="0016381A" w:rsidRPr="00C53342" w:rsidRDefault="0016381A" w:rsidP="0016381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Section 7A of the </w:t>
      </w:r>
      <w:r w:rsidRPr="00C53342">
        <w:rPr>
          <w:color w:val="000000"/>
        </w:rPr>
        <w:t>Act</w:t>
      </w:r>
      <w:r w:rsidR="007F4D98">
        <w:rPr>
          <w:color w:val="000000"/>
        </w:rPr>
        <w:t xml:space="preserve"> provides</w:t>
      </w:r>
      <w:r w:rsidRPr="00C53342">
        <w:rPr>
          <w:color w:val="000000"/>
        </w:rPr>
        <w:t xml:space="preserve"> the Minister must determine priority households for the Act. </w:t>
      </w:r>
    </w:p>
    <w:p w14:paraId="10630AB5" w14:textId="77777777" w:rsidR="0016381A" w:rsidRPr="00C53342" w:rsidRDefault="0016381A" w:rsidP="0016381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C53342">
        <w:rPr>
          <w:color w:val="000000"/>
        </w:rPr>
        <w:t> </w:t>
      </w:r>
    </w:p>
    <w:p w14:paraId="429E68F1" w14:textId="724E068D" w:rsidR="0016381A" w:rsidRPr="00C53342" w:rsidRDefault="0016381A" w:rsidP="0016381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E0D4C">
        <w:rPr>
          <w:color w:val="000000"/>
        </w:rPr>
        <w:t xml:space="preserve">Defining priority households in a </w:t>
      </w:r>
      <w:r w:rsidR="009E0D4C" w:rsidRPr="00233817">
        <w:rPr>
          <w:color w:val="000000"/>
        </w:rPr>
        <w:t>d</w:t>
      </w:r>
      <w:r w:rsidRPr="009E0D4C">
        <w:rPr>
          <w:color w:val="000000"/>
        </w:rPr>
        <w:t>isallowable</w:t>
      </w:r>
      <w:r w:rsidR="007F4D98">
        <w:rPr>
          <w:color w:val="000000"/>
        </w:rPr>
        <w:t xml:space="preserve"> </w:t>
      </w:r>
      <w:r w:rsidR="009E0D4C" w:rsidRPr="00233817">
        <w:rPr>
          <w:color w:val="000000"/>
        </w:rPr>
        <w:t>i</w:t>
      </w:r>
      <w:r w:rsidRPr="009E0D4C">
        <w:rPr>
          <w:color w:val="000000"/>
        </w:rPr>
        <w:t>nstrument</w:t>
      </w:r>
      <w:r w:rsidR="007F4D98">
        <w:rPr>
          <w:color w:val="000000"/>
        </w:rPr>
        <w:t xml:space="preserve"> </w:t>
      </w:r>
      <w:r w:rsidRPr="009E0D4C">
        <w:rPr>
          <w:color w:val="000000"/>
        </w:rPr>
        <w:t>provides</w:t>
      </w:r>
      <w:r w:rsidR="007F4D98">
        <w:rPr>
          <w:color w:val="000000"/>
        </w:rPr>
        <w:t xml:space="preserve"> </w:t>
      </w:r>
      <w:r w:rsidRPr="00C53342">
        <w:rPr>
          <w:color w:val="000000"/>
        </w:rPr>
        <w:t>th</w:t>
      </w:r>
      <w:r w:rsidR="0057131F">
        <w:rPr>
          <w:color w:val="000000"/>
        </w:rPr>
        <w:t>e</w:t>
      </w:r>
      <w:r w:rsidR="007F4D98">
        <w:rPr>
          <w:color w:val="000000"/>
        </w:rPr>
        <w:t xml:space="preserve"> </w:t>
      </w:r>
      <w:r w:rsidRPr="00C53342">
        <w:rPr>
          <w:color w:val="000000"/>
        </w:rPr>
        <w:t>Minister</w:t>
      </w:r>
      <w:r w:rsidR="0057131F">
        <w:rPr>
          <w:color w:val="000000"/>
        </w:rPr>
        <w:t xml:space="preserve"> </w:t>
      </w:r>
      <w:r w:rsidR="007F4D98">
        <w:rPr>
          <w:color w:val="000000"/>
        </w:rPr>
        <w:t xml:space="preserve"> </w:t>
      </w:r>
      <w:r w:rsidRPr="00C53342">
        <w:rPr>
          <w:color w:val="000000"/>
        </w:rPr>
        <w:t>flexibility to review, add or remove eligible classes of households to the scheme</w:t>
      </w:r>
      <w:r w:rsidR="007F4D98">
        <w:rPr>
          <w:color w:val="000000"/>
        </w:rPr>
        <w:t>. This allows the ability to</w:t>
      </w:r>
      <w:r w:rsidRPr="00C53342">
        <w:rPr>
          <w:color w:val="000000"/>
        </w:rPr>
        <w:t xml:space="preserve"> respond to community feedback in a timely manner</w:t>
      </w:r>
      <w:r w:rsidR="007F4D98">
        <w:rPr>
          <w:color w:val="000000"/>
        </w:rPr>
        <w:t xml:space="preserve"> and</w:t>
      </w:r>
      <w:r w:rsidRPr="00C53342">
        <w:rPr>
          <w:color w:val="000000"/>
        </w:rPr>
        <w:t> </w:t>
      </w:r>
      <w:r w:rsidR="007F4D98" w:rsidRPr="00C53342">
        <w:rPr>
          <w:color w:val="000000"/>
        </w:rPr>
        <w:t>to</w:t>
      </w:r>
      <w:r w:rsidRPr="00C53342">
        <w:rPr>
          <w:color w:val="000000"/>
        </w:rPr>
        <w:t xml:space="preserve"> increase opportunities to reduce energy use</w:t>
      </w:r>
      <w:r w:rsidR="007F4D98">
        <w:rPr>
          <w:color w:val="000000"/>
        </w:rPr>
        <w:t xml:space="preserve"> as they arise</w:t>
      </w:r>
      <w:r w:rsidRPr="00C53342">
        <w:rPr>
          <w:color w:val="000000"/>
        </w:rPr>
        <w:t>.</w:t>
      </w:r>
      <w:r w:rsidR="007F4D98">
        <w:rPr>
          <w:color w:val="000000"/>
        </w:rPr>
        <w:t xml:space="preserve"> </w:t>
      </w:r>
      <w:r w:rsidRPr="00C53342">
        <w:rPr>
          <w:color w:val="000000"/>
        </w:rPr>
        <w:t>The Determination supports the operation of the Energy Efficiency Improvement Scheme (EEIS).</w:t>
      </w:r>
    </w:p>
    <w:p w14:paraId="2C45FD22" w14:textId="5196F13C" w:rsidR="00521790" w:rsidRDefault="00521790" w:rsidP="0016381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02260815" w14:textId="28975290" w:rsidR="00C53342" w:rsidRPr="0057131F" w:rsidRDefault="00C53342" w:rsidP="00281AD9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C53342">
        <w:rPr>
          <w:color w:val="000000"/>
        </w:rPr>
        <w:lastRenderedPageBreak/>
        <w:t xml:space="preserve">Two additional classes of priority households are added to the priority households </w:t>
      </w:r>
      <w:r w:rsidRPr="0057131F">
        <w:rPr>
          <w:color w:val="000000"/>
        </w:rPr>
        <w:t xml:space="preserve">prescribed in Schedule 1 of the </w:t>
      </w:r>
      <w:r w:rsidR="001F6FEA">
        <w:rPr>
          <w:color w:val="000000"/>
        </w:rPr>
        <w:t>Determination</w:t>
      </w:r>
      <w:r w:rsidR="007F4D98">
        <w:rPr>
          <w:color w:val="000000"/>
        </w:rPr>
        <w:t xml:space="preserve"> as follows</w:t>
      </w:r>
      <w:r w:rsidR="00583056" w:rsidRPr="0057131F">
        <w:rPr>
          <w:color w:val="000000"/>
        </w:rPr>
        <w:t>:</w:t>
      </w:r>
    </w:p>
    <w:p w14:paraId="6D6AF8B6" w14:textId="3FA25213" w:rsidR="00C53342" w:rsidRPr="0057131F" w:rsidRDefault="003455F6" w:rsidP="00281AD9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57131F">
        <w:rPr>
          <w:color w:val="000000"/>
        </w:rPr>
        <w:t>s</w:t>
      </w:r>
      <w:r w:rsidR="00C53342" w:rsidRPr="0057131F">
        <w:rPr>
          <w:color w:val="000000"/>
        </w:rPr>
        <w:t>1(j)</w:t>
      </w:r>
      <w:r w:rsidR="007F4D98">
        <w:rPr>
          <w:color w:val="000000"/>
        </w:rPr>
        <w:t xml:space="preserve"> -</w:t>
      </w:r>
      <w:r w:rsidR="00C53342" w:rsidRPr="0057131F">
        <w:rPr>
          <w:color w:val="000000"/>
        </w:rPr>
        <w:t xml:space="preserve"> people actively participating in an energy retailer’s payment plan </w:t>
      </w:r>
      <w:r w:rsidR="00C53342" w:rsidRPr="0057131F">
        <w:t xml:space="preserve">(offered and applied as per section 50 of the </w:t>
      </w:r>
      <w:r w:rsidR="00C53342" w:rsidRPr="00233817">
        <w:rPr>
          <w:i/>
          <w:iCs/>
        </w:rPr>
        <w:t>National Energy Retail</w:t>
      </w:r>
      <w:r w:rsidR="00965AE8" w:rsidRPr="00233817">
        <w:rPr>
          <w:i/>
          <w:iCs/>
        </w:rPr>
        <w:t xml:space="preserve"> </w:t>
      </w:r>
      <w:r w:rsidR="00C53342" w:rsidRPr="00233817">
        <w:rPr>
          <w:i/>
          <w:iCs/>
        </w:rPr>
        <w:t>Law</w:t>
      </w:r>
      <w:r w:rsidR="00965AE8" w:rsidRPr="00233817">
        <w:rPr>
          <w:i/>
          <w:iCs/>
        </w:rPr>
        <w:t> (ACT)</w:t>
      </w:r>
      <w:r w:rsidR="00C53342" w:rsidRPr="0057131F">
        <w:t xml:space="preserve">). </w:t>
      </w:r>
      <w:r w:rsidR="00281AD9" w:rsidRPr="0057131F">
        <w:t>This section covers payment plans being offered to hardship customers and other residential customers experiencing payment difficult</w:t>
      </w:r>
      <w:r w:rsidRPr="0057131F">
        <w:t>ies</w:t>
      </w:r>
      <w:r w:rsidR="00281AD9" w:rsidRPr="0057131F">
        <w:t>.</w:t>
      </w:r>
    </w:p>
    <w:p w14:paraId="48DD9F87" w14:textId="6851D2ED" w:rsidR="00521790" w:rsidRPr="00D81E28" w:rsidRDefault="003455F6" w:rsidP="0071568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31F">
        <w:rPr>
          <w:color w:val="000000"/>
        </w:rPr>
        <w:t xml:space="preserve">s1(k) </w:t>
      </w:r>
      <w:r w:rsidR="007F4D98">
        <w:rPr>
          <w:color w:val="000000"/>
        </w:rPr>
        <w:t xml:space="preserve">- </w:t>
      </w:r>
      <w:r w:rsidRPr="0057131F">
        <w:rPr>
          <w:color w:val="000000"/>
        </w:rPr>
        <w:t>people with a residential tenancy agreement with the landlord of the premises</w:t>
      </w:r>
      <w:r w:rsidRPr="00D81E28">
        <w:rPr>
          <w:color w:val="000000"/>
        </w:rPr>
        <w:t xml:space="preserve"> and the rent for the premises is $660 or less per week. </w:t>
      </w:r>
      <w:r w:rsidR="00D81E28" w:rsidRPr="00D81E28">
        <w:rPr>
          <w:color w:val="000000"/>
        </w:rPr>
        <w:t>This section covers all rental properties that fall into the category of being considered affordable, under the ACT Housing Strategy, at the top of the ACT 2</w:t>
      </w:r>
      <w:r w:rsidR="00D81E28" w:rsidRPr="00D81E28">
        <w:rPr>
          <w:color w:val="000000"/>
          <w:vertAlign w:val="superscript"/>
        </w:rPr>
        <w:t>nd</w:t>
      </w:r>
      <w:r w:rsidR="00D81E28" w:rsidRPr="00D81E28">
        <w:rPr>
          <w:color w:val="000000"/>
        </w:rPr>
        <w:t xml:space="preserve"> income quintile based on figures to June 2023.</w:t>
      </w:r>
    </w:p>
    <w:p w14:paraId="239778F2" w14:textId="3C502C8B" w:rsidR="0016381A" w:rsidRDefault="0016381A" w:rsidP="0016381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6DE29561" w14:textId="77777777" w:rsidR="00B65D22" w:rsidRDefault="00B65D22" w:rsidP="0016381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D4031D4" w14:textId="77777777" w:rsidR="00172B68" w:rsidRPr="00614179" w:rsidRDefault="00172B68" w:rsidP="00172B68">
      <w:pPr>
        <w:pStyle w:val="BodyText"/>
        <w:spacing w:before="116" w:after="0"/>
        <w:ind w:right="157"/>
        <w:rPr>
          <w:b/>
        </w:rPr>
      </w:pPr>
      <w:bookmarkStart w:id="1" w:name="_Hlk170200248"/>
      <w:r>
        <w:rPr>
          <w:b/>
        </w:rPr>
        <w:t>Human Rights</w:t>
      </w:r>
    </w:p>
    <w:p w14:paraId="42C464A9" w14:textId="77777777" w:rsidR="00172B68" w:rsidRDefault="00172B68" w:rsidP="00E655C8">
      <w:pPr>
        <w:pStyle w:val="BodyText"/>
        <w:keepNext/>
        <w:keepLines/>
        <w:spacing w:after="0"/>
        <w:ind w:right="113"/>
      </w:pPr>
      <w:r w:rsidRPr="002A3ED2">
        <w:t xml:space="preserve">This Determination does not engage human rights under the </w:t>
      </w:r>
      <w:r w:rsidRPr="002A3ED2">
        <w:rPr>
          <w:i/>
          <w:iCs/>
        </w:rPr>
        <w:t>Human Rights Act 2004</w:t>
      </w:r>
      <w:r w:rsidRPr="002A3ED2">
        <w:t>.</w:t>
      </w:r>
    </w:p>
    <w:p w14:paraId="1332C235" w14:textId="77777777" w:rsidR="00E655C8" w:rsidRDefault="00E655C8" w:rsidP="00E655C8">
      <w:pPr>
        <w:pStyle w:val="BodyText"/>
        <w:keepNext/>
        <w:keepLines/>
        <w:spacing w:after="0"/>
        <w:ind w:right="113"/>
      </w:pPr>
    </w:p>
    <w:p w14:paraId="286DA4C6" w14:textId="77777777" w:rsidR="00B65D22" w:rsidRDefault="00B65D22" w:rsidP="00B65D22">
      <w:pPr>
        <w:rPr>
          <w:b/>
          <w:bCs/>
          <w:szCs w:val="24"/>
        </w:rPr>
      </w:pPr>
      <w:r>
        <w:rPr>
          <w:b/>
          <w:bCs/>
        </w:rPr>
        <w:t>Regulatory Impact Statement (RIS)</w:t>
      </w:r>
    </w:p>
    <w:p w14:paraId="11570158" w14:textId="5935F493" w:rsidR="00B65D22" w:rsidRPr="00B65D22" w:rsidRDefault="00B65D22" w:rsidP="00B65D22">
      <w:pPr>
        <w:rPr>
          <w:rFonts w:ascii="Calibri" w:hAnsi="Calibri" w:cs="Calibri"/>
          <w:sz w:val="22"/>
          <w:szCs w:val="22"/>
        </w:rPr>
      </w:pPr>
      <w:bookmarkStart w:id="2" w:name="_Hlk170201869"/>
      <w:bookmarkEnd w:id="1"/>
      <w:r>
        <w:t xml:space="preserve">Section 34 of the </w:t>
      </w:r>
      <w:r>
        <w:rPr>
          <w:i/>
          <w:iCs/>
        </w:rPr>
        <w:t>Legislation Act 2001</w:t>
      </w:r>
      <w:r>
        <w:t xml:space="preserve"> </w:t>
      </w:r>
      <w:r w:rsidR="00050216">
        <w:t xml:space="preserve">(the </w:t>
      </w:r>
      <w:r w:rsidR="00050216" w:rsidRPr="00233817">
        <w:rPr>
          <w:b/>
          <w:bCs/>
          <w:i/>
          <w:iCs/>
        </w:rPr>
        <w:t>Legislation Act</w:t>
      </w:r>
      <w:r w:rsidR="00050216">
        <w:t xml:space="preserve">) </w:t>
      </w:r>
      <w:r>
        <w:t>provides that if a proposed subordinate law or disallowable instrument (the proposed law) is likely to impose appreciable costs on the community, or a part of the community, then, before the proposed law is made, the Minister administering the authorising law must arrange for a RIS to be prepared for the proposed law.</w:t>
      </w:r>
      <w:bookmarkEnd w:id="2"/>
      <w:r>
        <w:t xml:space="preserve"> </w:t>
      </w:r>
    </w:p>
    <w:p w14:paraId="51DB5666" w14:textId="77777777" w:rsidR="00B65D22" w:rsidRDefault="00B65D22" w:rsidP="00B65D22"/>
    <w:p w14:paraId="427DE85E" w14:textId="6ECD3EFB" w:rsidR="00B65D22" w:rsidRPr="003C4E16" w:rsidRDefault="00B65D22" w:rsidP="003C4E16">
      <w:pPr>
        <w:rPr>
          <w:szCs w:val="24"/>
        </w:rPr>
      </w:pPr>
      <w:r>
        <w:t xml:space="preserve">A RIS is not </w:t>
      </w:r>
      <w:r w:rsidRPr="009E3D11">
        <w:t xml:space="preserve">required in this instance as this instrument does not impose appreciable costs on the community or part of the community. </w:t>
      </w:r>
      <w:r w:rsidR="007F4D98">
        <w:t>This Determination amends the previous determination by adding</w:t>
      </w:r>
      <w:r w:rsidR="009E3D11" w:rsidRPr="009E3D11">
        <w:t xml:space="preserve"> two new classes </w:t>
      </w:r>
      <w:r w:rsidR="007F4D98">
        <w:t xml:space="preserve">of priority household. This </w:t>
      </w:r>
      <w:r w:rsidR="009E3D11" w:rsidRPr="009E3D11">
        <w:t>has the effect of increasing the size of the priority household cohort, which will make it easier for obligated parties to continue to meet their obligations under the Act</w:t>
      </w:r>
      <w:r w:rsidR="009E3D11" w:rsidRPr="009E3D11">
        <w:rPr>
          <w:i/>
          <w:iCs/>
        </w:rPr>
        <w:t>.</w:t>
      </w:r>
      <w:r w:rsidR="009E3D11">
        <w:rPr>
          <w:i/>
          <w:iCs/>
        </w:rPr>
        <w:t xml:space="preserve"> </w:t>
      </w:r>
      <w:r w:rsidRPr="009E3D11">
        <w:t>Further</w:t>
      </w:r>
      <w:r>
        <w:t xml:space="preserve">, a RIS is not required because it does not adversely affect rights or impose liabilities on a person (section 36 (1) (b) of the </w:t>
      </w:r>
      <w:r w:rsidRPr="00050216">
        <w:t>Legislation Act</w:t>
      </w:r>
      <w:r>
        <w:t xml:space="preserve">). </w:t>
      </w:r>
    </w:p>
    <w:p w14:paraId="0553A515" w14:textId="77777777" w:rsidR="003C4E16" w:rsidRDefault="003C4E16" w:rsidP="003C4E16"/>
    <w:p w14:paraId="5BD35CD6" w14:textId="37A91CD9" w:rsidR="003C4E16" w:rsidRPr="00233817" w:rsidRDefault="003C4E16" w:rsidP="003C4E16">
      <w:pPr>
        <w:rPr>
          <w:b/>
          <w:bCs/>
        </w:rPr>
      </w:pPr>
      <w:r w:rsidRPr="00233817">
        <w:rPr>
          <w:b/>
          <w:bCs/>
          <w:szCs w:val="24"/>
        </w:rPr>
        <w:t>Scrutiny of Bills Committee Terms of Reference</w:t>
      </w:r>
    </w:p>
    <w:p w14:paraId="17E6E6AE" w14:textId="2C67B62B" w:rsidR="003C4E16" w:rsidRPr="00492A9A" w:rsidRDefault="003C4E16" w:rsidP="003C4E16">
      <w:pPr>
        <w:rPr>
          <w:szCs w:val="24"/>
        </w:rPr>
      </w:pPr>
      <w:r w:rsidRPr="0081787C">
        <w:t>Th</w:t>
      </w:r>
      <w:r w:rsidR="00ED3010">
        <w:t>e</w:t>
      </w:r>
      <w:r>
        <w:t xml:space="preserve"> </w:t>
      </w:r>
      <w:r w:rsidR="00ED3010">
        <w:t>D</w:t>
      </w:r>
      <w:r>
        <w:t xml:space="preserve">etermination </w:t>
      </w:r>
      <w:r w:rsidRPr="0081787C">
        <w:t xml:space="preserve">is consistent </w:t>
      </w:r>
      <w:r w:rsidRPr="00492A9A">
        <w:rPr>
          <w:szCs w:val="24"/>
        </w:rPr>
        <w:t xml:space="preserve">with the Legislative Assembly’s Scrutiny of Bills Committee Terms of Reference. In particular, the </w:t>
      </w:r>
      <w:r w:rsidR="00ED3010">
        <w:rPr>
          <w:szCs w:val="24"/>
        </w:rPr>
        <w:t>D</w:t>
      </w:r>
      <w:r>
        <w:rPr>
          <w:szCs w:val="24"/>
        </w:rPr>
        <w:t>etermination</w:t>
      </w:r>
      <w:r w:rsidRPr="00492A9A">
        <w:rPr>
          <w:szCs w:val="24"/>
        </w:rPr>
        <w:t>:</w:t>
      </w:r>
    </w:p>
    <w:p w14:paraId="1257777B" w14:textId="36FE6F26" w:rsidR="003C4E16" w:rsidRPr="00575BE1" w:rsidRDefault="003C4E16" w:rsidP="003C4E16">
      <w:pPr>
        <w:pStyle w:val="ListParagraph0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492A9A">
        <w:rPr>
          <w:rFonts w:ascii="Times New Roman" w:hAnsi="Times New Roman"/>
          <w:sz w:val="24"/>
          <w:szCs w:val="24"/>
        </w:rPr>
        <w:t>s in accord</w:t>
      </w:r>
      <w:r>
        <w:rPr>
          <w:rFonts w:ascii="Times New Roman" w:hAnsi="Times New Roman"/>
          <w:sz w:val="24"/>
          <w:szCs w:val="24"/>
        </w:rPr>
        <w:t>ance</w:t>
      </w:r>
      <w:r w:rsidRPr="00492A9A">
        <w:rPr>
          <w:rFonts w:ascii="Times New Roman" w:hAnsi="Times New Roman"/>
          <w:sz w:val="24"/>
          <w:szCs w:val="24"/>
        </w:rPr>
        <w:t xml:space="preserve"> with the general objects of the Act</w:t>
      </w:r>
      <w:r>
        <w:rPr>
          <w:rFonts w:ascii="Times New Roman" w:hAnsi="Times New Roman"/>
          <w:sz w:val="24"/>
          <w:szCs w:val="24"/>
        </w:rPr>
        <w:t>.</w:t>
      </w:r>
    </w:p>
    <w:p w14:paraId="408F5B96" w14:textId="77777777" w:rsidR="003C4E16" w:rsidRPr="00575BE1" w:rsidRDefault="003C4E16" w:rsidP="003C4E16">
      <w:pPr>
        <w:pStyle w:val="ListParagraph0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75BE1">
        <w:rPr>
          <w:rFonts w:ascii="Times New Roman" w:hAnsi="Times New Roman"/>
          <w:sz w:val="24"/>
          <w:szCs w:val="24"/>
        </w:rPr>
        <w:t>Does not unduly trespass on rights previously established by law.</w:t>
      </w:r>
    </w:p>
    <w:p w14:paraId="56B96248" w14:textId="2C84B2B8" w:rsidR="003C4E16" w:rsidRPr="000C572D" w:rsidRDefault="003C4E16" w:rsidP="003C4E16">
      <w:pPr>
        <w:pStyle w:val="ListParagraph0"/>
        <w:numPr>
          <w:ilvl w:val="0"/>
          <w:numId w:val="11"/>
        </w:numPr>
        <w:rPr>
          <w:b/>
          <w:bCs/>
          <w:szCs w:val="24"/>
          <w:lang w:eastAsia="en-AU"/>
        </w:rPr>
      </w:pPr>
      <w:r w:rsidRPr="00575BE1">
        <w:rPr>
          <w:rFonts w:ascii="Times New Roman" w:hAnsi="Times New Roman"/>
          <w:sz w:val="24"/>
          <w:szCs w:val="24"/>
        </w:rPr>
        <w:t>Does not make rights, liberties and/or obligations unduly depended upon non</w:t>
      </w:r>
      <w:r w:rsidRPr="00575BE1">
        <w:rPr>
          <w:rFonts w:ascii="Times New Roman" w:hAnsi="Times New Roman"/>
          <w:sz w:val="24"/>
          <w:szCs w:val="24"/>
        </w:rPr>
        <w:noBreakHyphen/>
        <w:t>reviewable decisions.</w:t>
      </w:r>
    </w:p>
    <w:p w14:paraId="10219198" w14:textId="77777777" w:rsidR="003C4E16" w:rsidRPr="0016381A" w:rsidRDefault="003C4E16" w:rsidP="0016381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sectPr w:rsidR="003C4E16" w:rsidRPr="0016381A" w:rsidSect="001B66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5820" w14:textId="77777777" w:rsidR="00773080" w:rsidRDefault="00773080" w:rsidP="00C17FAB">
      <w:r>
        <w:separator/>
      </w:r>
    </w:p>
  </w:endnote>
  <w:endnote w:type="continuationSeparator" w:id="0">
    <w:p w14:paraId="18FEF21F" w14:textId="77777777" w:rsidR="00773080" w:rsidRDefault="00773080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DEC9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6F02" w14:textId="71870DD0" w:rsidR="00DA3B00" w:rsidRPr="00282E75" w:rsidRDefault="00282E75" w:rsidP="00282E75">
    <w:pPr>
      <w:pStyle w:val="Footer"/>
      <w:jc w:val="center"/>
      <w:rPr>
        <w:rFonts w:cs="Arial"/>
        <w:sz w:val="14"/>
      </w:rPr>
    </w:pPr>
    <w:r w:rsidRPr="00282E7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1B44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2E1C" w14:textId="77777777" w:rsidR="00773080" w:rsidRDefault="00773080" w:rsidP="00C17FAB">
      <w:r>
        <w:separator/>
      </w:r>
    </w:p>
  </w:footnote>
  <w:footnote w:type="continuationSeparator" w:id="0">
    <w:p w14:paraId="4979CB5D" w14:textId="77777777" w:rsidR="00773080" w:rsidRDefault="00773080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E98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59B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452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8CF190B"/>
    <w:multiLevelType w:val="hybridMultilevel"/>
    <w:tmpl w:val="076AE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D0BC6"/>
    <w:multiLevelType w:val="hybridMultilevel"/>
    <w:tmpl w:val="E8A21048"/>
    <w:lvl w:ilvl="0" w:tplc="D6728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8763009">
    <w:abstractNumId w:val="2"/>
  </w:num>
  <w:num w:numId="2" w16cid:durableId="1866286170">
    <w:abstractNumId w:val="0"/>
  </w:num>
  <w:num w:numId="3" w16cid:durableId="6519750">
    <w:abstractNumId w:val="3"/>
  </w:num>
  <w:num w:numId="4" w16cid:durableId="1579366577">
    <w:abstractNumId w:val="6"/>
  </w:num>
  <w:num w:numId="5" w16cid:durableId="1972438246">
    <w:abstractNumId w:val="9"/>
  </w:num>
  <w:num w:numId="6" w16cid:durableId="197395911">
    <w:abstractNumId w:val="1"/>
  </w:num>
  <w:num w:numId="7" w16cid:durableId="708139964">
    <w:abstractNumId w:val="4"/>
  </w:num>
  <w:num w:numId="8" w16cid:durableId="805899952">
    <w:abstractNumId w:val="5"/>
  </w:num>
  <w:num w:numId="9" w16cid:durableId="640156287">
    <w:abstractNumId w:val="10"/>
  </w:num>
  <w:num w:numId="10" w16cid:durableId="836582158">
    <w:abstractNumId w:val="7"/>
  </w:num>
  <w:num w:numId="11" w16cid:durableId="1834487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057F5"/>
    <w:rsid w:val="00050216"/>
    <w:rsid w:val="0007507F"/>
    <w:rsid w:val="000A5C58"/>
    <w:rsid w:val="000F42AC"/>
    <w:rsid w:val="0016381A"/>
    <w:rsid w:val="00172B68"/>
    <w:rsid w:val="001801F1"/>
    <w:rsid w:val="001B669D"/>
    <w:rsid w:val="001F6FEA"/>
    <w:rsid w:val="00201790"/>
    <w:rsid w:val="00230DFA"/>
    <w:rsid w:val="00233817"/>
    <w:rsid w:val="00281AD9"/>
    <w:rsid w:val="00282E75"/>
    <w:rsid w:val="002D7C60"/>
    <w:rsid w:val="00323D08"/>
    <w:rsid w:val="003455F6"/>
    <w:rsid w:val="003C4E16"/>
    <w:rsid w:val="00521790"/>
    <w:rsid w:val="00523FCE"/>
    <w:rsid w:val="005246AA"/>
    <w:rsid w:val="005262B2"/>
    <w:rsid w:val="005471D6"/>
    <w:rsid w:val="0057131F"/>
    <w:rsid w:val="00583056"/>
    <w:rsid w:val="006276EB"/>
    <w:rsid w:val="006F469B"/>
    <w:rsid w:val="007346AC"/>
    <w:rsid w:val="00747126"/>
    <w:rsid w:val="007540E8"/>
    <w:rsid w:val="00773080"/>
    <w:rsid w:val="007C6881"/>
    <w:rsid w:val="007F4D98"/>
    <w:rsid w:val="008E38DD"/>
    <w:rsid w:val="009508A5"/>
    <w:rsid w:val="009533E1"/>
    <w:rsid w:val="00965AE8"/>
    <w:rsid w:val="009E0D4C"/>
    <w:rsid w:val="009E3D11"/>
    <w:rsid w:val="00A042FB"/>
    <w:rsid w:val="00B65D22"/>
    <w:rsid w:val="00B721DF"/>
    <w:rsid w:val="00BA07A7"/>
    <w:rsid w:val="00BA7A88"/>
    <w:rsid w:val="00BE46FF"/>
    <w:rsid w:val="00C17FAB"/>
    <w:rsid w:val="00C53342"/>
    <w:rsid w:val="00C67702"/>
    <w:rsid w:val="00CD53A2"/>
    <w:rsid w:val="00CE3AC5"/>
    <w:rsid w:val="00CE599C"/>
    <w:rsid w:val="00D0537A"/>
    <w:rsid w:val="00D75D20"/>
    <w:rsid w:val="00D81E28"/>
    <w:rsid w:val="00DA3B00"/>
    <w:rsid w:val="00E655C8"/>
    <w:rsid w:val="00ED3010"/>
    <w:rsid w:val="00F27231"/>
    <w:rsid w:val="00F358C1"/>
    <w:rsid w:val="00F44E3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919CF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default">
    <w:name w:val="default"/>
    <w:basedOn w:val="Normal"/>
    <w:rsid w:val="0016381A"/>
    <w:pPr>
      <w:spacing w:before="100" w:beforeAutospacing="1" w:after="100" w:afterAutospacing="1"/>
    </w:pPr>
    <w:rPr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16381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listparagraph">
    <w:name w:val="listparagraph"/>
    <w:basedOn w:val="Normal"/>
    <w:rsid w:val="0016381A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A0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7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7A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7A7"/>
    <w:rPr>
      <w:b/>
      <w:bCs/>
      <w:lang w:eastAsia="en-US"/>
    </w:rPr>
  </w:style>
  <w:style w:type="paragraph" w:styleId="Revision">
    <w:name w:val="Revision"/>
    <w:hidden/>
    <w:uiPriority w:val="99"/>
    <w:semiHidden/>
    <w:rsid w:val="007C6881"/>
    <w:rPr>
      <w:sz w:val="24"/>
      <w:lang w:eastAsia="en-US"/>
    </w:rPr>
  </w:style>
  <w:style w:type="paragraph" w:styleId="ListParagraph0">
    <w:name w:val="List Paragraph"/>
    <w:basedOn w:val="Normal"/>
    <w:uiPriority w:val="34"/>
    <w:qFormat/>
    <w:rsid w:val="003C4E16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72B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2B6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A46391094</value>
    </field>
    <field name="Objective-Title">
      <value order="0">Attachment B - Priority Household - ES - DI2024-268</value>
    </field>
    <field name="Objective-Description">
      <value order="0"/>
    </field>
    <field name="Objective-CreationStamp">
      <value order="0">2024-04-29T23:46:30Z</value>
    </field>
    <field name="Objective-IsApproved">
      <value order="0">false</value>
    </field>
    <field name="Objective-IsPublished">
      <value order="0">true</value>
    </field>
    <field name="Objective-DatePublished">
      <value order="0">2024-08-26T02:03:24Z</value>
    </field>
    <field name="Objective-ModificationStamp">
      <value order="0">2024-08-26T02:24:39Z</value>
    </field>
    <field name="Objective-Owner">
      <value order="0">Damien Hillcrest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</value>
    </field>
    <field name="Objective-Parent">
      <value order="0">24/26037 Ministerial-Information Brief - Rattenbury - 2025 targets setting for the EEIS</value>
    </field>
    <field name="Objective-State">
      <value order="0">Published</value>
    </field>
    <field name="Objective-VersionId">
      <value order="0">vA60392054</value>
    </field>
    <field name="Objective-Version">
      <value order="0">10.0</value>
    </field>
    <field name="Objective-VersionNumber">
      <value order="0">23</value>
    </field>
    <field name="Objective-VersionComment">
      <value order="0"/>
    </field>
    <field name="Objective-FileNumber">
      <value order="0">1-2024/26037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3568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2006-03-31T04:28:00Z</cp:lastPrinted>
  <dcterms:created xsi:type="dcterms:W3CDTF">2024-08-27T02:47:00Z</dcterms:created>
  <dcterms:modified xsi:type="dcterms:W3CDTF">2024-08-27T03:57:00Z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A46391094</vt:lpwstr>
  </property>
  <property fmtid="{D5CDD505-2E9C-101B-9397-08002B2CF9AE}" pid="4" name="Objective-Title">
    <vt:lpwstr>Attachment B - Priority Household - ES - DI2024-268</vt:lpwstr>
  </property>
  <property fmtid="{D5CDD505-2E9C-101B-9397-08002B2CF9AE}" pid="5" name="Objective-Description">
    <vt:lpwstr/>
  </property>
  <property fmtid="{D5CDD505-2E9C-101B-9397-08002B2CF9AE}" pid="6" name="Objective-CreationStamp">
    <vt:filetime>2024-04-29T23:46:30Z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2024-08-26T02:03:24Z</vt:filetime>
  </property>
  <property fmtid="{D5CDD505-2E9C-101B-9397-08002B2CF9AE}" pid="10" name="Objective-ModificationStamp">
    <vt:filetime>2024-08-26T02:24:39Z</vt:filetime>
  </property>
  <property fmtid="{D5CDD505-2E9C-101B-9397-08002B2CF9AE}" pid="11" name="Objective-Owner">
    <vt:lpwstr>Damien Hillcrest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EEIS:</vt:lpwstr>
  </property>
  <property fmtid="{D5CDD505-2E9C-101B-9397-08002B2CF9AE}" pid="13" name="Objective-Parent">
    <vt:lpwstr>24/26037 Ministerial-Information Brief - Rattenbury - 2025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vA60392054</vt:lpwstr>
  </property>
  <property fmtid="{D5CDD505-2E9C-101B-9397-08002B2CF9AE}" pid="16" name="Objective-Version">
    <vt:lpwstr>10.0</vt:lpwstr>
  </property>
  <property fmtid="{D5CDD505-2E9C-101B-9397-08002B2CF9AE}" pid="17" name="Objective-VersionNumber">
    <vt:r8>23</vt:r8>
  </property>
  <property fmtid="{D5CDD505-2E9C-101B-9397-08002B2CF9AE}" pid="18" name="Objective-VersionComment">
    <vt:lpwstr/>
  </property>
  <property fmtid="{D5CDD505-2E9C-101B-9397-08002B2CF9AE}" pid="19" name="Objective-FileNumber">
    <vt:lpwstr>1-2024/26037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2024-05-01T02:29:25Z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d495a8e8-c346-4c80-8e89-5d01038598fd</vt:lpwstr>
  </property>
  <property fmtid="{D5CDD505-2E9C-101B-9397-08002B2CF9AE}" pid="40" name="MSIP_Label_69af8531-eb46-4968-8cb3-105d2f5ea87e_ContentBits">
    <vt:lpwstr>0</vt:lpwstr>
  </property>
</Properties>
</file>