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BBD0" w14:textId="77777777" w:rsidR="00F87236" w:rsidRPr="0033363C" w:rsidRDefault="00F87236" w:rsidP="00F87236">
      <w:pPr>
        <w:spacing w:after="0"/>
        <w:jc w:val="center"/>
        <w:rPr>
          <w:rFonts w:ascii="Arial" w:hAnsi="Arial" w:cs="Arial"/>
          <w:b/>
          <w:bCs/>
          <w:sz w:val="24"/>
          <w:szCs w:val="24"/>
        </w:rPr>
      </w:pPr>
      <w:r w:rsidRPr="0033363C">
        <w:rPr>
          <w:rFonts w:ascii="Arial" w:hAnsi="Arial" w:cs="Arial"/>
          <w:b/>
          <w:bCs/>
          <w:sz w:val="24"/>
          <w:szCs w:val="24"/>
        </w:rPr>
        <w:t>2024</w:t>
      </w:r>
    </w:p>
    <w:p w14:paraId="693209E7" w14:textId="77777777" w:rsidR="00F87236" w:rsidRPr="0033363C" w:rsidRDefault="00F87236" w:rsidP="00F87236">
      <w:pPr>
        <w:spacing w:after="0"/>
        <w:jc w:val="center"/>
        <w:rPr>
          <w:rFonts w:ascii="Arial" w:hAnsi="Arial" w:cs="Arial"/>
          <w:b/>
          <w:sz w:val="24"/>
          <w:szCs w:val="24"/>
        </w:rPr>
      </w:pPr>
    </w:p>
    <w:p w14:paraId="3FB2DFF9" w14:textId="77777777" w:rsidR="00F87236" w:rsidRPr="0033363C" w:rsidRDefault="00F87236" w:rsidP="00F87236">
      <w:pPr>
        <w:spacing w:after="0"/>
        <w:jc w:val="center"/>
        <w:rPr>
          <w:rFonts w:ascii="Arial" w:hAnsi="Arial" w:cs="Arial"/>
          <w:b/>
          <w:sz w:val="24"/>
          <w:szCs w:val="24"/>
        </w:rPr>
      </w:pPr>
    </w:p>
    <w:p w14:paraId="4C47335D" w14:textId="77777777" w:rsidR="00F87236" w:rsidRPr="0033363C" w:rsidRDefault="00F87236" w:rsidP="00F87236">
      <w:pPr>
        <w:spacing w:after="0"/>
        <w:jc w:val="center"/>
        <w:rPr>
          <w:rFonts w:ascii="Arial" w:hAnsi="Arial" w:cs="Arial"/>
          <w:b/>
          <w:sz w:val="24"/>
          <w:szCs w:val="24"/>
        </w:rPr>
      </w:pPr>
    </w:p>
    <w:p w14:paraId="628A63CE" w14:textId="77777777" w:rsidR="00F87236" w:rsidRPr="0033363C" w:rsidRDefault="00F87236" w:rsidP="00F87236">
      <w:pPr>
        <w:spacing w:after="0"/>
        <w:jc w:val="center"/>
        <w:rPr>
          <w:rFonts w:ascii="Arial" w:hAnsi="Arial" w:cs="Arial"/>
          <w:b/>
          <w:sz w:val="24"/>
          <w:szCs w:val="24"/>
        </w:rPr>
      </w:pPr>
    </w:p>
    <w:p w14:paraId="7223BAB0" w14:textId="77777777" w:rsidR="00F87236" w:rsidRPr="0033363C" w:rsidRDefault="00F87236" w:rsidP="00F87236">
      <w:pPr>
        <w:spacing w:after="0"/>
        <w:jc w:val="center"/>
        <w:rPr>
          <w:rFonts w:ascii="Arial" w:hAnsi="Arial" w:cs="Arial"/>
          <w:b/>
          <w:bCs/>
          <w:sz w:val="24"/>
          <w:szCs w:val="24"/>
        </w:rPr>
      </w:pPr>
    </w:p>
    <w:p w14:paraId="5FBDDE82" w14:textId="77777777" w:rsidR="00F87236" w:rsidRPr="0033363C" w:rsidRDefault="00F87236" w:rsidP="00F87236">
      <w:pPr>
        <w:spacing w:after="0"/>
        <w:jc w:val="center"/>
        <w:rPr>
          <w:rFonts w:ascii="Arial" w:hAnsi="Arial" w:cs="Arial"/>
          <w:b/>
          <w:bCs/>
          <w:sz w:val="24"/>
          <w:szCs w:val="24"/>
        </w:rPr>
      </w:pPr>
    </w:p>
    <w:p w14:paraId="120E02B6" w14:textId="77777777" w:rsidR="00F87236" w:rsidRPr="0033363C" w:rsidRDefault="00F87236" w:rsidP="00F87236">
      <w:pPr>
        <w:spacing w:after="0"/>
        <w:jc w:val="center"/>
        <w:rPr>
          <w:rFonts w:ascii="Arial" w:hAnsi="Arial" w:cs="Arial"/>
          <w:b/>
          <w:bCs/>
          <w:sz w:val="24"/>
          <w:szCs w:val="24"/>
        </w:rPr>
      </w:pPr>
      <w:r w:rsidRPr="0033363C">
        <w:rPr>
          <w:rFonts w:ascii="Arial" w:hAnsi="Arial" w:cs="Arial"/>
          <w:b/>
          <w:bCs/>
          <w:sz w:val="24"/>
          <w:szCs w:val="24"/>
        </w:rPr>
        <w:t>THE LEGISLATIVE ASSEMBLY FOR THE</w:t>
      </w:r>
    </w:p>
    <w:p w14:paraId="3E8ABFA8" w14:textId="77777777" w:rsidR="00F87236" w:rsidRPr="0033363C" w:rsidRDefault="00F87236" w:rsidP="00F87236">
      <w:pPr>
        <w:spacing w:after="0"/>
        <w:jc w:val="center"/>
        <w:rPr>
          <w:rFonts w:ascii="Arial" w:hAnsi="Arial" w:cs="Arial"/>
          <w:b/>
          <w:sz w:val="24"/>
          <w:szCs w:val="24"/>
        </w:rPr>
      </w:pPr>
      <w:r w:rsidRPr="0033363C">
        <w:rPr>
          <w:rFonts w:ascii="Arial" w:hAnsi="Arial" w:cs="Arial"/>
          <w:b/>
          <w:bCs/>
          <w:sz w:val="24"/>
          <w:szCs w:val="24"/>
        </w:rPr>
        <w:t>AUSTRALIAN CAPITAL TERRITORY</w:t>
      </w:r>
    </w:p>
    <w:p w14:paraId="6BE76B11" w14:textId="77777777" w:rsidR="00F87236" w:rsidRPr="0033363C" w:rsidRDefault="00F87236" w:rsidP="00F87236">
      <w:pPr>
        <w:spacing w:after="0"/>
        <w:jc w:val="center"/>
        <w:rPr>
          <w:rFonts w:ascii="Arial" w:hAnsi="Arial" w:cs="Arial"/>
          <w:b/>
          <w:sz w:val="24"/>
          <w:szCs w:val="24"/>
        </w:rPr>
      </w:pPr>
    </w:p>
    <w:p w14:paraId="28035F9E" w14:textId="77777777" w:rsidR="00F87236" w:rsidRPr="0033363C" w:rsidRDefault="00F87236" w:rsidP="00F87236">
      <w:pPr>
        <w:spacing w:after="0"/>
        <w:jc w:val="center"/>
        <w:rPr>
          <w:rFonts w:ascii="Arial" w:hAnsi="Arial" w:cs="Arial"/>
          <w:b/>
          <w:sz w:val="24"/>
          <w:szCs w:val="24"/>
        </w:rPr>
      </w:pPr>
    </w:p>
    <w:p w14:paraId="2477EE5E" w14:textId="77777777" w:rsidR="00F87236" w:rsidRPr="0033363C" w:rsidRDefault="00F87236" w:rsidP="00F87236">
      <w:pPr>
        <w:spacing w:after="0"/>
        <w:jc w:val="center"/>
        <w:rPr>
          <w:rFonts w:ascii="Arial" w:hAnsi="Arial" w:cs="Arial"/>
          <w:b/>
          <w:sz w:val="24"/>
          <w:szCs w:val="24"/>
        </w:rPr>
      </w:pPr>
    </w:p>
    <w:p w14:paraId="280047F1" w14:textId="77777777" w:rsidR="00F87236" w:rsidRPr="0033363C" w:rsidRDefault="00F87236" w:rsidP="00F87236">
      <w:pPr>
        <w:spacing w:after="0"/>
        <w:jc w:val="center"/>
        <w:rPr>
          <w:rFonts w:ascii="Arial" w:hAnsi="Arial" w:cs="Arial"/>
          <w:b/>
          <w:sz w:val="24"/>
          <w:szCs w:val="24"/>
        </w:rPr>
      </w:pPr>
    </w:p>
    <w:p w14:paraId="2DD4C071" w14:textId="77777777" w:rsidR="00F87236" w:rsidRPr="0033363C" w:rsidRDefault="00F87236" w:rsidP="00F87236">
      <w:pPr>
        <w:spacing w:after="0"/>
        <w:rPr>
          <w:rFonts w:ascii="Arial" w:hAnsi="Arial" w:cs="Arial"/>
          <w:b/>
          <w:sz w:val="24"/>
          <w:szCs w:val="24"/>
        </w:rPr>
      </w:pPr>
    </w:p>
    <w:p w14:paraId="55E78B5D" w14:textId="77777777" w:rsidR="00F87236" w:rsidRPr="0033363C" w:rsidRDefault="00F87236" w:rsidP="00F87236">
      <w:pPr>
        <w:spacing w:after="0"/>
        <w:rPr>
          <w:rFonts w:ascii="Arial" w:hAnsi="Arial" w:cs="Arial"/>
          <w:b/>
          <w:sz w:val="24"/>
          <w:szCs w:val="24"/>
        </w:rPr>
      </w:pPr>
    </w:p>
    <w:p w14:paraId="2EDA403C" w14:textId="58D54469" w:rsidR="00F87236" w:rsidRPr="0033363C" w:rsidRDefault="00A70608" w:rsidP="00F87236">
      <w:pPr>
        <w:spacing w:after="0"/>
        <w:jc w:val="center"/>
        <w:rPr>
          <w:rFonts w:ascii="Arial" w:hAnsi="Arial" w:cs="Arial"/>
          <w:b/>
          <w:bCs/>
          <w:sz w:val="24"/>
          <w:szCs w:val="24"/>
        </w:rPr>
      </w:pPr>
      <w:r>
        <w:rPr>
          <w:rFonts w:ascii="Arial" w:hAnsi="Arial" w:cs="Arial"/>
          <w:b/>
          <w:bCs/>
          <w:sz w:val="24"/>
          <w:szCs w:val="24"/>
        </w:rPr>
        <w:t>EVIDENCE (MISCELLANEOUS PROVISIONS) AMENDMENT BILL 2024</w:t>
      </w:r>
    </w:p>
    <w:p w14:paraId="05DF0249" w14:textId="77777777" w:rsidR="00F87236" w:rsidRPr="0033363C" w:rsidRDefault="00F87236" w:rsidP="00F87236">
      <w:pPr>
        <w:spacing w:after="0"/>
        <w:jc w:val="center"/>
        <w:rPr>
          <w:rFonts w:ascii="Arial" w:hAnsi="Arial" w:cs="Arial"/>
          <w:b/>
          <w:bCs/>
          <w:sz w:val="24"/>
          <w:szCs w:val="24"/>
        </w:rPr>
      </w:pPr>
    </w:p>
    <w:p w14:paraId="57675EBE" w14:textId="77777777" w:rsidR="00F87236" w:rsidRPr="0033363C" w:rsidRDefault="00F87236" w:rsidP="00F87236">
      <w:pPr>
        <w:spacing w:after="0"/>
        <w:jc w:val="center"/>
        <w:rPr>
          <w:rFonts w:ascii="Arial" w:hAnsi="Arial" w:cs="Arial"/>
          <w:b/>
          <w:bCs/>
          <w:sz w:val="24"/>
          <w:szCs w:val="24"/>
        </w:rPr>
      </w:pPr>
    </w:p>
    <w:p w14:paraId="33AA9004" w14:textId="77777777" w:rsidR="00F87236" w:rsidRPr="0033363C" w:rsidRDefault="00F87236" w:rsidP="00F87236">
      <w:pPr>
        <w:spacing w:after="0"/>
        <w:jc w:val="center"/>
        <w:rPr>
          <w:rFonts w:ascii="Arial" w:hAnsi="Arial" w:cs="Arial"/>
          <w:b/>
          <w:bCs/>
          <w:sz w:val="24"/>
          <w:szCs w:val="24"/>
        </w:rPr>
      </w:pPr>
    </w:p>
    <w:p w14:paraId="444F0473" w14:textId="261990EA" w:rsidR="00F87236" w:rsidRPr="0033363C" w:rsidRDefault="00F87236" w:rsidP="5BC2EF06">
      <w:pPr>
        <w:spacing w:after="0"/>
        <w:jc w:val="center"/>
        <w:rPr>
          <w:rFonts w:ascii="Arial" w:hAnsi="Arial" w:cs="Arial"/>
          <w:b/>
          <w:bCs/>
          <w:sz w:val="24"/>
          <w:szCs w:val="24"/>
        </w:rPr>
      </w:pPr>
    </w:p>
    <w:p w14:paraId="5AC96B9B" w14:textId="60B8B644" w:rsidR="00F87236" w:rsidRPr="0033363C" w:rsidRDefault="00F87236" w:rsidP="5BC2EF06">
      <w:pPr>
        <w:spacing w:after="0"/>
        <w:jc w:val="center"/>
        <w:rPr>
          <w:rFonts w:ascii="Arial" w:hAnsi="Arial" w:cs="Arial"/>
          <w:b/>
          <w:bCs/>
          <w:sz w:val="24"/>
          <w:szCs w:val="24"/>
        </w:rPr>
      </w:pPr>
      <w:r w:rsidRPr="5BC2EF06">
        <w:rPr>
          <w:rFonts w:ascii="Arial" w:hAnsi="Arial" w:cs="Arial"/>
          <w:b/>
          <w:bCs/>
          <w:sz w:val="24"/>
          <w:szCs w:val="24"/>
        </w:rPr>
        <w:t xml:space="preserve">EXPLANATORY STATEMENT </w:t>
      </w:r>
    </w:p>
    <w:p w14:paraId="7C320E91" w14:textId="77777777" w:rsidR="00F87236" w:rsidRPr="0033363C" w:rsidRDefault="00F87236" w:rsidP="00F87236">
      <w:pPr>
        <w:spacing w:after="0"/>
        <w:jc w:val="center"/>
        <w:rPr>
          <w:rFonts w:ascii="Arial" w:hAnsi="Arial" w:cs="Arial"/>
          <w:b/>
          <w:bCs/>
          <w:sz w:val="24"/>
          <w:szCs w:val="24"/>
        </w:rPr>
      </w:pPr>
    </w:p>
    <w:p w14:paraId="2765DB25" w14:textId="77777777" w:rsidR="00F87236" w:rsidRPr="0033363C" w:rsidRDefault="00F87236" w:rsidP="00F87236">
      <w:pPr>
        <w:spacing w:after="0"/>
        <w:jc w:val="center"/>
        <w:rPr>
          <w:rFonts w:ascii="Arial" w:hAnsi="Arial" w:cs="Arial"/>
          <w:b/>
          <w:bCs/>
          <w:sz w:val="24"/>
          <w:szCs w:val="24"/>
        </w:rPr>
      </w:pPr>
    </w:p>
    <w:p w14:paraId="0994E7B2" w14:textId="77777777" w:rsidR="00F87236" w:rsidRPr="0033363C" w:rsidRDefault="00F87236" w:rsidP="00F87236">
      <w:pPr>
        <w:spacing w:after="0"/>
        <w:jc w:val="center"/>
        <w:rPr>
          <w:rFonts w:ascii="Arial" w:hAnsi="Arial" w:cs="Arial"/>
          <w:b/>
          <w:sz w:val="24"/>
          <w:szCs w:val="24"/>
        </w:rPr>
      </w:pPr>
    </w:p>
    <w:p w14:paraId="3089558E" w14:textId="77777777" w:rsidR="00F87236" w:rsidRPr="0033363C" w:rsidRDefault="00F87236" w:rsidP="00F87236">
      <w:pPr>
        <w:spacing w:after="0"/>
        <w:jc w:val="center"/>
        <w:rPr>
          <w:rFonts w:ascii="Arial" w:hAnsi="Arial" w:cs="Arial"/>
          <w:b/>
          <w:sz w:val="24"/>
          <w:szCs w:val="24"/>
        </w:rPr>
      </w:pPr>
    </w:p>
    <w:p w14:paraId="1FA403C7" w14:textId="77777777" w:rsidR="00F87236" w:rsidRPr="0033363C" w:rsidRDefault="00F87236" w:rsidP="00F87236">
      <w:pPr>
        <w:spacing w:after="0"/>
        <w:jc w:val="center"/>
        <w:rPr>
          <w:rFonts w:ascii="Arial" w:hAnsi="Arial" w:cs="Arial"/>
          <w:b/>
          <w:sz w:val="24"/>
          <w:szCs w:val="24"/>
        </w:rPr>
      </w:pPr>
    </w:p>
    <w:p w14:paraId="72319EF0" w14:textId="77777777" w:rsidR="00F87236" w:rsidRPr="0033363C" w:rsidRDefault="00F87236" w:rsidP="00F87236">
      <w:pPr>
        <w:spacing w:after="0"/>
        <w:jc w:val="center"/>
        <w:rPr>
          <w:rFonts w:ascii="Arial" w:hAnsi="Arial" w:cs="Arial"/>
          <w:b/>
          <w:sz w:val="24"/>
          <w:szCs w:val="24"/>
        </w:rPr>
      </w:pPr>
    </w:p>
    <w:p w14:paraId="74AB5F7C" w14:textId="77777777" w:rsidR="00F87236" w:rsidRPr="0033363C" w:rsidRDefault="00F87236" w:rsidP="00F87236">
      <w:pPr>
        <w:spacing w:after="0"/>
        <w:jc w:val="center"/>
        <w:rPr>
          <w:rFonts w:ascii="Arial" w:hAnsi="Arial" w:cs="Arial"/>
          <w:b/>
          <w:sz w:val="24"/>
          <w:szCs w:val="24"/>
        </w:rPr>
      </w:pPr>
    </w:p>
    <w:p w14:paraId="6D7B1374" w14:textId="77777777" w:rsidR="00F87236" w:rsidRPr="0033363C" w:rsidRDefault="00F87236" w:rsidP="00F87236">
      <w:pPr>
        <w:keepNext/>
        <w:widowControl w:val="0"/>
        <w:spacing w:after="0"/>
        <w:jc w:val="center"/>
        <w:outlineLvl w:val="7"/>
        <w:rPr>
          <w:rFonts w:ascii="Arial" w:hAnsi="Arial" w:cs="Arial"/>
          <w:b/>
          <w:bCs/>
          <w:sz w:val="24"/>
          <w:szCs w:val="24"/>
        </w:rPr>
      </w:pPr>
    </w:p>
    <w:p w14:paraId="25A62947" w14:textId="77777777" w:rsidR="00F87236" w:rsidRPr="0033363C" w:rsidRDefault="00F87236" w:rsidP="00F87236">
      <w:pPr>
        <w:keepNext/>
        <w:widowControl w:val="0"/>
        <w:spacing w:after="0"/>
        <w:jc w:val="center"/>
        <w:outlineLvl w:val="7"/>
        <w:rPr>
          <w:rFonts w:ascii="Arial" w:hAnsi="Arial" w:cs="Arial"/>
          <w:b/>
          <w:bCs/>
          <w:sz w:val="24"/>
          <w:szCs w:val="24"/>
        </w:rPr>
      </w:pPr>
    </w:p>
    <w:p w14:paraId="728A3E10" w14:textId="77777777" w:rsidR="00F87236" w:rsidRPr="0033363C" w:rsidRDefault="00F87236" w:rsidP="00F87236">
      <w:pPr>
        <w:spacing w:after="0"/>
        <w:ind w:right="686"/>
        <w:jc w:val="right"/>
        <w:rPr>
          <w:rFonts w:ascii="Arial" w:hAnsi="Arial" w:cs="Arial"/>
          <w:b/>
          <w:bCs/>
          <w:sz w:val="24"/>
          <w:szCs w:val="24"/>
        </w:rPr>
      </w:pPr>
      <w:r w:rsidRPr="0033363C">
        <w:rPr>
          <w:rFonts w:ascii="Arial" w:hAnsi="Arial" w:cs="Arial"/>
          <w:b/>
          <w:bCs/>
          <w:sz w:val="24"/>
          <w:szCs w:val="24"/>
        </w:rPr>
        <w:t>Dr Marisa Paterson MLA</w:t>
      </w:r>
    </w:p>
    <w:p w14:paraId="3C7BF1A3" w14:textId="77777777" w:rsidR="00F87236" w:rsidRPr="0033363C" w:rsidRDefault="00F87236" w:rsidP="00F87236">
      <w:pPr>
        <w:spacing w:after="0"/>
        <w:ind w:right="686"/>
        <w:jc w:val="right"/>
        <w:rPr>
          <w:rFonts w:ascii="Arial" w:hAnsi="Arial" w:cs="Arial"/>
          <w:b/>
          <w:bCs/>
          <w:sz w:val="24"/>
          <w:szCs w:val="24"/>
        </w:rPr>
      </w:pPr>
      <w:r w:rsidRPr="0033363C">
        <w:rPr>
          <w:rFonts w:ascii="Arial" w:hAnsi="Arial" w:cs="Arial"/>
          <w:b/>
          <w:bCs/>
          <w:sz w:val="24"/>
          <w:szCs w:val="24"/>
        </w:rPr>
        <w:t>Member for Murrumbidgee</w:t>
      </w:r>
    </w:p>
    <w:p w14:paraId="79F1BD92" w14:textId="77777777" w:rsidR="00F87236" w:rsidRPr="0033363C" w:rsidRDefault="00F87236" w:rsidP="00F87236">
      <w:pPr>
        <w:rPr>
          <w:rFonts w:ascii="Arial" w:hAnsi="Arial" w:cs="Arial"/>
          <w:b/>
          <w:bCs/>
          <w:sz w:val="24"/>
          <w:szCs w:val="24"/>
        </w:rPr>
      </w:pPr>
    </w:p>
    <w:p w14:paraId="4A02958E" w14:textId="77777777" w:rsidR="00F87236" w:rsidRPr="0033363C" w:rsidRDefault="00F87236" w:rsidP="00F87236">
      <w:pPr>
        <w:rPr>
          <w:rFonts w:ascii="Arial" w:hAnsi="Arial" w:cs="Arial"/>
          <w:b/>
          <w:bCs/>
          <w:sz w:val="24"/>
          <w:szCs w:val="24"/>
        </w:rPr>
      </w:pPr>
    </w:p>
    <w:p w14:paraId="60304AD1" w14:textId="77777777" w:rsidR="00F87236" w:rsidRPr="0033363C" w:rsidRDefault="00F87236" w:rsidP="00F87236">
      <w:pPr>
        <w:rPr>
          <w:rFonts w:ascii="Arial" w:hAnsi="Arial" w:cs="Arial"/>
          <w:b/>
          <w:bCs/>
          <w:sz w:val="24"/>
          <w:szCs w:val="24"/>
        </w:rPr>
      </w:pPr>
    </w:p>
    <w:p w14:paraId="37B312C9" w14:textId="175C6581" w:rsidR="00F87236" w:rsidRPr="0033363C" w:rsidRDefault="00A70608" w:rsidP="00F87236">
      <w:pPr>
        <w:jc w:val="right"/>
        <w:rPr>
          <w:rFonts w:ascii="Arial" w:hAnsi="Arial" w:cs="Arial"/>
          <w:b/>
          <w:bCs/>
          <w:sz w:val="24"/>
          <w:szCs w:val="24"/>
        </w:rPr>
      </w:pPr>
      <w:r>
        <w:rPr>
          <w:rFonts w:ascii="Arial" w:hAnsi="Arial" w:cs="Arial"/>
          <w:b/>
          <w:bCs/>
          <w:sz w:val="24"/>
          <w:szCs w:val="24"/>
        </w:rPr>
        <w:t>AUGUST</w:t>
      </w:r>
      <w:r w:rsidR="00F87236" w:rsidRPr="6A415AF8">
        <w:rPr>
          <w:rFonts w:ascii="Arial" w:hAnsi="Arial" w:cs="Arial"/>
          <w:b/>
          <w:bCs/>
          <w:sz w:val="24"/>
          <w:szCs w:val="24"/>
        </w:rPr>
        <w:t xml:space="preserve"> 2024</w:t>
      </w:r>
    </w:p>
    <w:p w14:paraId="6BE48135" w14:textId="77777777" w:rsidR="00F87236" w:rsidRPr="0033363C" w:rsidRDefault="00F87236" w:rsidP="00F87236">
      <w:pPr>
        <w:rPr>
          <w:rFonts w:ascii="Arial" w:hAnsi="Arial" w:cs="Arial"/>
          <w:b/>
          <w:bCs/>
          <w:sz w:val="24"/>
          <w:szCs w:val="24"/>
        </w:rPr>
      </w:pPr>
    </w:p>
    <w:p w14:paraId="383DC671" w14:textId="77777777" w:rsidR="00F87236" w:rsidRPr="0033363C" w:rsidRDefault="00F87236" w:rsidP="00F87236">
      <w:pPr>
        <w:rPr>
          <w:rFonts w:ascii="Arial" w:hAnsi="Arial" w:cs="Arial"/>
          <w:b/>
          <w:bCs/>
          <w:sz w:val="24"/>
          <w:szCs w:val="24"/>
        </w:rPr>
      </w:pPr>
    </w:p>
    <w:p w14:paraId="34F29E04" w14:textId="77777777" w:rsidR="00F87236" w:rsidRPr="0033363C" w:rsidRDefault="00F87236" w:rsidP="00F87236">
      <w:pPr>
        <w:spacing w:after="0"/>
        <w:contextualSpacing/>
        <w:rPr>
          <w:rFonts w:ascii="Arial" w:hAnsi="Arial" w:cs="Arial"/>
          <w:b/>
          <w:bCs/>
          <w:sz w:val="24"/>
          <w:szCs w:val="24"/>
        </w:rPr>
      </w:pPr>
    </w:p>
    <w:p w14:paraId="5AA4C56F" w14:textId="1C2D4C7C" w:rsidR="00F87236" w:rsidRPr="0033363C" w:rsidRDefault="00F87236" w:rsidP="00F87236">
      <w:pPr>
        <w:spacing w:after="0"/>
        <w:contextualSpacing/>
        <w:jc w:val="center"/>
        <w:rPr>
          <w:rFonts w:ascii="Arial" w:hAnsi="Arial" w:cs="Arial"/>
          <w:b/>
          <w:bCs/>
          <w:sz w:val="24"/>
          <w:szCs w:val="24"/>
        </w:rPr>
      </w:pPr>
    </w:p>
    <w:p w14:paraId="3390E8DC" w14:textId="3FCA7B87" w:rsidR="63D4E9B8" w:rsidRDefault="63D4E9B8" w:rsidP="20836FB4">
      <w:pPr>
        <w:spacing w:after="0"/>
        <w:contextualSpacing/>
        <w:jc w:val="center"/>
        <w:rPr>
          <w:rFonts w:ascii="Arial" w:hAnsi="Arial" w:cs="Arial"/>
          <w:b/>
          <w:bCs/>
          <w:sz w:val="24"/>
          <w:szCs w:val="24"/>
        </w:rPr>
      </w:pPr>
      <w:r w:rsidRPr="20836FB4">
        <w:rPr>
          <w:rFonts w:ascii="Arial" w:hAnsi="Arial" w:cs="Arial"/>
          <w:b/>
          <w:bCs/>
          <w:sz w:val="24"/>
          <w:szCs w:val="24"/>
        </w:rPr>
        <w:lastRenderedPageBreak/>
        <w:t>EVIDENCE (MISCELLAENOUS PROVISIONS) AMENDMENT BILL 2024</w:t>
      </w:r>
    </w:p>
    <w:p w14:paraId="24C0EABD" w14:textId="77777777" w:rsidR="00F87236" w:rsidRPr="0033363C" w:rsidRDefault="00F87236" w:rsidP="00F87236">
      <w:pPr>
        <w:spacing w:after="0"/>
        <w:contextualSpacing/>
        <w:jc w:val="both"/>
        <w:rPr>
          <w:rFonts w:ascii="Arial" w:hAnsi="Arial" w:cs="Arial"/>
          <w:bCs/>
          <w:sz w:val="24"/>
          <w:szCs w:val="24"/>
        </w:rPr>
      </w:pPr>
      <w:r w:rsidRPr="0033363C">
        <w:rPr>
          <w:rFonts w:ascii="Arial" w:hAnsi="Arial" w:cs="Arial"/>
          <w:bCs/>
          <w:sz w:val="24"/>
          <w:szCs w:val="24"/>
        </w:rPr>
        <w:t xml:space="preserve">The Bill </w:t>
      </w:r>
      <w:r w:rsidRPr="0033363C">
        <w:rPr>
          <w:rFonts w:ascii="Arial" w:hAnsi="Arial" w:cs="Arial"/>
          <w:b/>
          <w:sz w:val="24"/>
          <w:szCs w:val="24"/>
        </w:rPr>
        <w:t>is</w:t>
      </w:r>
      <w:r w:rsidRPr="0033363C">
        <w:rPr>
          <w:rFonts w:ascii="Arial" w:hAnsi="Arial" w:cs="Arial"/>
          <w:bCs/>
          <w:sz w:val="24"/>
          <w:szCs w:val="24"/>
        </w:rPr>
        <w:t xml:space="preserve"> </w:t>
      </w:r>
      <w:r w:rsidRPr="0033363C">
        <w:rPr>
          <w:rFonts w:ascii="Arial" w:hAnsi="Arial" w:cs="Arial"/>
          <w:b/>
          <w:sz w:val="24"/>
          <w:szCs w:val="24"/>
        </w:rPr>
        <w:t>not</w:t>
      </w:r>
      <w:r w:rsidRPr="0033363C">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33363C">
        <w:rPr>
          <w:rFonts w:ascii="Arial" w:hAnsi="Arial" w:cs="Arial"/>
          <w:bCs/>
          <w:i/>
          <w:iCs/>
          <w:sz w:val="24"/>
          <w:szCs w:val="24"/>
        </w:rPr>
        <w:t>Human Rights Act 2004</w:t>
      </w:r>
      <w:r w:rsidRPr="0033363C">
        <w:rPr>
          <w:rFonts w:ascii="Arial" w:hAnsi="Arial" w:cs="Arial"/>
          <w:bCs/>
          <w:sz w:val="24"/>
          <w:szCs w:val="24"/>
        </w:rPr>
        <w:t>.</w:t>
      </w:r>
    </w:p>
    <w:p w14:paraId="17FA0C56" w14:textId="77777777" w:rsidR="00F87236" w:rsidRPr="0033363C" w:rsidRDefault="00F87236" w:rsidP="00F87236">
      <w:pPr>
        <w:spacing w:after="0"/>
        <w:contextualSpacing/>
        <w:jc w:val="both"/>
        <w:rPr>
          <w:rFonts w:ascii="Arial" w:hAnsi="Arial" w:cs="Arial"/>
          <w:bCs/>
          <w:sz w:val="24"/>
          <w:szCs w:val="24"/>
        </w:rPr>
      </w:pPr>
    </w:p>
    <w:p w14:paraId="6EB7F124" w14:textId="086A46A7" w:rsidR="00F87236" w:rsidRPr="0033363C" w:rsidRDefault="00F87236" w:rsidP="00F87236">
      <w:pPr>
        <w:jc w:val="both"/>
        <w:rPr>
          <w:rFonts w:ascii="Arial" w:hAnsi="Arial" w:cs="Arial"/>
          <w:sz w:val="24"/>
          <w:szCs w:val="24"/>
        </w:rPr>
      </w:pPr>
      <w:r w:rsidRPr="5ADD15DA">
        <w:rPr>
          <w:rFonts w:ascii="Arial" w:hAnsi="Arial" w:cs="Arial"/>
          <w:sz w:val="24"/>
          <w:szCs w:val="24"/>
        </w:rPr>
        <w:t xml:space="preserve">This explanatory statement relates to Private Members amendments to the </w:t>
      </w:r>
      <w:r w:rsidR="00A70608" w:rsidRPr="5ADD15DA">
        <w:rPr>
          <w:rFonts w:ascii="Arial" w:hAnsi="Arial" w:cs="Arial"/>
          <w:i/>
          <w:iCs/>
          <w:sz w:val="24"/>
          <w:szCs w:val="24"/>
        </w:rPr>
        <w:t>Evidence (Miscellaneous Provisions) Act 1991</w:t>
      </w:r>
      <w:r w:rsidRPr="5ADD15DA">
        <w:rPr>
          <w:rFonts w:ascii="Arial" w:hAnsi="Arial" w:cs="Arial"/>
          <w:i/>
          <w:iCs/>
          <w:sz w:val="24"/>
          <w:szCs w:val="24"/>
        </w:rPr>
        <w:t>.</w:t>
      </w:r>
      <w:r w:rsidRPr="5ADD15DA">
        <w:rPr>
          <w:rFonts w:ascii="Arial" w:hAnsi="Arial" w:cs="Arial"/>
          <w:sz w:val="24"/>
          <w:szCs w:val="24"/>
        </w:rPr>
        <w:t xml:space="preserve"> It has been prepared to assist the reader of the Bill. This explanatory statement does not form part of the Bill and has not been endorsed by the Assembly. The statement is to be read in conjunction with the Bill. What is said about a provision is not to be taken as an authoritative guide to the meaning of a provision, this being a task for the courts.</w:t>
      </w:r>
    </w:p>
    <w:p w14:paraId="21AAF13C" w14:textId="77777777" w:rsidR="00F87236" w:rsidRPr="0033363C" w:rsidRDefault="00F87236" w:rsidP="00F87236">
      <w:pPr>
        <w:pStyle w:val="Heading2"/>
        <w:jc w:val="both"/>
        <w:rPr>
          <w:rFonts w:cs="Arial"/>
        </w:rPr>
      </w:pPr>
      <w:r w:rsidRPr="2F780649">
        <w:rPr>
          <w:rFonts w:cs="Arial"/>
        </w:rPr>
        <w:t>OVERVIEW OF THE AMENDMENTS</w:t>
      </w:r>
    </w:p>
    <w:p w14:paraId="35F547B7" w14:textId="77777777" w:rsidR="00F87236" w:rsidRDefault="00F87236" w:rsidP="00642D86">
      <w:pPr>
        <w:pStyle w:val="Heading2"/>
        <w:jc w:val="both"/>
        <w:rPr>
          <w:rFonts w:cs="Arial"/>
          <w:bCs/>
          <w:szCs w:val="24"/>
        </w:rPr>
      </w:pPr>
      <w:r w:rsidRPr="0033363C">
        <w:rPr>
          <w:rFonts w:cs="Arial"/>
          <w:bCs/>
          <w:szCs w:val="24"/>
        </w:rPr>
        <w:t>Purpose</w:t>
      </w:r>
    </w:p>
    <w:p w14:paraId="73B70B3E" w14:textId="7ADC42E5" w:rsidR="00642D86" w:rsidRPr="00642D86" w:rsidRDefault="00642D86" w:rsidP="00642D86">
      <w:pPr>
        <w:jc w:val="both"/>
        <w:rPr>
          <w:rFonts w:ascii="Arial" w:hAnsi="Arial" w:cs="Arial"/>
          <w:sz w:val="24"/>
          <w:szCs w:val="24"/>
        </w:rPr>
      </w:pPr>
      <w:r w:rsidRPr="5ADD15DA">
        <w:rPr>
          <w:rFonts w:ascii="Arial" w:hAnsi="Arial" w:cs="Arial"/>
          <w:sz w:val="24"/>
          <w:szCs w:val="24"/>
        </w:rPr>
        <w:t xml:space="preserve">The purpose of this Bill is to amend the </w:t>
      </w:r>
      <w:r w:rsidRPr="5ADD15DA">
        <w:rPr>
          <w:rFonts w:ascii="Arial" w:hAnsi="Arial" w:cs="Arial"/>
          <w:i/>
          <w:iCs/>
          <w:sz w:val="24"/>
          <w:szCs w:val="24"/>
        </w:rPr>
        <w:t>Evidence (Miscellaneous Provisions) Act 1991</w:t>
      </w:r>
      <w:r w:rsidRPr="5ADD15DA">
        <w:rPr>
          <w:rFonts w:ascii="Arial" w:hAnsi="Arial" w:cs="Arial"/>
          <w:sz w:val="24"/>
          <w:szCs w:val="24"/>
        </w:rPr>
        <w:t xml:space="preserve"> to ensure that victims of sexual offences in the workplace can have their identit</w:t>
      </w:r>
      <w:r w:rsidR="7CB61649" w:rsidRPr="5ADD15DA">
        <w:rPr>
          <w:rFonts w:ascii="Arial" w:hAnsi="Arial" w:cs="Arial"/>
          <w:sz w:val="24"/>
          <w:szCs w:val="24"/>
        </w:rPr>
        <w:t>y</w:t>
      </w:r>
      <w:r w:rsidRPr="5ADD15DA">
        <w:rPr>
          <w:rFonts w:ascii="Arial" w:hAnsi="Arial" w:cs="Arial"/>
          <w:sz w:val="24"/>
          <w:szCs w:val="24"/>
        </w:rPr>
        <w:t xml:space="preserve"> protected in proceedings. The relevant proceedings will include for those offences committed against sections 31, 32 and 33</w:t>
      </w:r>
      <w:r w:rsidRPr="5ADD15DA">
        <w:rPr>
          <w:rFonts w:ascii="Arial" w:hAnsi="Arial" w:cs="Arial"/>
          <w:i/>
          <w:iCs/>
          <w:sz w:val="24"/>
          <w:szCs w:val="24"/>
        </w:rPr>
        <w:t xml:space="preserve"> </w:t>
      </w:r>
      <w:r w:rsidRPr="5ADD15DA">
        <w:rPr>
          <w:rFonts w:ascii="Arial" w:hAnsi="Arial" w:cs="Arial"/>
          <w:sz w:val="24"/>
          <w:szCs w:val="24"/>
        </w:rPr>
        <w:t xml:space="preserve">of the </w:t>
      </w:r>
      <w:r w:rsidRPr="5ADD15DA">
        <w:rPr>
          <w:rFonts w:ascii="Arial" w:hAnsi="Arial" w:cs="Arial"/>
          <w:i/>
          <w:iCs/>
          <w:sz w:val="24"/>
          <w:szCs w:val="24"/>
        </w:rPr>
        <w:t>Work Health and Safety Act 2011</w:t>
      </w:r>
      <w:r w:rsidRPr="5ADD15DA">
        <w:rPr>
          <w:rFonts w:ascii="Arial" w:hAnsi="Arial" w:cs="Arial"/>
          <w:sz w:val="24"/>
          <w:szCs w:val="24"/>
        </w:rPr>
        <w:t xml:space="preserve"> (WHS Act), and disputes of liability for an infringement notice issued under the </w:t>
      </w:r>
      <w:r w:rsidRPr="5ADD15DA">
        <w:rPr>
          <w:rFonts w:ascii="Arial" w:hAnsi="Arial" w:cs="Arial"/>
          <w:i/>
          <w:iCs/>
          <w:sz w:val="24"/>
          <w:szCs w:val="24"/>
        </w:rPr>
        <w:t>Magistrates Court (Work Health and Safety Infringement Notices) Regulation 2011</w:t>
      </w:r>
      <w:r w:rsidRPr="5ADD15DA">
        <w:rPr>
          <w:rFonts w:ascii="Arial" w:hAnsi="Arial" w:cs="Arial"/>
          <w:sz w:val="24"/>
          <w:szCs w:val="24"/>
        </w:rPr>
        <w:t xml:space="preserve"> for an offence against section 38 (1) of the WHS Act. </w:t>
      </w:r>
    </w:p>
    <w:p w14:paraId="18845058" w14:textId="77777777" w:rsidR="00F87236" w:rsidRDefault="00F87236" w:rsidP="00642D86">
      <w:pPr>
        <w:pStyle w:val="Heading2"/>
        <w:jc w:val="both"/>
        <w:rPr>
          <w:rFonts w:cs="Arial"/>
          <w:szCs w:val="24"/>
        </w:rPr>
      </w:pPr>
      <w:r w:rsidRPr="0033363C">
        <w:rPr>
          <w:rFonts w:cs="Arial"/>
          <w:szCs w:val="24"/>
        </w:rPr>
        <w:t>Background</w:t>
      </w:r>
    </w:p>
    <w:p w14:paraId="38F39D52" w14:textId="77777777" w:rsidR="00603F7D" w:rsidRDefault="00603F7D" w:rsidP="0002615A">
      <w:pPr>
        <w:jc w:val="both"/>
        <w:rPr>
          <w:rFonts w:ascii="Arial" w:hAnsi="Arial" w:cs="Arial"/>
          <w:sz w:val="24"/>
          <w:szCs w:val="24"/>
        </w:rPr>
      </w:pPr>
      <w:r>
        <w:rPr>
          <w:rFonts w:ascii="Arial" w:hAnsi="Arial" w:cs="Arial"/>
          <w:sz w:val="24"/>
          <w:szCs w:val="24"/>
        </w:rPr>
        <w:t>The WHS Act is the governing piece of legislation to protect workers and other people from harm to their health, safety and welfare in the workplace. In order to achieve this object, regard must be given to the principle that workers and other persons should be given the highest order of protection from risk and hazards which arise in their workplace.</w:t>
      </w:r>
    </w:p>
    <w:p w14:paraId="62B67223" w14:textId="7769D15D" w:rsidR="00603F7D" w:rsidRDefault="00603F7D" w:rsidP="0002615A">
      <w:pPr>
        <w:jc w:val="both"/>
        <w:rPr>
          <w:rFonts w:ascii="Arial" w:hAnsi="Arial" w:cs="Arial"/>
          <w:sz w:val="24"/>
          <w:szCs w:val="24"/>
        </w:rPr>
      </w:pPr>
      <w:r w:rsidRPr="5ADD15DA">
        <w:rPr>
          <w:rFonts w:ascii="Arial" w:hAnsi="Arial" w:cs="Arial"/>
          <w:sz w:val="24"/>
          <w:szCs w:val="24"/>
        </w:rPr>
        <w:t>When a worker is harmed at work, WorkSafe ACT</w:t>
      </w:r>
      <w:r w:rsidR="0002615A" w:rsidRPr="5ADD15DA">
        <w:rPr>
          <w:rFonts w:ascii="Arial" w:hAnsi="Arial" w:cs="Arial"/>
          <w:sz w:val="24"/>
          <w:szCs w:val="24"/>
        </w:rPr>
        <w:t xml:space="preserve"> (also referred to as ‘the regulator’)</w:t>
      </w:r>
      <w:r w:rsidRPr="5ADD15DA">
        <w:rPr>
          <w:rFonts w:ascii="Arial" w:hAnsi="Arial" w:cs="Arial"/>
          <w:sz w:val="24"/>
          <w:szCs w:val="24"/>
        </w:rPr>
        <w:t xml:space="preserve"> will investigate the system in place to identify and eliminate risks in the workplace</w:t>
      </w:r>
      <w:r w:rsidR="0002615A" w:rsidRPr="5ADD15DA">
        <w:rPr>
          <w:rFonts w:ascii="Arial" w:hAnsi="Arial" w:cs="Arial"/>
          <w:sz w:val="24"/>
          <w:szCs w:val="24"/>
        </w:rPr>
        <w:t xml:space="preserve">. Where it is determined there is an absence of a safe system of work, the regulator may recommend the business </w:t>
      </w:r>
      <w:r w:rsidR="7444B1A3" w:rsidRPr="5ADD15DA">
        <w:rPr>
          <w:rFonts w:ascii="Arial" w:hAnsi="Arial" w:cs="Arial"/>
          <w:sz w:val="24"/>
          <w:szCs w:val="24"/>
        </w:rPr>
        <w:t>be</w:t>
      </w:r>
      <w:r w:rsidR="0002615A" w:rsidRPr="5ADD15DA">
        <w:rPr>
          <w:rFonts w:ascii="Arial" w:hAnsi="Arial" w:cs="Arial"/>
          <w:sz w:val="24"/>
          <w:szCs w:val="24"/>
        </w:rPr>
        <w:t xml:space="preserve"> prosecuted for failure to meet its duty of care obligations under the Act. If a matter progresses to court, there are no systems currently in place to protect the identity of injured workers. This </w:t>
      </w:r>
      <w:r w:rsidR="0008492C" w:rsidRPr="5ADD15DA">
        <w:rPr>
          <w:rFonts w:ascii="Arial" w:hAnsi="Arial" w:cs="Arial"/>
          <w:sz w:val="24"/>
          <w:szCs w:val="24"/>
        </w:rPr>
        <w:t>can represent a barrier to people reporting incidents which occur in the workplace. Ultimately, this results in WorkSafe not being to meet community expectations of the regulator being able to hold businesses to account.</w:t>
      </w:r>
    </w:p>
    <w:p w14:paraId="2E1F6D0E" w14:textId="77777777" w:rsidR="000C3FB7" w:rsidRDefault="000C3FB7" w:rsidP="0002615A">
      <w:pPr>
        <w:jc w:val="both"/>
        <w:rPr>
          <w:rFonts w:ascii="Arial" w:hAnsi="Arial" w:cs="Arial"/>
          <w:sz w:val="24"/>
          <w:szCs w:val="24"/>
        </w:rPr>
      </w:pPr>
    </w:p>
    <w:p w14:paraId="6179B9C1" w14:textId="77777777" w:rsidR="000C3FB7" w:rsidRDefault="000C3FB7" w:rsidP="0002615A">
      <w:pPr>
        <w:jc w:val="both"/>
        <w:rPr>
          <w:rFonts w:ascii="Arial" w:hAnsi="Arial" w:cs="Arial"/>
          <w:sz w:val="24"/>
          <w:szCs w:val="24"/>
        </w:rPr>
      </w:pPr>
    </w:p>
    <w:p w14:paraId="1DD9853E" w14:textId="77777777" w:rsidR="000C3FB7" w:rsidRDefault="000C3FB7" w:rsidP="0002615A">
      <w:pPr>
        <w:jc w:val="both"/>
        <w:rPr>
          <w:rFonts w:ascii="Arial" w:hAnsi="Arial" w:cs="Arial"/>
          <w:sz w:val="24"/>
          <w:szCs w:val="24"/>
        </w:rPr>
      </w:pPr>
    </w:p>
    <w:p w14:paraId="3D77DCC9" w14:textId="77996A8B" w:rsidR="00AB634F" w:rsidRPr="00AB634F" w:rsidRDefault="0008492C" w:rsidP="0002615A">
      <w:pPr>
        <w:jc w:val="both"/>
        <w:rPr>
          <w:rFonts w:ascii="Arial" w:hAnsi="Arial" w:cs="Arial"/>
          <w:sz w:val="24"/>
          <w:szCs w:val="24"/>
        </w:rPr>
      </w:pPr>
      <w:r w:rsidRPr="540CB28B">
        <w:rPr>
          <w:rFonts w:ascii="Arial" w:hAnsi="Arial" w:cs="Arial"/>
          <w:sz w:val="24"/>
          <w:szCs w:val="24"/>
        </w:rPr>
        <w:lastRenderedPageBreak/>
        <w:t>In June 2023, amendments to the WHS were made to include sexual offences as a notifiable incident under section 35 of the Act.</w:t>
      </w:r>
      <w:r w:rsidR="0A6304AB" w:rsidRPr="540CB28B">
        <w:rPr>
          <w:rFonts w:ascii="Arial" w:hAnsi="Arial" w:cs="Arial"/>
          <w:sz w:val="24"/>
          <w:szCs w:val="24"/>
        </w:rPr>
        <w:t xml:space="preserve"> </w:t>
      </w:r>
      <w:r w:rsidR="00AB634F" w:rsidRPr="540CB28B">
        <w:rPr>
          <w:rFonts w:ascii="Arial" w:hAnsi="Arial" w:cs="Arial"/>
          <w:sz w:val="24"/>
          <w:szCs w:val="24"/>
        </w:rPr>
        <w:t xml:space="preserve">This followed the passage of the </w:t>
      </w:r>
      <w:r w:rsidR="00AB634F" w:rsidRPr="540CB28B">
        <w:rPr>
          <w:rFonts w:ascii="Arial" w:hAnsi="Arial" w:cs="Arial"/>
          <w:i/>
          <w:iCs/>
          <w:sz w:val="24"/>
          <w:szCs w:val="24"/>
        </w:rPr>
        <w:t>Anti-Discrimination and Human Rights Legislation Amendment (Respect at Work) Act 2022 (Cth)</w:t>
      </w:r>
      <w:r w:rsidR="00AB634F" w:rsidRPr="540CB28B">
        <w:rPr>
          <w:rFonts w:ascii="Arial" w:hAnsi="Arial" w:cs="Arial"/>
          <w:sz w:val="24"/>
          <w:szCs w:val="24"/>
        </w:rPr>
        <w:t xml:space="preserve"> in the Federal Parliament in December 2022. This legislation created a positive duty on persons conducting a business or undertaking (PCBU) to prevent, as far as practicable, all forms of sexual harassment and sex-based discrimination in the workplace. </w:t>
      </w:r>
    </w:p>
    <w:p w14:paraId="76E06D28" w14:textId="56218B43" w:rsidR="0008492C" w:rsidRPr="00603F7D" w:rsidRDefault="0CFBB824" w:rsidP="540CB28B">
      <w:pPr>
        <w:jc w:val="both"/>
        <w:rPr>
          <w:rFonts w:ascii="Arial" w:hAnsi="Arial" w:cs="Arial"/>
          <w:sz w:val="24"/>
          <w:szCs w:val="24"/>
        </w:rPr>
      </w:pPr>
      <w:r w:rsidRPr="540CB28B">
        <w:rPr>
          <w:rFonts w:ascii="Arial" w:hAnsi="Arial" w:cs="Arial"/>
          <w:sz w:val="24"/>
          <w:szCs w:val="24"/>
        </w:rPr>
        <w:t>WorkSafe ACT has recently found an impediment to reporting of such incidents</w:t>
      </w:r>
      <w:r w:rsidR="19A57D90" w:rsidRPr="540CB28B">
        <w:rPr>
          <w:rFonts w:ascii="Arial" w:hAnsi="Arial" w:cs="Arial"/>
          <w:sz w:val="24"/>
          <w:szCs w:val="24"/>
        </w:rPr>
        <w:t>.</w:t>
      </w:r>
      <w:r w:rsidRPr="540CB28B">
        <w:rPr>
          <w:rFonts w:ascii="Arial" w:hAnsi="Arial" w:cs="Arial"/>
          <w:sz w:val="24"/>
          <w:szCs w:val="24"/>
        </w:rPr>
        <w:t xml:space="preserve"> </w:t>
      </w:r>
      <w:r w:rsidR="0008492C" w:rsidRPr="540CB28B">
        <w:rPr>
          <w:rFonts w:ascii="Arial" w:hAnsi="Arial" w:cs="Arial"/>
          <w:sz w:val="24"/>
          <w:szCs w:val="24"/>
        </w:rPr>
        <w:t xml:space="preserve">After receiving a complaint of a sexual offence incident in the workplace, WorkSafe </w:t>
      </w:r>
      <w:r w:rsidR="00AB634F" w:rsidRPr="540CB28B">
        <w:rPr>
          <w:rFonts w:ascii="Arial" w:hAnsi="Arial" w:cs="Arial"/>
          <w:sz w:val="24"/>
          <w:szCs w:val="24"/>
        </w:rPr>
        <w:t>must</w:t>
      </w:r>
      <w:r w:rsidR="0008492C" w:rsidRPr="540CB28B">
        <w:rPr>
          <w:rFonts w:ascii="Arial" w:hAnsi="Arial" w:cs="Arial"/>
          <w:sz w:val="24"/>
          <w:szCs w:val="24"/>
        </w:rPr>
        <w:t xml:space="preserve"> advise the complainant that their identity will be disclosed if they progress to prosecution. Several complainants have asked WorkSafe not to progress with prosecution due to the risk of their identity being disclosed. </w:t>
      </w:r>
      <w:r w:rsidR="00AF08FE" w:rsidRPr="540CB28B">
        <w:rPr>
          <w:rFonts w:ascii="Arial" w:hAnsi="Arial" w:cs="Arial"/>
          <w:sz w:val="24"/>
          <w:szCs w:val="24"/>
        </w:rPr>
        <w:t xml:space="preserve">The inability to protect the identity of a complainant and subsequent lack of prosecution of incidents which involve suspected or alleged sexual assault, or other matters of a sexually offensive, intimidating or humiliating nature results in more unsafe workplaces and those workplaces not being held to account. </w:t>
      </w:r>
    </w:p>
    <w:p w14:paraId="2E4AE201" w14:textId="69F3908A" w:rsidR="00D7442B" w:rsidRDefault="00F87236" w:rsidP="00642D86">
      <w:pPr>
        <w:jc w:val="both"/>
        <w:rPr>
          <w:rFonts w:ascii="Arial" w:hAnsi="Arial" w:cs="Arial"/>
          <w:b/>
          <w:bCs/>
          <w:sz w:val="24"/>
          <w:szCs w:val="28"/>
        </w:rPr>
      </w:pPr>
      <w:r w:rsidRPr="00F87236">
        <w:rPr>
          <w:rFonts w:ascii="Arial" w:hAnsi="Arial" w:cs="Arial"/>
          <w:b/>
          <w:bCs/>
          <w:sz w:val="24"/>
          <w:szCs w:val="28"/>
        </w:rPr>
        <w:t>CONSULTATION ON THE PROPOSED APPROACH</w:t>
      </w:r>
    </w:p>
    <w:p w14:paraId="5165CBF8" w14:textId="09A7FED7" w:rsidR="00AB634F" w:rsidRDefault="00AB634F" w:rsidP="00642D86">
      <w:pPr>
        <w:jc w:val="both"/>
        <w:rPr>
          <w:rFonts w:ascii="Arial" w:hAnsi="Arial" w:cs="Arial"/>
          <w:sz w:val="24"/>
          <w:szCs w:val="28"/>
        </w:rPr>
      </w:pPr>
      <w:r>
        <w:rPr>
          <w:rFonts w:ascii="Arial" w:hAnsi="Arial" w:cs="Arial"/>
          <w:sz w:val="24"/>
          <w:szCs w:val="28"/>
        </w:rPr>
        <w:t>The list of stakeholders consulted on the proposed approach are detailed below:</w:t>
      </w:r>
    </w:p>
    <w:p w14:paraId="6B0EC8F5" w14:textId="4F6D888F" w:rsidR="00AB634F" w:rsidRDefault="00AB634F" w:rsidP="00AB634F">
      <w:pPr>
        <w:pStyle w:val="ListParagraph"/>
        <w:numPr>
          <w:ilvl w:val="0"/>
          <w:numId w:val="3"/>
        </w:numPr>
        <w:jc w:val="both"/>
        <w:rPr>
          <w:rFonts w:ascii="Arial" w:hAnsi="Arial" w:cs="Arial"/>
          <w:sz w:val="24"/>
          <w:szCs w:val="28"/>
        </w:rPr>
      </w:pPr>
      <w:r>
        <w:rPr>
          <w:rFonts w:ascii="Arial" w:hAnsi="Arial" w:cs="Arial"/>
          <w:sz w:val="24"/>
          <w:szCs w:val="28"/>
        </w:rPr>
        <w:t>WorkSafe ACT</w:t>
      </w:r>
    </w:p>
    <w:p w14:paraId="3FC187DB" w14:textId="02264DAA" w:rsidR="00AB634F" w:rsidRPr="00AB634F" w:rsidRDefault="00AB634F" w:rsidP="00AB634F">
      <w:pPr>
        <w:pStyle w:val="ListParagraph"/>
        <w:numPr>
          <w:ilvl w:val="0"/>
          <w:numId w:val="3"/>
        </w:numPr>
        <w:jc w:val="both"/>
        <w:rPr>
          <w:rFonts w:ascii="Arial" w:hAnsi="Arial" w:cs="Arial"/>
          <w:sz w:val="24"/>
          <w:szCs w:val="28"/>
        </w:rPr>
      </w:pPr>
      <w:r>
        <w:rPr>
          <w:rFonts w:ascii="Arial" w:hAnsi="Arial" w:cs="Arial"/>
          <w:sz w:val="24"/>
          <w:szCs w:val="28"/>
        </w:rPr>
        <w:t>Community and Public Sector Union</w:t>
      </w:r>
    </w:p>
    <w:p w14:paraId="11612B72" w14:textId="77777777" w:rsidR="00F87236" w:rsidRDefault="00F87236" w:rsidP="00642D86">
      <w:pPr>
        <w:pStyle w:val="Heading2"/>
        <w:jc w:val="both"/>
        <w:rPr>
          <w:rFonts w:cs="Arial"/>
          <w:szCs w:val="24"/>
        </w:rPr>
      </w:pPr>
      <w:r w:rsidRPr="00B03D70">
        <w:rPr>
          <w:rFonts w:cs="Arial"/>
          <w:szCs w:val="24"/>
        </w:rPr>
        <w:t>CONSISTENCY WITH HUMAN RIGHTS</w:t>
      </w:r>
    </w:p>
    <w:p w14:paraId="60881BF1" w14:textId="77777777" w:rsidR="00642D86" w:rsidRPr="003919AC" w:rsidRDefault="00642D86" w:rsidP="00642D86">
      <w:pPr>
        <w:jc w:val="both"/>
        <w:rPr>
          <w:rFonts w:ascii="Arial" w:hAnsi="Arial" w:cs="Arial"/>
          <w:sz w:val="24"/>
          <w:szCs w:val="24"/>
        </w:rPr>
      </w:pPr>
      <w:r w:rsidRPr="003919AC">
        <w:rPr>
          <w:rFonts w:ascii="Arial" w:hAnsi="Arial" w:cs="Arial"/>
          <w:sz w:val="24"/>
          <w:szCs w:val="24"/>
        </w:rPr>
        <w:t xml:space="preserve">During the development of these amendments, due regard was given to its compatibility with human rights as set out in the </w:t>
      </w:r>
      <w:r w:rsidRPr="003919AC">
        <w:rPr>
          <w:rFonts w:ascii="Arial" w:hAnsi="Arial" w:cs="Arial"/>
          <w:i/>
          <w:iCs/>
          <w:sz w:val="24"/>
          <w:szCs w:val="24"/>
        </w:rPr>
        <w:t>Human Rights Act 2004 (ACT)</w:t>
      </w:r>
      <w:r w:rsidRPr="003919AC">
        <w:rPr>
          <w:rFonts w:ascii="Arial" w:hAnsi="Arial" w:cs="Arial"/>
          <w:sz w:val="24"/>
          <w:szCs w:val="24"/>
        </w:rPr>
        <w:t xml:space="preserve"> (</w:t>
      </w:r>
      <w:r w:rsidRPr="003919AC">
        <w:rPr>
          <w:rFonts w:ascii="Arial" w:hAnsi="Arial" w:cs="Arial"/>
          <w:b/>
          <w:bCs/>
          <w:sz w:val="24"/>
          <w:szCs w:val="24"/>
        </w:rPr>
        <w:t>HRA</w:t>
      </w:r>
      <w:r w:rsidRPr="003919AC">
        <w:rPr>
          <w:rFonts w:ascii="Arial" w:hAnsi="Arial" w:cs="Arial"/>
          <w:sz w:val="24"/>
          <w:szCs w:val="24"/>
        </w:rPr>
        <w:t>).</w:t>
      </w:r>
    </w:p>
    <w:p w14:paraId="60A4CA36" w14:textId="77777777" w:rsidR="00642D86" w:rsidRPr="003919AC" w:rsidRDefault="00642D86" w:rsidP="00642D86">
      <w:pPr>
        <w:spacing w:before="240"/>
        <w:jc w:val="both"/>
        <w:rPr>
          <w:rFonts w:ascii="Arial" w:hAnsi="Arial" w:cs="Arial"/>
          <w:sz w:val="24"/>
          <w:szCs w:val="24"/>
        </w:rPr>
      </w:pPr>
      <w:r w:rsidRPr="003919AC">
        <w:rPr>
          <w:rFonts w:ascii="Arial" w:hAnsi="Arial" w:cs="Arial"/>
          <w:sz w:val="24"/>
          <w:szCs w:val="24"/>
        </w:rPr>
        <w:t>An assessment of these amendments against section 28 of the HRA is provided below. Section 28 provides that human rights are subject only to reasonable limits set by laws that can be demonstrably justified in a free and democratic society.</w:t>
      </w:r>
    </w:p>
    <w:p w14:paraId="2CEE5568" w14:textId="77777777" w:rsidR="00642D86" w:rsidRPr="003919AC" w:rsidRDefault="00642D86" w:rsidP="00642D86">
      <w:pPr>
        <w:spacing w:before="240"/>
        <w:jc w:val="both"/>
        <w:rPr>
          <w:rFonts w:ascii="Arial" w:hAnsi="Arial" w:cs="Arial"/>
          <w:sz w:val="24"/>
          <w:szCs w:val="24"/>
        </w:rPr>
      </w:pPr>
      <w:r w:rsidRPr="003919AC">
        <w:rPr>
          <w:rFonts w:ascii="Arial" w:hAnsi="Arial" w:cs="Arial"/>
          <w:b/>
          <w:bCs/>
          <w:sz w:val="24"/>
          <w:szCs w:val="24"/>
        </w:rPr>
        <w:t>Rights engaged</w:t>
      </w:r>
    </w:p>
    <w:p w14:paraId="4E4F3DD0" w14:textId="77777777" w:rsidR="00642D86" w:rsidRDefault="00642D86" w:rsidP="00642D86">
      <w:pPr>
        <w:spacing w:before="240"/>
        <w:jc w:val="both"/>
        <w:rPr>
          <w:rFonts w:ascii="Arial" w:hAnsi="Arial" w:cs="Arial"/>
          <w:sz w:val="24"/>
          <w:szCs w:val="24"/>
        </w:rPr>
      </w:pPr>
      <w:r w:rsidRPr="003919AC">
        <w:rPr>
          <w:rFonts w:ascii="Arial" w:hAnsi="Arial" w:cs="Arial"/>
          <w:sz w:val="24"/>
          <w:szCs w:val="24"/>
        </w:rPr>
        <w:t>These amendments engage with the following sections of the HRA:</w:t>
      </w:r>
    </w:p>
    <w:p w14:paraId="37610E02" w14:textId="7B0826EC" w:rsidR="00642D86" w:rsidRDefault="00642D86" w:rsidP="00642D86">
      <w:pPr>
        <w:pStyle w:val="ListParagraph"/>
        <w:numPr>
          <w:ilvl w:val="0"/>
          <w:numId w:val="2"/>
        </w:numPr>
        <w:spacing w:before="240"/>
        <w:jc w:val="both"/>
        <w:rPr>
          <w:rFonts w:ascii="Arial" w:hAnsi="Arial" w:cs="Arial"/>
          <w:sz w:val="24"/>
          <w:szCs w:val="24"/>
        </w:rPr>
      </w:pPr>
      <w:r>
        <w:rPr>
          <w:rFonts w:ascii="Arial" w:hAnsi="Arial" w:cs="Arial"/>
          <w:sz w:val="24"/>
          <w:szCs w:val="24"/>
        </w:rPr>
        <w:t>Section 8 – Recognition and equality before the law (promoted)</w:t>
      </w:r>
    </w:p>
    <w:p w14:paraId="2012F2CD" w14:textId="1CF61E73" w:rsidR="00642D86" w:rsidRDefault="00642D86" w:rsidP="00642D86">
      <w:pPr>
        <w:pStyle w:val="ListParagraph"/>
        <w:numPr>
          <w:ilvl w:val="0"/>
          <w:numId w:val="2"/>
        </w:numPr>
        <w:spacing w:before="240"/>
        <w:jc w:val="both"/>
        <w:rPr>
          <w:rFonts w:ascii="Arial" w:hAnsi="Arial" w:cs="Arial"/>
          <w:sz w:val="24"/>
          <w:szCs w:val="24"/>
        </w:rPr>
      </w:pPr>
      <w:r>
        <w:rPr>
          <w:rFonts w:ascii="Arial" w:hAnsi="Arial" w:cs="Arial"/>
          <w:sz w:val="24"/>
          <w:szCs w:val="24"/>
        </w:rPr>
        <w:t>Section 11 – Protection of the family and children (promoted)</w:t>
      </w:r>
    </w:p>
    <w:p w14:paraId="0B178451" w14:textId="015AC48F" w:rsidR="00642D86" w:rsidRDefault="00642D86" w:rsidP="00642D86">
      <w:pPr>
        <w:pStyle w:val="ListParagraph"/>
        <w:numPr>
          <w:ilvl w:val="0"/>
          <w:numId w:val="2"/>
        </w:numPr>
        <w:spacing w:before="240"/>
        <w:jc w:val="both"/>
        <w:rPr>
          <w:rFonts w:ascii="Arial" w:hAnsi="Arial" w:cs="Arial"/>
          <w:sz w:val="24"/>
          <w:szCs w:val="24"/>
        </w:rPr>
      </w:pPr>
      <w:r>
        <w:rPr>
          <w:rFonts w:ascii="Arial" w:hAnsi="Arial" w:cs="Arial"/>
          <w:sz w:val="24"/>
          <w:szCs w:val="24"/>
        </w:rPr>
        <w:t>Section 12 – Privacy and reputation (promoted)</w:t>
      </w:r>
    </w:p>
    <w:p w14:paraId="2CC891A1" w14:textId="571ED021" w:rsidR="00642D86" w:rsidRDefault="00642D86" w:rsidP="00642D86">
      <w:pPr>
        <w:pStyle w:val="ListParagraph"/>
        <w:numPr>
          <w:ilvl w:val="0"/>
          <w:numId w:val="2"/>
        </w:numPr>
        <w:spacing w:before="240"/>
        <w:jc w:val="both"/>
        <w:rPr>
          <w:rFonts w:ascii="Arial" w:hAnsi="Arial" w:cs="Arial"/>
          <w:sz w:val="24"/>
          <w:szCs w:val="24"/>
        </w:rPr>
      </w:pPr>
      <w:r>
        <w:rPr>
          <w:rFonts w:ascii="Arial" w:hAnsi="Arial" w:cs="Arial"/>
          <w:sz w:val="24"/>
          <w:szCs w:val="24"/>
        </w:rPr>
        <w:t>Section 27B – Right to work and other work-related rights (promoted)</w:t>
      </w:r>
    </w:p>
    <w:p w14:paraId="7711CC2B" w14:textId="77777777" w:rsidR="000C3FB7" w:rsidRDefault="000C3FB7" w:rsidP="000C3FB7">
      <w:pPr>
        <w:spacing w:before="240"/>
        <w:jc w:val="both"/>
        <w:rPr>
          <w:rFonts w:ascii="Arial" w:hAnsi="Arial" w:cs="Arial"/>
          <w:sz w:val="24"/>
          <w:szCs w:val="24"/>
        </w:rPr>
      </w:pPr>
    </w:p>
    <w:p w14:paraId="01F9C8B0" w14:textId="77777777" w:rsidR="000C3FB7" w:rsidRDefault="000C3FB7" w:rsidP="000C3FB7">
      <w:pPr>
        <w:spacing w:before="240"/>
        <w:jc w:val="both"/>
        <w:rPr>
          <w:rFonts w:ascii="Arial" w:hAnsi="Arial" w:cs="Arial"/>
          <w:sz w:val="24"/>
          <w:szCs w:val="24"/>
        </w:rPr>
      </w:pPr>
    </w:p>
    <w:p w14:paraId="260CF046" w14:textId="77777777" w:rsidR="004D7E4F" w:rsidRPr="000C3FB7" w:rsidRDefault="004D7E4F" w:rsidP="000C3FB7">
      <w:pPr>
        <w:spacing w:before="240"/>
        <w:jc w:val="both"/>
        <w:rPr>
          <w:rFonts w:ascii="Arial" w:hAnsi="Arial" w:cs="Arial"/>
          <w:sz w:val="24"/>
          <w:szCs w:val="24"/>
        </w:rPr>
      </w:pPr>
    </w:p>
    <w:p w14:paraId="76F4CF9D" w14:textId="77777777" w:rsidR="00642D86" w:rsidRDefault="00642D86" w:rsidP="00642D86">
      <w:pPr>
        <w:spacing w:before="240"/>
        <w:jc w:val="both"/>
        <w:rPr>
          <w:rFonts w:ascii="Arial" w:hAnsi="Arial" w:cs="Arial"/>
          <w:b/>
          <w:bCs/>
          <w:sz w:val="24"/>
          <w:szCs w:val="24"/>
        </w:rPr>
      </w:pPr>
      <w:r w:rsidRPr="003919AC">
        <w:rPr>
          <w:rFonts w:ascii="Arial" w:hAnsi="Arial" w:cs="Arial"/>
          <w:b/>
          <w:bCs/>
          <w:sz w:val="24"/>
          <w:szCs w:val="24"/>
        </w:rPr>
        <w:lastRenderedPageBreak/>
        <w:t>Rights promoted</w:t>
      </w:r>
    </w:p>
    <w:p w14:paraId="18F3D688" w14:textId="4D304EC1" w:rsidR="003028A4" w:rsidRDefault="003028A4" w:rsidP="00642D86">
      <w:pPr>
        <w:spacing w:before="240"/>
        <w:jc w:val="both"/>
        <w:rPr>
          <w:rFonts w:ascii="Arial" w:hAnsi="Arial" w:cs="Arial"/>
          <w:sz w:val="24"/>
          <w:szCs w:val="24"/>
          <w:u w:val="single"/>
        </w:rPr>
      </w:pPr>
      <w:r w:rsidRPr="003028A4">
        <w:rPr>
          <w:rFonts w:ascii="Arial" w:hAnsi="Arial" w:cs="Arial"/>
          <w:sz w:val="24"/>
          <w:szCs w:val="24"/>
          <w:u w:val="single"/>
        </w:rPr>
        <w:t>Recognition and equality before the law</w:t>
      </w:r>
    </w:p>
    <w:p w14:paraId="44F777AF" w14:textId="779137FF" w:rsidR="00EA636E" w:rsidRDefault="00EA636E" w:rsidP="00642D86">
      <w:pPr>
        <w:spacing w:before="240"/>
        <w:jc w:val="both"/>
        <w:rPr>
          <w:rFonts w:ascii="Arial" w:hAnsi="Arial" w:cs="Arial"/>
          <w:sz w:val="24"/>
          <w:szCs w:val="24"/>
        </w:rPr>
      </w:pPr>
      <w:r>
        <w:rPr>
          <w:rFonts w:ascii="Arial" w:hAnsi="Arial" w:cs="Arial"/>
          <w:sz w:val="24"/>
          <w:szCs w:val="24"/>
        </w:rPr>
        <w:t>Section 8 of the HRA provides everyone the right to recognition and equality before the law. This includes the right to enjoy their human rights without distinction or discrimination of any kind, and that everyone has the right to equal and effective protection against discrimination on any ground.</w:t>
      </w:r>
    </w:p>
    <w:p w14:paraId="30BE5900" w14:textId="48089EF6" w:rsidR="00EA78C4" w:rsidRDefault="00EA78C4" w:rsidP="00642D86">
      <w:pPr>
        <w:spacing w:before="240"/>
        <w:jc w:val="both"/>
        <w:rPr>
          <w:rFonts w:ascii="Arial" w:hAnsi="Arial" w:cs="Arial"/>
          <w:sz w:val="24"/>
          <w:szCs w:val="24"/>
        </w:rPr>
      </w:pPr>
      <w:r>
        <w:rPr>
          <w:rFonts w:ascii="Arial" w:hAnsi="Arial" w:cs="Arial"/>
          <w:sz w:val="24"/>
          <w:szCs w:val="24"/>
        </w:rPr>
        <w:t xml:space="preserve">This right is </w:t>
      </w:r>
      <w:r w:rsidR="007A63C3">
        <w:rPr>
          <w:rFonts w:ascii="Arial" w:hAnsi="Arial" w:cs="Arial"/>
          <w:sz w:val="24"/>
          <w:szCs w:val="24"/>
        </w:rPr>
        <w:t>promoted</w:t>
      </w:r>
      <w:r>
        <w:rPr>
          <w:rFonts w:ascii="Arial" w:hAnsi="Arial" w:cs="Arial"/>
          <w:sz w:val="24"/>
          <w:szCs w:val="24"/>
        </w:rPr>
        <w:t xml:space="preserve"> for complainants of sexual offences in the workplace through these amendments. </w:t>
      </w:r>
    </w:p>
    <w:p w14:paraId="00BAB1C7" w14:textId="760AC47F" w:rsidR="003F375F" w:rsidRDefault="003F375F" w:rsidP="00642D86">
      <w:pPr>
        <w:spacing w:before="240"/>
        <w:jc w:val="both"/>
        <w:rPr>
          <w:rFonts w:ascii="Arial" w:hAnsi="Arial" w:cs="Arial"/>
          <w:sz w:val="24"/>
          <w:szCs w:val="24"/>
        </w:rPr>
      </w:pPr>
      <w:r>
        <w:rPr>
          <w:rFonts w:ascii="Arial" w:hAnsi="Arial" w:cs="Arial"/>
          <w:sz w:val="24"/>
          <w:szCs w:val="24"/>
        </w:rPr>
        <w:t xml:space="preserve">By providing a prohibition on the </w:t>
      </w:r>
      <w:r w:rsidR="00CD3880">
        <w:rPr>
          <w:rFonts w:ascii="Arial" w:hAnsi="Arial" w:cs="Arial"/>
          <w:sz w:val="24"/>
          <w:szCs w:val="24"/>
        </w:rPr>
        <w:t xml:space="preserve">publication of a complainant’s identity for proceedings of sexual offences against the WHS Act and for WHS infringement notices under the </w:t>
      </w:r>
      <w:r w:rsidR="00CD3880">
        <w:rPr>
          <w:rFonts w:ascii="Arial" w:hAnsi="Arial" w:cs="Arial"/>
          <w:i/>
          <w:iCs/>
          <w:sz w:val="24"/>
          <w:szCs w:val="24"/>
        </w:rPr>
        <w:t>Magistrates Court (Work Health and Safety Infringement Notices) Regulation 2011</w:t>
      </w:r>
      <w:r w:rsidR="00CD3880">
        <w:rPr>
          <w:rFonts w:ascii="Arial" w:hAnsi="Arial" w:cs="Arial"/>
          <w:sz w:val="24"/>
          <w:szCs w:val="24"/>
        </w:rPr>
        <w:t xml:space="preserve">, this right is extended to provide similar protection to other offences in section 41 of the EMPA. </w:t>
      </w:r>
    </w:p>
    <w:p w14:paraId="341641DA" w14:textId="05AFB35C" w:rsidR="00EE70D8" w:rsidRPr="00CD3880" w:rsidRDefault="00EE70D8" w:rsidP="00642D86">
      <w:pPr>
        <w:spacing w:before="240"/>
        <w:jc w:val="both"/>
        <w:rPr>
          <w:rFonts w:ascii="Arial" w:hAnsi="Arial" w:cs="Arial"/>
          <w:sz w:val="24"/>
          <w:szCs w:val="24"/>
        </w:rPr>
      </w:pPr>
      <w:r>
        <w:rPr>
          <w:rFonts w:ascii="Arial" w:hAnsi="Arial" w:cs="Arial"/>
          <w:sz w:val="24"/>
          <w:szCs w:val="24"/>
        </w:rPr>
        <w:t xml:space="preserve">Additionally, these amendments will also ensure the positive duty to prevent sex-based discrimination established in the Commonwealth Respect at Work Act is also reflected in Territory law. </w:t>
      </w:r>
      <w:r w:rsidR="0087473E">
        <w:rPr>
          <w:rFonts w:ascii="Arial" w:hAnsi="Arial" w:cs="Arial"/>
          <w:sz w:val="24"/>
          <w:szCs w:val="24"/>
        </w:rPr>
        <w:t xml:space="preserve">This expanded definition of complainant will include any person against whom a sexual assault or an act of a sexually offensive, </w:t>
      </w:r>
      <w:r w:rsidR="00F6693D">
        <w:rPr>
          <w:rFonts w:ascii="Arial" w:hAnsi="Arial" w:cs="Arial"/>
          <w:sz w:val="24"/>
          <w:szCs w:val="24"/>
        </w:rPr>
        <w:t>intimidating,</w:t>
      </w:r>
      <w:r w:rsidR="0087473E">
        <w:rPr>
          <w:rFonts w:ascii="Arial" w:hAnsi="Arial" w:cs="Arial"/>
          <w:sz w:val="24"/>
          <w:szCs w:val="24"/>
        </w:rPr>
        <w:t xml:space="preserve"> or humiliating nature is alleged, </w:t>
      </w:r>
      <w:r w:rsidR="00F6693D">
        <w:rPr>
          <w:rFonts w:ascii="Arial" w:hAnsi="Arial" w:cs="Arial"/>
          <w:sz w:val="24"/>
          <w:szCs w:val="24"/>
        </w:rPr>
        <w:t>suspected,</w:t>
      </w:r>
      <w:r w:rsidR="0087473E">
        <w:rPr>
          <w:rFonts w:ascii="Arial" w:hAnsi="Arial" w:cs="Arial"/>
          <w:sz w:val="24"/>
          <w:szCs w:val="24"/>
        </w:rPr>
        <w:t xml:space="preserve"> or found to have occurred. </w:t>
      </w:r>
    </w:p>
    <w:p w14:paraId="008ADD90" w14:textId="6A629641" w:rsidR="003028A4" w:rsidRDefault="003028A4" w:rsidP="00642D86">
      <w:pPr>
        <w:spacing w:before="240"/>
        <w:jc w:val="both"/>
        <w:rPr>
          <w:rFonts w:ascii="Arial" w:hAnsi="Arial" w:cs="Arial"/>
          <w:sz w:val="24"/>
          <w:szCs w:val="24"/>
          <w:u w:val="single"/>
        </w:rPr>
      </w:pPr>
      <w:r w:rsidRPr="003028A4">
        <w:rPr>
          <w:rFonts w:ascii="Arial" w:hAnsi="Arial" w:cs="Arial"/>
          <w:sz w:val="24"/>
          <w:szCs w:val="24"/>
          <w:u w:val="single"/>
        </w:rPr>
        <w:t>Protection of the family and children</w:t>
      </w:r>
    </w:p>
    <w:p w14:paraId="58184CBE" w14:textId="303469BD" w:rsidR="00F6693D" w:rsidRDefault="00F6693D" w:rsidP="00642D86">
      <w:pPr>
        <w:spacing w:before="240"/>
        <w:jc w:val="both"/>
        <w:rPr>
          <w:rFonts w:ascii="Arial" w:hAnsi="Arial" w:cs="Arial"/>
          <w:sz w:val="24"/>
          <w:szCs w:val="24"/>
        </w:rPr>
      </w:pPr>
      <w:r>
        <w:rPr>
          <w:rFonts w:ascii="Arial" w:hAnsi="Arial" w:cs="Arial"/>
          <w:sz w:val="24"/>
          <w:szCs w:val="24"/>
        </w:rPr>
        <w:t xml:space="preserve">Section 11 of the HRA provide everyone has the right to protection of the family and children. This includes the protection of a family against discrimination of any kind. </w:t>
      </w:r>
    </w:p>
    <w:p w14:paraId="0E088F67" w14:textId="6CF34173" w:rsidR="00243804" w:rsidRDefault="00243804" w:rsidP="00642D86">
      <w:pPr>
        <w:spacing w:before="240"/>
        <w:jc w:val="both"/>
        <w:rPr>
          <w:rFonts w:ascii="Arial" w:hAnsi="Arial" w:cs="Arial"/>
          <w:sz w:val="24"/>
          <w:szCs w:val="24"/>
        </w:rPr>
      </w:pPr>
      <w:r>
        <w:rPr>
          <w:rFonts w:ascii="Arial" w:hAnsi="Arial" w:cs="Arial"/>
          <w:sz w:val="24"/>
          <w:szCs w:val="24"/>
        </w:rPr>
        <w:t xml:space="preserve">These amendments will </w:t>
      </w:r>
      <w:r w:rsidR="007A63C3">
        <w:rPr>
          <w:rFonts w:ascii="Arial" w:hAnsi="Arial" w:cs="Arial"/>
          <w:sz w:val="24"/>
          <w:szCs w:val="24"/>
        </w:rPr>
        <w:t>promote</w:t>
      </w:r>
      <w:r>
        <w:rPr>
          <w:rFonts w:ascii="Arial" w:hAnsi="Arial" w:cs="Arial"/>
          <w:sz w:val="24"/>
          <w:szCs w:val="24"/>
        </w:rPr>
        <w:t xml:space="preserve"> this right for complainants in sexual offences in the workplace. </w:t>
      </w:r>
    </w:p>
    <w:p w14:paraId="742F1C5D" w14:textId="2B8592D8" w:rsidR="00F6693D" w:rsidRPr="00F6693D" w:rsidRDefault="00F6693D" w:rsidP="00642D86">
      <w:pPr>
        <w:spacing w:before="240"/>
        <w:jc w:val="both"/>
        <w:rPr>
          <w:rFonts w:ascii="Arial" w:hAnsi="Arial" w:cs="Arial"/>
          <w:sz w:val="24"/>
          <w:szCs w:val="24"/>
        </w:rPr>
      </w:pPr>
      <w:r>
        <w:rPr>
          <w:rFonts w:ascii="Arial" w:hAnsi="Arial" w:cs="Arial"/>
          <w:sz w:val="24"/>
          <w:szCs w:val="24"/>
        </w:rPr>
        <w:t xml:space="preserve">Publication and disclosure of a complainants identify can also allow their family members to be identified. This can place the family of complainant at an unnecessary risk of experiencing a range of forms of discrimination. </w:t>
      </w:r>
    </w:p>
    <w:p w14:paraId="7CF8ADBE" w14:textId="6B2E5898" w:rsidR="003028A4" w:rsidRDefault="003028A4" w:rsidP="00642D86">
      <w:pPr>
        <w:spacing w:before="240"/>
        <w:jc w:val="both"/>
        <w:rPr>
          <w:rFonts w:ascii="Arial" w:hAnsi="Arial" w:cs="Arial"/>
          <w:sz w:val="24"/>
          <w:szCs w:val="24"/>
          <w:u w:val="single"/>
        </w:rPr>
      </w:pPr>
      <w:r w:rsidRPr="003028A4">
        <w:rPr>
          <w:rFonts w:ascii="Arial" w:hAnsi="Arial" w:cs="Arial"/>
          <w:sz w:val="24"/>
          <w:szCs w:val="24"/>
          <w:u w:val="single"/>
        </w:rPr>
        <w:t>Privacy and reputation</w:t>
      </w:r>
    </w:p>
    <w:p w14:paraId="2AD196C3" w14:textId="20A23B5B" w:rsidR="00AA08F0" w:rsidRDefault="00AA08F0" w:rsidP="00642D86">
      <w:pPr>
        <w:spacing w:before="240"/>
        <w:jc w:val="both"/>
        <w:rPr>
          <w:rFonts w:ascii="Arial" w:hAnsi="Arial" w:cs="Arial"/>
          <w:sz w:val="24"/>
          <w:szCs w:val="24"/>
        </w:rPr>
      </w:pPr>
      <w:r>
        <w:rPr>
          <w:rFonts w:ascii="Arial" w:hAnsi="Arial" w:cs="Arial"/>
          <w:sz w:val="24"/>
          <w:szCs w:val="24"/>
        </w:rPr>
        <w:t xml:space="preserve">Section 12 of the HRA provides everyone the right to privacy and reputation. This extends to not having their privacy interfered with unlawfully and arbitrarily. It also </w:t>
      </w:r>
      <w:r w:rsidR="008B5675">
        <w:rPr>
          <w:rFonts w:ascii="Arial" w:hAnsi="Arial" w:cs="Arial"/>
          <w:sz w:val="24"/>
          <w:szCs w:val="24"/>
        </w:rPr>
        <w:t>provides</w:t>
      </w:r>
      <w:r>
        <w:rPr>
          <w:rFonts w:ascii="Arial" w:hAnsi="Arial" w:cs="Arial"/>
          <w:sz w:val="24"/>
          <w:szCs w:val="24"/>
        </w:rPr>
        <w:t xml:space="preserve"> everyone the right </w:t>
      </w:r>
      <w:r w:rsidR="00B720EA">
        <w:rPr>
          <w:rFonts w:ascii="Arial" w:hAnsi="Arial" w:cs="Arial"/>
          <w:sz w:val="24"/>
          <w:szCs w:val="24"/>
        </w:rPr>
        <w:t xml:space="preserve">to </w:t>
      </w:r>
      <w:r>
        <w:rPr>
          <w:rFonts w:ascii="Arial" w:hAnsi="Arial" w:cs="Arial"/>
          <w:sz w:val="24"/>
          <w:szCs w:val="24"/>
        </w:rPr>
        <w:t xml:space="preserve">not have their reputation unlawfully attacked. </w:t>
      </w:r>
    </w:p>
    <w:p w14:paraId="6A40EEB7" w14:textId="5D65C2D7" w:rsidR="00AA08F0" w:rsidRDefault="00AA08F0" w:rsidP="00642D86">
      <w:pPr>
        <w:spacing w:before="240"/>
        <w:jc w:val="both"/>
        <w:rPr>
          <w:rFonts w:ascii="Arial" w:hAnsi="Arial" w:cs="Arial"/>
          <w:sz w:val="24"/>
          <w:szCs w:val="24"/>
        </w:rPr>
      </w:pPr>
      <w:r>
        <w:rPr>
          <w:rFonts w:ascii="Arial" w:hAnsi="Arial" w:cs="Arial"/>
          <w:sz w:val="24"/>
          <w:szCs w:val="24"/>
        </w:rPr>
        <w:t xml:space="preserve">These amendments </w:t>
      </w:r>
      <w:r w:rsidR="007A63C3">
        <w:rPr>
          <w:rFonts w:ascii="Arial" w:hAnsi="Arial" w:cs="Arial"/>
          <w:sz w:val="24"/>
          <w:szCs w:val="24"/>
        </w:rPr>
        <w:t>promote</w:t>
      </w:r>
      <w:r>
        <w:rPr>
          <w:rFonts w:ascii="Arial" w:hAnsi="Arial" w:cs="Arial"/>
          <w:sz w:val="24"/>
          <w:szCs w:val="24"/>
        </w:rPr>
        <w:t xml:space="preserve"> both aspects of this right for complainants of sexual offences in the workplace. </w:t>
      </w:r>
    </w:p>
    <w:p w14:paraId="71B8D0C2" w14:textId="77777777" w:rsidR="000C3FB7" w:rsidRDefault="000C3FB7" w:rsidP="00642D86">
      <w:pPr>
        <w:spacing w:before="240"/>
        <w:jc w:val="both"/>
        <w:rPr>
          <w:rFonts w:ascii="Arial" w:hAnsi="Arial" w:cs="Arial"/>
          <w:sz w:val="24"/>
          <w:szCs w:val="24"/>
        </w:rPr>
      </w:pPr>
    </w:p>
    <w:p w14:paraId="7DF3CDCB" w14:textId="0D2AD01F" w:rsidR="008B5675" w:rsidRPr="008B5675" w:rsidRDefault="007A63C3" w:rsidP="00642D86">
      <w:pPr>
        <w:spacing w:before="240"/>
        <w:jc w:val="both"/>
        <w:rPr>
          <w:rFonts w:ascii="Arial" w:hAnsi="Arial" w:cs="Arial"/>
          <w:sz w:val="24"/>
          <w:szCs w:val="24"/>
        </w:rPr>
      </w:pPr>
      <w:r>
        <w:rPr>
          <w:rFonts w:ascii="Arial" w:hAnsi="Arial" w:cs="Arial"/>
          <w:sz w:val="24"/>
          <w:szCs w:val="24"/>
        </w:rPr>
        <w:lastRenderedPageBreak/>
        <w:t xml:space="preserve">By not having their identity disclosed in relevant sexual offence proceedings, the complainant will have their right to privacy maintained by remaining anonymous. An extension of remaining anonymous also means that their reputation can be protected and not arbitrarily or unlawfully interfered with. </w:t>
      </w:r>
    </w:p>
    <w:p w14:paraId="585532D4" w14:textId="55ABB860" w:rsidR="006D2E3C" w:rsidRDefault="003028A4" w:rsidP="00642D86">
      <w:pPr>
        <w:spacing w:before="240"/>
        <w:jc w:val="both"/>
        <w:rPr>
          <w:rFonts w:ascii="Arial" w:hAnsi="Arial" w:cs="Arial"/>
          <w:sz w:val="24"/>
          <w:szCs w:val="24"/>
          <w:u w:val="single"/>
        </w:rPr>
      </w:pPr>
      <w:r w:rsidRPr="003028A4">
        <w:rPr>
          <w:rFonts w:ascii="Arial" w:hAnsi="Arial" w:cs="Arial"/>
          <w:sz w:val="24"/>
          <w:szCs w:val="24"/>
          <w:u w:val="single"/>
        </w:rPr>
        <w:t>Right to work and other work-related rights</w:t>
      </w:r>
    </w:p>
    <w:p w14:paraId="276298EF" w14:textId="21D08F17" w:rsidR="008B5675" w:rsidRDefault="008B5675" w:rsidP="00642D86">
      <w:pPr>
        <w:spacing w:before="240"/>
        <w:jc w:val="both"/>
        <w:rPr>
          <w:rFonts w:ascii="Arial" w:hAnsi="Arial" w:cs="Arial"/>
          <w:sz w:val="24"/>
          <w:szCs w:val="24"/>
        </w:rPr>
      </w:pPr>
      <w:r>
        <w:rPr>
          <w:rFonts w:ascii="Arial" w:hAnsi="Arial" w:cs="Arial"/>
          <w:sz w:val="24"/>
          <w:szCs w:val="24"/>
        </w:rPr>
        <w:t>Section 27B of the HRA provides everyone the right to work, and other work-related rights. This extends to</w:t>
      </w:r>
      <w:r w:rsidR="00B720EA">
        <w:rPr>
          <w:rFonts w:ascii="Arial" w:hAnsi="Arial" w:cs="Arial"/>
          <w:sz w:val="24"/>
          <w:szCs w:val="24"/>
        </w:rPr>
        <w:t xml:space="preserve"> providing everyone the right to just and favourable working conditions. </w:t>
      </w:r>
    </w:p>
    <w:p w14:paraId="3BF2CEF8" w14:textId="75C89487" w:rsidR="0002139A" w:rsidRDefault="00B720EA" w:rsidP="00642D86">
      <w:pPr>
        <w:spacing w:before="240"/>
        <w:jc w:val="both"/>
        <w:rPr>
          <w:rFonts w:ascii="Arial" w:hAnsi="Arial" w:cs="Arial"/>
          <w:sz w:val="24"/>
          <w:szCs w:val="24"/>
        </w:rPr>
      </w:pPr>
      <w:r>
        <w:rPr>
          <w:rFonts w:ascii="Arial" w:hAnsi="Arial" w:cs="Arial"/>
          <w:sz w:val="24"/>
          <w:szCs w:val="24"/>
        </w:rPr>
        <w:t>For working condition to be just and favourable, workers must have a workplace which has suitable systems in place to minimise and eliminate any risks and hazards to their health and wellbeing. These amendments will promote this right by ensuring workers who experience sexual offences, or any sexually offensive, intimidating, and humiliating conduct feel free to report such incidents.</w:t>
      </w:r>
    </w:p>
    <w:p w14:paraId="5F14ABFB" w14:textId="77B4FFDC" w:rsidR="00B720EA" w:rsidRPr="008B5675" w:rsidRDefault="0002139A" w:rsidP="00642D86">
      <w:pPr>
        <w:spacing w:before="240"/>
        <w:jc w:val="both"/>
        <w:rPr>
          <w:rFonts w:ascii="Arial" w:hAnsi="Arial" w:cs="Arial"/>
          <w:sz w:val="24"/>
          <w:szCs w:val="24"/>
        </w:rPr>
      </w:pPr>
      <w:r>
        <w:rPr>
          <w:rFonts w:ascii="Arial" w:hAnsi="Arial" w:cs="Arial"/>
          <w:sz w:val="24"/>
          <w:szCs w:val="24"/>
        </w:rPr>
        <w:t>Under the current settings, this is limited as the regulator must inform the complainant that their identity will be disclosed in court if the complaint proceeds to prosecution. This places a barrier on victims reporting such incidents and limits the effectiveness of work health and safety systems to eliminate such risks. T</w:t>
      </w:r>
      <w:r w:rsidRPr="0002139A">
        <w:rPr>
          <w:rFonts w:ascii="Arial" w:hAnsi="Arial" w:cs="Arial"/>
          <w:sz w:val="24"/>
          <w:szCs w:val="24"/>
        </w:rPr>
        <w:t>he inability to protect a worker’s identity if the offence involves a suspected or alleged sexual assault or any other act of a sexually offensive, intimidating or humiliating nature, could result in an unsafe workplace not being held to account.</w:t>
      </w:r>
    </w:p>
    <w:p w14:paraId="68EBEAD2" w14:textId="3C59503D" w:rsidR="00642D86" w:rsidRPr="003919AC" w:rsidRDefault="00642D86" w:rsidP="00642D86">
      <w:pPr>
        <w:spacing w:before="240"/>
        <w:jc w:val="both"/>
        <w:rPr>
          <w:rFonts w:ascii="Arial" w:hAnsi="Arial" w:cs="Arial"/>
          <w:b/>
          <w:bCs/>
          <w:sz w:val="24"/>
          <w:szCs w:val="24"/>
        </w:rPr>
      </w:pPr>
      <w:r>
        <w:rPr>
          <w:rFonts w:ascii="Arial" w:hAnsi="Arial" w:cs="Arial"/>
          <w:b/>
          <w:bCs/>
          <w:sz w:val="24"/>
          <w:szCs w:val="24"/>
        </w:rPr>
        <w:t>Rights limited</w:t>
      </w:r>
    </w:p>
    <w:p w14:paraId="68174A3E" w14:textId="174A64E9" w:rsidR="00642D86" w:rsidRPr="003028A4" w:rsidRDefault="003028A4" w:rsidP="00642D86">
      <w:pPr>
        <w:rPr>
          <w:rFonts w:ascii="Arial" w:hAnsi="Arial" w:cs="Arial"/>
          <w:sz w:val="24"/>
          <w:szCs w:val="24"/>
        </w:rPr>
      </w:pPr>
      <w:r>
        <w:rPr>
          <w:rFonts w:ascii="Arial" w:hAnsi="Arial" w:cs="Arial"/>
          <w:sz w:val="24"/>
          <w:szCs w:val="24"/>
        </w:rPr>
        <w:t xml:space="preserve">No rights are anticipated to be limited through enacting these amendments. </w:t>
      </w:r>
    </w:p>
    <w:p w14:paraId="5D931B44" w14:textId="77777777" w:rsidR="00F87236" w:rsidRPr="0033363C" w:rsidRDefault="00F87236" w:rsidP="00642D86">
      <w:pPr>
        <w:pStyle w:val="Heading2"/>
        <w:pageBreakBefore/>
        <w:spacing w:before="240" w:after="240" w:line="276" w:lineRule="auto"/>
        <w:jc w:val="both"/>
        <w:rPr>
          <w:rFonts w:cs="Arial"/>
          <w:szCs w:val="24"/>
        </w:rPr>
      </w:pPr>
      <w:r w:rsidRPr="0033363C">
        <w:rPr>
          <w:rFonts w:cs="Arial"/>
          <w:szCs w:val="24"/>
        </w:rPr>
        <w:lastRenderedPageBreak/>
        <w:t>CLAUSE NOTES</w:t>
      </w:r>
    </w:p>
    <w:p w14:paraId="5B1300F6" w14:textId="2E523E9A" w:rsidR="00F87236" w:rsidRPr="00BC7054" w:rsidRDefault="00BC7054" w:rsidP="00642D86">
      <w:pPr>
        <w:spacing w:after="0"/>
        <w:jc w:val="both"/>
        <w:rPr>
          <w:rFonts w:ascii="Arial" w:hAnsi="Arial" w:cs="Arial"/>
          <w:b/>
          <w:bCs/>
          <w:sz w:val="24"/>
          <w:szCs w:val="24"/>
        </w:rPr>
      </w:pPr>
      <w:r w:rsidRPr="00BC7054">
        <w:rPr>
          <w:rFonts w:ascii="Arial" w:hAnsi="Arial" w:cs="Arial"/>
          <w:b/>
          <w:bCs/>
          <w:sz w:val="24"/>
          <w:szCs w:val="24"/>
        </w:rPr>
        <w:t>Clause 1 – Name of Act</w:t>
      </w:r>
    </w:p>
    <w:p w14:paraId="543F0A60" w14:textId="245DB9C5" w:rsidR="00BC7054" w:rsidRPr="00BC7054" w:rsidRDefault="6A06B6AA" w:rsidP="00642D86">
      <w:pPr>
        <w:jc w:val="both"/>
        <w:rPr>
          <w:rFonts w:ascii="Arial" w:hAnsi="Arial" w:cs="Arial"/>
          <w:sz w:val="24"/>
          <w:szCs w:val="24"/>
        </w:rPr>
      </w:pPr>
      <w:r w:rsidRPr="6D17FB59">
        <w:rPr>
          <w:rFonts w:ascii="Arial" w:hAnsi="Arial" w:cs="Arial"/>
          <w:sz w:val="24"/>
          <w:szCs w:val="24"/>
        </w:rPr>
        <w:t xml:space="preserve">This clause names this Act. It shall be named </w:t>
      </w:r>
      <w:r w:rsidRPr="6D17FB59">
        <w:rPr>
          <w:rFonts w:ascii="Arial" w:hAnsi="Arial" w:cs="Arial"/>
          <w:i/>
          <w:iCs/>
          <w:sz w:val="24"/>
          <w:szCs w:val="24"/>
        </w:rPr>
        <w:t>Evidence (Miscellaneous Provisions) Amendment Act 2024</w:t>
      </w:r>
      <w:r w:rsidRPr="6D17FB59">
        <w:rPr>
          <w:rFonts w:ascii="Arial" w:hAnsi="Arial" w:cs="Arial"/>
          <w:sz w:val="24"/>
          <w:szCs w:val="24"/>
        </w:rPr>
        <w:t xml:space="preserve">. </w:t>
      </w:r>
    </w:p>
    <w:p w14:paraId="200A4DE2" w14:textId="4E0DDE27" w:rsidR="00BC7054" w:rsidRPr="00BC7054" w:rsidRDefault="00BC7054" w:rsidP="00642D86">
      <w:pPr>
        <w:spacing w:after="0"/>
        <w:jc w:val="both"/>
        <w:rPr>
          <w:rFonts w:ascii="Arial" w:hAnsi="Arial" w:cs="Arial"/>
          <w:b/>
          <w:bCs/>
          <w:sz w:val="24"/>
          <w:szCs w:val="24"/>
        </w:rPr>
      </w:pPr>
      <w:r w:rsidRPr="00BC7054">
        <w:rPr>
          <w:rFonts w:ascii="Arial" w:hAnsi="Arial" w:cs="Arial"/>
          <w:b/>
          <w:bCs/>
          <w:sz w:val="24"/>
          <w:szCs w:val="24"/>
        </w:rPr>
        <w:t>Clause 2 – Commencement</w:t>
      </w:r>
    </w:p>
    <w:p w14:paraId="77EEEBF0" w14:textId="67730BDD" w:rsidR="00BC7054" w:rsidRPr="00BC7054" w:rsidRDefault="6A06B6AA" w:rsidP="00642D86">
      <w:pPr>
        <w:jc w:val="both"/>
        <w:rPr>
          <w:rFonts w:ascii="Arial" w:hAnsi="Arial" w:cs="Arial"/>
          <w:sz w:val="24"/>
          <w:szCs w:val="24"/>
        </w:rPr>
      </w:pPr>
      <w:r w:rsidRPr="6D17FB59">
        <w:rPr>
          <w:rFonts w:ascii="Arial" w:hAnsi="Arial" w:cs="Arial"/>
          <w:sz w:val="24"/>
          <w:szCs w:val="24"/>
        </w:rPr>
        <w:t xml:space="preserve">This clause will have the Act commence on its notification date </w:t>
      </w:r>
      <w:r w:rsidR="521A3D60" w:rsidRPr="6D17FB59">
        <w:rPr>
          <w:rFonts w:ascii="Arial" w:hAnsi="Arial" w:cs="Arial"/>
          <w:sz w:val="24"/>
          <w:szCs w:val="24"/>
        </w:rPr>
        <w:t>in line</w:t>
      </w:r>
      <w:r w:rsidRPr="6D17FB59">
        <w:rPr>
          <w:rFonts w:ascii="Arial" w:hAnsi="Arial" w:cs="Arial"/>
          <w:sz w:val="24"/>
          <w:szCs w:val="24"/>
        </w:rPr>
        <w:t xml:space="preserve"> with section 75(1) of the </w:t>
      </w:r>
      <w:r w:rsidRPr="6D17FB59">
        <w:rPr>
          <w:rFonts w:ascii="Arial" w:hAnsi="Arial" w:cs="Arial"/>
          <w:i/>
          <w:iCs/>
          <w:sz w:val="24"/>
          <w:szCs w:val="24"/>
        </w:rPr>
        <w:t>Legislation Act 2001</w:t>
      </w:r>
      <w:r w:rsidRPr="6D17FB59">
        <w:rPr>
          <w:rFonts w:ascii="Arial" w:hAnsi="Arial" w:cs="Arial"/>
          <w:sz w:val="24"/>
          <w:szCs w:val="24"/>
        </w:rPr>
        <w:t>.</w:t>
      </w:r>
    </w:p>
    <w:p w14:paraId="6D9EDF09" w14:textId="406374AF" w:rsidR="00BC7054" w:rsidRDefault="00BC7054" w:rsidP="00642D86">
      <w:pPr>
        <w:spacing w:after="0"/>
        <w:jc w:val="both"/>
        <w:rPr>
          <w:rFonts w:ascii="Arial" w:hAnsi="Arial" w:cs="Arial"/>
          <w:b/>
          <w:bCs/>
          <w:sz w:val="24"/>
          <w:szCs w:val="24"/>
        </w:rPr>
      </w:pPr>
      <w:r w:rsidRPr="00BC7054">
        <w:rPr>
          <w:rFonts w:ascii="Arial" w:hAnsi="Arial" w:cs="Arial"/>
          <w:b/>
          <w:bCs/>
          <w:sz w:val="24"/>
          <w:szCs w:val="24"/>
        </w:rPr>
        <w:t>Clause 3 – Legislation amended</w:t>
      </w:r>
    </w:p>
    <w:p w14:paraId="1E60DC97" w14:textId="4CD17138" w:rsidR="00BC7054" w:rsidRPr="00BC7054" w:rsidRDefault="00BC7054" w:rsidP="00642D86">
      <w:pPr>
        <w:jc w:val="both"/>
        <w:rPr>
          <w:rFonts w:ascii="Arial" w:hAnsi="Arial" w:cs="Arial"/>
          <w:sz w:val="24"/>
          <w:szCs w:val="24"/>
        </w:rPr>
      </w:pPr>
      <w:r>
        <w:rPr>
          <w:rFonts w:ascii="Arial" w:hAnsi="Arial" w:cs="Arial"/>
          <w:sz w:val="24"/>
          <w:szCs w:val="24"/>
        </w:rPr>
        <w:t xml:space="preserve">This clause states that this Act will amend the </w:t>
      </w:r>
      <w:r>
        <w:rPr>
          <w:rFonts w:ascii="Arial" w:hAnsi="Arial" w:cs="Arial"/>
          <w:i/>
          <w:iCs/>
          <w:sz w:val="24"/>
          <w:szCs w:val="24"/>
        </w:rPr>
        <w:t>Evidence (Miscellaneous Provisions) Act 1991</w:t>
      </w:r>
      <w:r>
        <w:rPr>
          <w:rFonts w:ascii="Arial" w:hAnsi="Arial" w:cs="Arial"/>
          <w:sz w:val="24"/>
          <w:szCs w:val="24"/>
        </w:rPr>
        <w:t>.</w:t>
      </w:r>
    </w:p>
    <w:p w14:paraId="4C87276B" w14:textId="0B35DF46" w:rsidR="00BC7054" w:rsidRDefault="00BC7054" w:rsidP="00642D86">
      <w:pPr>
        <w:spacing w:after="0"/>
        <w:jc w:val="both"/>
        <w:rPr>
          <w:rFonts w:ascii="Arial" w:hAnsi="Arial" w:cs="Arial"/>
          <w:b/>
          <w:bCs/>
          <w:sz w:val="24"/>
          <w:szCs w:val="24"/>
        </w:rPr>
      </w:pPr>
      <w:r w:rsidRPr="00BC7054">
        <w:rPr>
          <w:rFonts w:ascii="Arial" w:hAnsi="Arial" w:cs="Arial"/>
          <w:b/>
          <w:bCs/>
          <w:sz w:val="24"/>
          <w:szCs w:val="24"/>
        </w:rPr>
        <w:t>Clause 4 – Section 41, new paragraphs (d) and (e)</w:t>
      </w:r>
    </w:p>
    <w:p w14:paraId="58909EA4" w14:textId="15208B2E" w:rsidR="00BC7054" w:rsidRPr="00621515" w:rsidRDefault="00BC7054" w:rsidP="00642D86">
      <w:pPr>
        <w:jc w:val="both"/>
        <w:rPr>
          <w:rFonts w:ascii="Arial" w:hAnsi="Arial" w:cs="Arial"/>
          <w:sz w:val="24"/>
          <w:szCs w:val="24"/>
        </w:rPr>
      </w:pPr>
      <w:r>
        <w:rPr>
          <w:rFonts w:ascii="Arial" w:hAnsi="Arial" w:cs="Arial"/>
          <w:sz w:val="24"/>
          <w:szCs w:val="24"/>
        </w:rPr>
        <w:t xml:space="preserve">This clause will insert two new paragraphs (d) and (e) into section 41 around the definition of </w:t>
      </w:r>
      <w:r>
        <w:rPr>
          <w:rFonts w:ascii="Arial" w:hAnsi="Arial" w:cs="Arial"/>
          <w:i/>
          <w:iCs/>
          <w:sz w:val="24"/>
          <w:szCs w:val="24"/>
        </w:rPr>
        <w:t>sexual offence proceedings</w:t>
      </w:r>
      <w:r>
        <w:rPr>
          <w:rFonts w:ascii="Arial" w:hAnsi="Arial" w:cs="Arial"/>
          <w:sz w:val="24"/>
          <w:szCs w:val="24"/>
        </w:rPr>
        <w:t xml:space="preserve">. </w:t>
      </w:r>
      <w:r w:rsidR="00621515">
        <w:rPr>
          <w:rFonts w:ascii="Arial" w:hAnsi="Arial" w:cs="Arial"/>
          <w:sz w:val="24"/>
          <w:szCs w:val="24"/>
        </w:rPr>
        <w:t xml:space="preserve">Updating this definition will mean that victims of sexual offences in the workplace will have their identity protected under section 74 of the </w:t>
      </w:r>
      <w:r w:rsidR="00621515">
        <w:rPr>
          <w:rFonts w:ascii="Arial" w:hAnsi="Arial" w:cs="Arial"/>
          <w:i/>
          <w:iCs/>
          <w:sz w:val="24"/>
          <w:szCs w:val="24"/>
        </w:rPr>
        <w:t>Evidence (Miscellaneous Provisions) Act 1991</w:t>
      </w:r>
      <w:r w:rsidR="00621515">
        <w:rPr>
          <w:rFonts w:ascii="Arial" w:hAnsi="Arial" w:cs="Arial"/>
          <w:sz w:val="24"/>
          <w:szCs w:val="24"/>
        </w:rPr>
        <w:t xml:space="preserve">. </w:t>
      </w:r>
    </w:p>
    <w:p w14:paraId="7ACB2765" w14:textId="06874C6E" w:rsidR="00BC7054" w:rsidRDefault="00BC7054" w:rsidP="00642D86">
      <w:pPr>
        <w:jc w:val="both"/>
        <w:rPr>
          <w:rFonts w:ascii="Arial" w:hAnsi="Arial" w:cs="Arial"/>
          <w:sz w:val="24"/>
          <w:szCs w:val="24"/>
        </w:rPr>
      </w:pPr>
      <w:r>
        <w:rPr>
          <w:rFonts w:ascii="Arial" w:hAnsi="Arial" w:cs="Arial"/>
          <w:sz w:val="24"/>
          <w:szCs w:val="24"/>
        </w:rPr>
        <w:t xml:space="preserve">Section 41 of the </w:t>
      </w:r>
      <w:r>
        <w:rPr>
          <w:rFonts w:ascii="Arial" w:hAnsi="Arial" w:cs="Arial"/>
          <w:i/>
          <w:iCs/>
          <w:sz w:val="24"/>
          <w:szCs w:val="24"/>
        </w:rPr>
        <w:t>Evidence (Miscellaneous Provisions) Act 1991</w:t>
      </w:r>
      <w:r>
        <w:rPr>
          <w:rFonts w:ascii="Arial" w:hAnsi="Arial" w:cs="Arial"/>
          <w:sz w:val="24"/>
          <w:szCs w:val="24"/>
        </w:rPr>
        <w:t xml:space="preserve"> deals with the meaning of a sexual offence proceeding. The two new subsections will expand the definition to include offences against the </w:t>
      </w:r>
      <w:r>
        <w:rPr>
          <w:rFonts w:ascii="Arial" w:hAnsi="Arial" w:cs="Arial"/>
          <w:i/>
          <w:iCs/>
          <w:sz w:val="24"/>
          <w:szCs w:val="24"/>
        </w:rPr>
        <w:t>Work Health and Safety Act 2011</w:t>
      </w:r>
      <w:r>
        <w:rPr>
          <w:rFonts w:ascii="Arial" w:hAnsi="Arial" w:cs="Arial"/>
          <w:sz w:val="24"/>
          <w:szCs w:val="24"/>
        </w:rPr>
        <w:t xml:space="preserve"> and the </w:t>
      </w:r>
      <w:r>
        <w:rPr>
          <w:rFonts w:ascii="Arial" w:hAnsi="Arial" w:cs="Arial"/>
          <w:i/>
          <w:iCs/>
          <w:sz w:val="24"/>
          <w:szCs w:val="24"/>
        </w:rPr>
        <w:t>Magistrates Court (Work Health and Safety Infringement Notices) Regulation 2011</w:t>
      </w:r>
      <w:r>
        <w:rPr>
          <w:rFonts w:ascii="Arial" w:hAnsi="Arial" w:cs="Arial"/>
          <w:sz w:val="24"/>
          <w:szCs w:val="24"/>
        </w:rPr>
        <w:t xml:space="preserve">. </w:t>
      </w:r>
    </w:p>
    <w:p w14:paraId="7FD7A710" w14:textId="2BE366B8" w:rsidR="00BC7054" w:rsidRDefault="00B8153C" w:rsidP="00642D86">
      <w:pPr>
        <w:jc w:val="both"/>
        <w:rPr>
          <w:rFonts w:ascii="Arial" w:hAnsi="Arial" w:cs="Arial"/>
          <w:sz w:val="24"/>
          <w:szCs w:val="24"/>
        </w:rPr>
      </w:pPr>
      <w:r>
        <w:rPr>
          <w:rFonts w:ascii="Arial" w:hAnsi="Arial" w:cs="Arial"/>
          <w:sz w:val="24"/>
          <w:szCs w:val="24"/>
        </w:rPr>
        <w:t xml:space="preserve">Subsection (d) updates the definition to include offences </w:t>
      </w:r>
      <w:r w:rsidR="006E1A65">
        <w:rPr>
          <w:rFonts w:ascii="Arial" w:hAnsi="Arial" w:cs="Arial"/>
          <w:sz w:val="24"/>
          <w:szCs w:val="24"/>
        </w:rPr>
        <w:t xml:space="preserve">against sections 31, 32 and 33 of the </w:t>
      </w:r>
      <w:r w:rsidR="006E1A65">
        <w:rPr>
          <w:rFonts w:ascii="Arial" w:hAnsi="Arial" w:cs="Arial"/>
          <w:i/>
          <w:iCs/>
          <w:sz w:val="24"/>
          <w:szCs w:val="24"/>
        </w:rPr>
        <w:t>Work Health and Safety Act 2011</w:t>
      </w:r>
      <w:r w:rsidR="00916A24">
        <w:rPr>
          <w:rFonts w:ascii="Arial" w:hAnsi="Arial" w:cs="Arial"/>
          <w:sz w:val="24"/>
          <w:szCs w:val="24"/>
        </w:rPr>
        <w:t xml:space="preserve">. </w:t>
      </w:r>
      <w:r w:rsidR="00621515">
        <w:rPr>
          <w:rFonts w:ascii="Arial" w:hAnsi="Arial" w:cs="Arial"/>
          <w:sz w:val="24"/>
          <w:szCs w:val="24"/>
        </w:rPr>
        <w:t xml:space="preserve">Section 31 of the </w:t>
      </w:r>
      <w:r w:rsidR="00621515">
        <w:rPr>
          <w:rFonts w:ascii="Arial" w:hAnsi="Arial" w:cs="Arial"/>
          <w:i/>
          <w:iCs/>
          <w:sz w:val="24"/>
          <w:szCs w:val="24"/>
        </w:rPr>
        <w:t>Work Health and Safety Act 2011</w:t>
      </w:r>
      <w:r w:rsidR="00621515">
        <w:rPr>
          <w:rFonts w:ascii="Arial" w:hAnsi="Arial" w:cs="Arial"/>
          <w:sz w:val="24"/>
          <w:szCs w:val="24"/>
        </w:rPr>
        <w:t xml:space="preserve"> covers negligence and reckless conduct which is a category 1 offence. Sections 32 and 33 both cover failure to comply with health and safety duty. These are category 2 and 4 offences respectively. </w:t>
      </w:r>
    </w:p>
    <w:p w14:paraId="2CA09618" w14:textId="76BB5369" w:rsidR="00621515" w:rsidRPr="00621515" w:rsidRDefault="00621515" w:rsidP="00642D86">
      <w:pPr>
        <w:jc w:val="both"/>
        <w:rPr>
          <w:rFonts w:ascii="Arial" w:hAnsi="Arial" w:cs="Arial"/>
          <w:sz w:val="24"/>
          <w:szCs w:val="24"/>
        </w:rPr>
      </w:pPr>
      <w:r>
        <w:rPr>
          <w:rFonts w:ascii="Arial" w:hAnsi="Arial" w:cs="Arial"/>
          <w:sz w:val="24"/>
          <w:szCs w:val="24"/>
        </w:rPr>
        <w:t xml:space="preserve">Subsection (e) also expanded the definition to include proceedings in relation to a dispute around liability for an infringement notice under the </w:t>
      </w:r>
      <w:r>
        <w:rPr>
          <w:rFonts w:ascii="Arial" w:hAnsi="Arial" w:cs="Arial"/>
          <w:i/>
          <w:iCs/>
          <w:sz w:val="24"/>
          <w:szCs w:val="24"/>
        </w:rPr>
        <w:t>Magistrates Court (Work Health and Safety Infringement Notices) Regulation 2022</w:t>
      </w:r>
      <w:r>
        <w:rPr>
          <w:rFonts w:ascii="Arial" w:hAnsi="Arial" w:cs="Arial"/>
          <w:sz w:val="24"/>
          <w:szCs w:val="24"/>
        </w:rPr>
        <w:t xml:space="preserve"> for an offence against section 38(1) of the </w:t>
      </w:r>
      <w:r>
        <w:rPr>
          <w:rFonts w:ascii="Arial" w:hAnsi="Arial" w:cs="Arial"/>
          <w:i/>
          <w:iCs/>
          <w:sz w:val="24"/>
          <w:szCs w:val="24"/>
        </w:rPr>
        <w:t>Work Health and Safety Act 2011</w:t>
      </w:r>
      <w:r>
        <w:rPr>
          <w:rFonts w:ascii="Arial" w:hAnsi="Arial" w:cs="Arial"/>
          <w:sz w:val="24"/>
          <w:szCs w:val="24"/>
        </w:rPr>
        <w:t xml:space="preserve"> if the incident involves a sexual assault incident. </w:t>
      </w:r>
    </w:p>
    <w:p w14:paraId="197600E2" w14:textId="34AD0D1A" w:rsidR="00BC7054" w:rsidRDefault="00BC7054" w:rsidP="00642D86">
      <w:pPr>
        <w:spacing w:after="0"/>
        <w:jc w:val="both"/>
        <w:rPr>
          <w:rFonts w:ascii="Arial" w:hAnsi="Arial" w:cs="Arial"/>
          <w:b/>
          <w:bCs/>
          <w:sz w:val="24"/>
          <w:szCs w:val="24"/>
        </w:rPr>
      </w:pPr>
      <w:r w:rsidRPr="00BC7054">
        <w:rPr>
          <w:rFonts w:ascii="Arial" w:hAnsi="Arial" w:cs="Arial"/>
          <w:b/>
          <w:bCs/>
          <w:sz w:val="24"/>
          <w:szCs w:val="24"/>
        </w:rPr>
        <w:t>Clause 5 – New section 41 (2)</w:t>
      </w:r>
    </w:p>
    <w:p w14:paraId="2A6063FF" w14:textId="0906D514" w:rsidR="00621515" w:rsidRDefault="2176B249" w:rsidP="6D17FB59">
      <w:pPr>
        <w:jc w:val="both"/>
        <w:rPr>
          <w:rFonts w:ascii="Arial" w:hAnsi="Arial" w:cs="Arial"/>
          <w:sz w:val="24"/>
          <w:szCs w:val="24"/>
        </w:rPr>
      </w:pPr>
      <w:r w:rsidRPr="6D17FB59">
        <w:rPr>
          <w:rFonts w:ascii="Arial" w:hAnsi="Arial" w:cs="Arial"/>
          <w:sz w:val="24"/>
          <w:szCs w:val="24"/>
        </w:rPr>
        <w:t xml:space="preserve">This clause inserts a new section 41 (2) to include a definition of </w:t>
      </w:r>
      <w:r w:rsidRPr="6D17FB59">
        <w:rPr>
          <w:rFonts w:ascii="Arial" w:hAnsi="Arial" w:cs="Arial"/>
          <w:i/>
          <w:iCs/>
          <w:sz w:val="24"/>
          <w:szCs w:val="24"/>
        </w:rPr>
        <w:t>sexual assault incident</w:t>
      </w:r>
      <w:r w:rsidRPr="6D17FB59">
        <w:rPr>
          <w:rFonts w:ascii="Arial" w:hAnsi="Arial" w:cs="Arial"/>
          <w:sz w:val="24"/>
          <w:szCs w:val="24"/>
        </w:rPr>
        <w:t xml:space="preserve"> in the Act. The definition will be aligned to that of section 37A in the </w:t>
      </w:r>
      <w:r w:rsidRPr="6D17FB59">
        <w:rPr>
          <w:rFonts w:ascii="Arial" w:hAnsi="Arial" w:cs="Arial"/>
          <w:i/>
          <w:iCs/>
          <w:sz w:val="24"/>
          <w:szCs w:val="24"/>
        </w:rPr>
        <w:t>Work Health and Safety Act 2011</w:t>
      </w:r>
      <w:r w:rsidRPr="6D17FB59">
        <w:rPr>
          <w:rFonts w:ascii="Arial" w:hAnsi="Arial" w:cs="Arial"/>
          <w:sz w:val="24"/>
          <w:szCs w:val="24"/>
        </w:rPr>
        <w:t xml:space="preserve">. </w:t>
      </w:r>
      <w:r w:rsidR="46D8C279" w:rsidRPr="6D17FB59">
        <w:rPr>
          <w:rFonts w:ascii="Arial" w:hAnsi="Arial" w:cs="Arial"/>
          <w:sz w:val="24"/>
          <w:szCs w:val="24"/>
        </w:rPr>
        <w:t xml:space="preserve">Section 37A provides the following definition: ‘sexual assault incident means an incident (including a suspected incident) in relation to a workplace that exposes a worker or any other person at the workplace to sexual assault’. </w:t>
      </w:r>
    </w:p>
    <w:p w14:paraId="4DC8FA3D" w14:textId="77777777" w:rsidR="000C3FB7" w:rsidRPr="00621515" w:rsidRDefault="000C3FB7" w:rsidP="6D17FB59">
      <w:pPr>
        <w:jc w:val="both"/>
        <w:rPr>
          <w:rFonts w:ascii="Arial" w:hAnsi="Arial" w:cs="Arial"/>
          <w:sz w:val="24"/>
          <w:szCs w:val="24"/>
        </w:rPr>
      </w:pPr>
    </w:p>
    <w:p w14:paraId="37A39AFB" w14:textId="45E5E5B4" w:rsidR="00BC7054" w:rsidRDefault="00BC7054" w:rsidP="00642D86">
      <w:pPr>
        <w:spacing w:after="0"/>
        <w:jc w:val="both"/>
        <w:rPr>
          <w:rFonts w:ascii="Arial" w:hAnsi="Arial" w:cs="Arial"/>
          <w:b/>
          <w:bCs/>
          <w:sz w:val="24"/>
          <w:szCs w:val="24"/>
        </w:rPr>
      </w:pPr>
      <w:r w:rsidRPr="00BC7054">
        <w:rPr>
          <w:rFonts w:ascii="Arial" w:hAnsi="Arial" w:cs="Arial"/>
          <w:b/>
          <w:bCs/>
          <w:sz w:val="24"/>
          <w:szCs w:val="24"/>
        </w:rPr>
        <w:lastRenderedPageBreak/>
        <w:t>Clause 6 – Section 42</w:t>
      </w:r>
    </w:p>
    <w:p w14:paraId="6190A63A" w14:textId="2D06D401" w:rsidR="00123D7C" w:rsidRDefault="00123D7C" w:rsidP="00642D86">
      <w:pPr>
        <w:jc w:val="both"/>
        <w:rPr>
          <w:rFonts w:ascii="Arial" w:hAnsi="Arial" w:cs="Arial"/>
          <w:sz w:val="24"/>
          <w:szCs w:val="24"/>
        </w:rPr>
      </w:pPr>
      <w:r>
        <w:rPr>
          <w:rFonts w:ascii="Arial" w:hAnsi="Arial" w:cs="Arial"/>
          <w:sz w:val="24"/>
          <w:szCs w:val="24"/>
        </w:rPr>
        <w:t xml:space="preserve">This clause will substitute a new definition of </w:t>
      </w:r>
      <w:r>
        <w:rPr>
          <w:rFonts w:ascii="Arial" w:hAnsi="Arial" w:cs="Arial"/>
          <w:i/>
          <w:iCs/>
          <w:sz w:val="24"/>
          <w:szCs w:val="24"/>
        </w:rPr>
        <w:t>complainant</w:t>
      </w:r>
      <w:r>
        <w:rPr>
          <w:rFonts w:ascii="Arial" w:hAnsi="Arial" w:cs="Arial"/>
          <w:sz w:val="24"/>
          <w:szCs w:val="24"/>
        </w:rPr>
        <w:t xml:space="preserve"> into section 42/ In relation to a proceeding for an offence, a complainant is a person against whom the offence is alleged or has been found to be committed. For a family violence proceeding, a complaint is also a family member for the accused person. </w:t>
      </w:r>
    </w:p>
    <w:p w14:paraId="6D270DA4" w14:textId="4C9A7FB9" w:rsidR="00123D7C" w:rsidRPr="00123D7C" w:rsidRDefault="00123D7C" w:rsidP="00642D86">
      <w:pPr>
        <w:spacing w:after="0"/>
        <w:jc w:val="both"/>
        <w:rPr>
          <w:rFonts w:ascii="Arial" w:hAnsi="Arial" w:cs="Arial"/>
          <w:sz w:val="24"/>
          <w:szCs w:val="24"/>
        </w:rPr>
      </w:pPr>
      <w:r>
        <w:rPr>
          <w:rFonts w:ascii="Arial" w:hAnsi="Arial" w:cs="Arial"/>
          <w:sz w:val="24"/>
          <w:szCs w:val="24"/>
        </w:rPr>
        <w:t xml:space="preserve">For a sexual offence proceeding, a complainant includes a person against whom a sexual assault or an act of sexually offensive, intimidating, or humiliating nature is suspected, or alleged, or has been found to be committed. </w:t>
      </w:r>
    </w:p>
    <w:sectPr w:rsidR="00123D7C" w:rsidRPr="00123D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7422" w14:textId="77777777" w:rsidR="005F22B3" w:rsidRDefault="005F22B3" w:rsidP="005F22B3">
      <w:pPr>
        <w:spacing w:after="0" w:line="240" w:lineRule="auto"/>
      </w:pPr>
      <w:r>
        <w:separator/>
      </w:r>
    </w:p>
  </w:endnote>
  <w:endnote w:type="continuationSeparator" w:id="0">
    <w:p w14:paraId="14C2987A" w14:textId="77777777" w:rsidR="005F22B3" w:rsidRDefault="005F22B3" w:rsidP="005F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52D8" w14:textId="77777777" w:rsidR="005F22B3" w:rsidRDefault="005F2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0A5F" w14:textId="030574D8" w:rsidR="005F22B3" w:rsidRPr="005F22B3" w:rsidRDefault="005F22B3" w:rsidP="005F22B3">
    <w:pPr>
      <w:pStyle w:val="Footer"/>
      <w:jc w:val="center"/>
      <w:rPr>
        <w:rFonts w:ascii="Arial" w:hAnsi="Arial" w:cs="Arial"/>
        <w:sz w:val="14"/>
      </w:rPr>
    </w:pPr>
    <w:r w:rsidRPr="005F22B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46A1" w14:textId="77777777" w:rsidR="005F22B3" w:rsidRDefault="005F2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C2F0" w14:textId="77777777" w:rsidR="005F22B3" w:rsidRDefault="005F22B3" w:rsidP="005F22B3">
      <w:pPr>
        <w:spacing w:after="0" w:line="240" w:lineRule="auto"/>
      </w:pPr>
      <w:r>
        <w:separator/>
      </w:r>
    </w:p>
  </w:footnote>
  <w:footnote w:type="continuationSeparator" w:id="0">
    <w:p w14:paraId="59161297" w14:textId="77777777" w:rsidR="005F22B3" w:rsidRDefault="005F22B3" w:rsidP="005F2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8114" w14:textId="77777777" w:rsidR="005F22B3" w:rsidRDefault="005F2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1DCA" w14:textId="77777777" w:rsidR="005F22B3" w:rsidRDefault="005F2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A6F0" w14:textId="77777777" w:rsidR="005F22B3" w:rsidRDefault="005F2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7A57"/>
    <w:multiLevelType w:val="hybridMultilevel"/>
    <w:tmpl w:val="3E363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684EED"/>
    <w:multiLevelType w:val="hybridMultilevel"/>
    <w:tmpl w:val="283C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C65D9A"/>
    <w:multiLevelType w:val="hybridMultilevel"/>
    <w:tmpl w:val="3CFAA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7661057">
    <w:abstractNumId w:val="2"/>
  </w:num>
  <w:num w:numId="2" w16cid:durableId="1730110821">
    <w:abstractNumId w:val="0"/>
  </w:num>
  <w:num w:numId="3" w16cid:durableId="178553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36"/>
    <w:rsid w:val="0002139A"/>
    <w:rsid w:val="0002615A"/>
    <w:rsid w:val="0008492C"/>
    <w:rsid w:val="000C3FB7"/>
    <w:rsid w:val="00123D7C"/>
    <w:rsid w:val="00243804"/>
    <w:rsid w:val="0026744E"/>
    <w:rsid w:val="003028A4"/>
    <w:rsid w:val="003F375F"/>
    <w:rsid w:val="004D7E4F"/>
    <w:rsid w:val="005E1AF5"/>
    <w:rsid w:val="005F22B3"/>
    <w:rsid w:val="00603F7D"/>
    <w:rsid w:val="00621515"/>
    <w:rsid w:val="00642D86"/>
    <w:rsid w:val="006D2E3C"/>
    <w:rsid w:val="006E1A65"/>
    <w:rsid w:val="007A63C3"/>
    <w:rsid w:val="00807D5D"/>
    <w:rsid w:val="0087473E"/>
    <w:rsid w:val="008B5675"/>
    <w:rsid w:val="00916A24"/>
    <w:rsid w:val="009F221A"/>
    <w:rsid w:val="00A70608"/>
    <w:rsid w:val="00AA08F0"/>
    <w:rsid w:val="00AB634F"/>
    <w:rsid w:val="00AF08FE"/>
    <w:rsid w:val="00B720EA"/>
    <w:rsid w:val="00B8153C"/>
    <w:rsid w:val="00BC7054"/>
    <w:rsid w:val="00CD2F96"/>
    <w:rsid w:val="00CD3880"/>
    <w:rsid w:val="00D7442B"/>
    <w:rsid w:val="00EA636E"/>
    <w:rsid w:val="00EA78C4"/>
    <w:rsid w:val="00EE70D8"/>
    <w:rsid w:val="00F6693D"/>
    <w:rsid w:val="00F87236"/>
    <w:rsid w:val="0A6304AB"/>
    <w:rsid w:val="0CFBB824"/>
    <w:rsid w:val="19A57D90"/>
    <w:rsid w:val="20836FB4"/>
    <w:rsid w:val="2176B249"/>
    <w:rsid w:val="46D8C279"/>
    <w:rsid w:val="521A3D60"/>
    <w:rsid w:val="540CB28B"/>
    <w:rsid w:val="5ADD15DA"/>
    <w:rsid w:val="5BC2EF06"/>
    <w:rsid w:val="61835241"/>
    <w:rsid w:val="63D4E9B8"/>
    <w:rsid w:val="6A06B6AA"/>
    <w:rsid w:val="6B9E8C88"/>
    <w:rsid w:val="6D17FB59"/>
    <w:rsid w:val="7444B1A3"/>
    <w:rsid w:val="7CB61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40753"/>
  <w15:chartTrackingRefBased/>
  <w15:docId w15:val="{C23701DB-9471-43A5-AFEA-94D6E6EE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36"/>
    <w:pPr>
      <w:spacing w:after="200" w:line="276" w:lineRule="auto"/>
    </w:pPr>
    <w:rPr>
      <w:rFonts w:ascii="Calibri" w:eastAsia="Times New Roman" w:hAnsi="Calibri" w:cs="Times New Roman"/>
      <w:kern w:val="0"/>
      <w14:ligatures w14:val="none"/>
    </w:rPr>
  </w:style>
  <w:style w:type="paragraph" w:styleId="Heading2">
    <w:name w:val="heading 2"/>
    <w:basedOn w:val="Normal"/>
    <w:next w:val="Normal"/>
    <w:link w:val="Heading2Char"/>
    <w:unhideWhenUsed/>
    <w:qFormat/>
    <w:rsid w:val="00F87236"/>
    <w:pPr>
      <w:keepNext/>
      <w:keepLines/>
      <w:spacing w:before="120" w:after="12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7236"/>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642D86"/>
    <w:pPr>
      <w:ind w:left="720"/>
      <w:contextualSpacing/>
    </w:pPr>
  </w:style>
  <w:style w:type="paragraph" w:styleId="Header">
    <w:name w:val="header"/>
    <w:basedOn w:val="Normal"/>
    <w:link w:val="HeaderChar"/>
    <w:uiPriority w:val="99"/>
    <w:unhideWhenUsed/>
    <w:rsid w:val="005F2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2B3"/>
    <w:rPr>
      <w:rFonts w:ascii="Calibri" w:eastAsia="Times New Roman" w:hAnsi="Calibri" w:cs="Times New Roman"/>
      <w:kern w:val="0"/>
      <w14:ligatures w14:val="none"/>
    </w:rPr>
  </w:style>
  <w:style w:type="paragraph" w:styleId="Footer">
    <w:name w:val="footer"/>
    <w:basedOn w:val="Normal"/>
    <w:link w:val="FooterChar"/>
    <w:uiPriority w:val="99"/>
    <w:unhideWhenUsed/>
    <w:rsid w:val="005F2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2B3"/>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8" ma:contentTypeDescription="Create a new document." ma:contentTypeScope="" ma:versionID="922362a8fedce9e4239e442c5da422ea">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1201c2359d5dc5202ebf6dbda39b8a3d"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502C7-A389-451E-832A-2FC16F90E199}">
  <ds:schemaRefs>
    <ds:schemaRef ds:uri="http://schemas.microsoft.com/sharepoint/v3/contenttype/forms"/>
  </ds:schemaRefs>
</ds:datastoreItem>
</file>

<file path=customXml/itemProps2.xml><?xml version="1.0" encoding="utf-8"?>
<ds:datastoreItem xmlns:ds="http://schemas.openxmlformats.org/officeDocument/2006/customXml" ds:itemID="{55BDC4AC-BA49-4D38-BFDA-44F65DBE088D}">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f30c1bb0-da18-4de0-b50c-df7289619289"/>
    <ds:schemaRef ds:uri="http://schemas.openxmlformats.org/package/2006/metadata/core-properties"/>
    <ds:schemaRef ds:uri="59e67eeb-fce3-49b3-8ae1-7a9445df062a"/>
    <ds:schemaRef ds:uri="http://purl.org/dc/dcmitype/"/>
  </ds:schemaRefs>
</ds:datastoreItem>
</file>

<file path=customXml/itemProps3.xml><?xml version="1.0" encoding="utf-8"?>
<ds:datastoreItem xmlns:ds="http://schemas.openxmlformats.org/officeDocument/2006/customXml" ds:itemID="{7CD60458-D18C-4F1E-B8DA-23713510C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1781</Words>
  <Characters>9486</Characters>
  <Application>Microsoft Office Word</Application>
  <DocSecurity>0</DocSecurity>
  <Lines>213</Lines>
  <Paragraphs>69</Paragraphs>
  <ScaleCrop>false</ScaleCrop>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2024-08-19T03:14:00Z</cp:lastPrinted>
  <dcterms:created xsi:type="dcterms:W3CDTF">2024-08-28T00:24:00Z</dcterms:created>
  <dcterms:modified xsi:type="dcterms:W3CDTF">2024-08-28T00:24:00Z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2024-08-28T00:24:28Z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bef4e061-0f6d-4925-82ed-0e7d986a55a5</vt:lpwstr>
  </property>
  <property fmtid="{D5CDD505-2E9C-101B-9397-08002B2CF9AE}" pid="10" name="MSIP_Label_69af8531-eb46-4968-8cb3-105d2f5ea87e_ContentBits">
    <vt:lpwstr>0</vt:lpwstr>
  </property>
</Properties>
</file>