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6200" w14:textId="77777777" w:rsidR="006815C9" w:rsidRDefault="006815C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66A165" w14:textId="2A27E6D6" w:rsidR="006815C9" w:rsidRDefault="005B1C5D">
      <w:pPr>
        <w:pStyle w:val="Billname"/>
        <w:spacing w:before="700"/>
      </w:pPr>
      <w:r>
        <w:t>Common Boundaries</w:t>
      </w:r>
      <w:r w:rsidR="00D25C87">
        <w:t xml:space="preserve"> Regulation 2024</w:t>
      </w:r>
    </w:p>
    <w:p w14:paraId="5F4A8238" w14:textId="7121BC9E" w:rsidR="006815C9" w:rsidRDefault="00F5371D" w:rsidP="00091D34">
      <w:pPr>
        <w:spacing w:before="340"/>
        <w:rPr>
          <w:rFonts w:ascii="Arial" w:hAnsi="Arial" w:cs="Arial"/>
          <w:b/>
          <w:bCs/>
        </w:rPr>
      </w:pPr>
      <w:r w:rsidRPr="153E301B">
        <w:rPr>
          <w:rFonts w:ascii="Arial" w:hAnsi="Arial" w:cs="Arial"/>
          <w:b/>
          <w:bCs/>
        </w:rPr>
        <w:t>Subordinate law SL</w:t>
      </w:r>
      <w:r w:rsidR="00D25C87" w:rsidRPr="153E301B">
        <w:rPr>
          <w:rFonts w:ascii="Arial" w:hAnsi="Arial" w:cs="Arial"/>
          <w:b/>
          <w:bCs/>
        </w:rPr>
        <w:t>2024-</w:t>
      </w:r>
      <w:r w:rsidR="46427C08" w:rsidRPr="153E301B">
        <w:rPr>
          <w:rFonts w:ascii="Arial" w:hAnsi="Arial" w:cs="Arial"/>
          <w:b/>
          <w:bCs/>
        </w:rPr>
        <w:t>29</w:t>
      </w:r>
    </w:p>
    <w:p w14:paraId="48729913" w14:textId="77777777" w:rsidR="006815C9" w:rsidRDefault="006815C9" w:rsidP="00091D34">
      <w:pPr>
        <w:pStyle w:val="madeunder"/>
        <w:spacing w:before="300" w:after="0"/>
      </w:pPr>
      <w:r>
        <w:t xml:space="preserve">made under the  </w:t>
      </w:r>
    </w:p>
    <w:p w14:paraId="4400BE2F" w14:textId="77777777" w:rsidR="005B1C5D" w:rsidRDefault="005B1C5D">
      <w:pPr>
        <w:spacing w:before="360"/>
        <w:ind w:right="565"/>
        <w:rPr>
          <w:rFonts w:ascii="Arial" w:hAnsi="Arial" w:cs="Arial"/>
          <w:b/>
          <w:sz w:val="20"/>
        </w:rPr>
      </w:pPr>
      <w:r w:rsidRPr="005B1C5D">
        <w:rPr>
          <w:rFonts w:ascii="Arial" w:hAnsi="Arial" w:cs="Arial"/>
          <w:b/>
          <w:sz w:val="20"/>
        </w:rPr>
        <w:t>Common Boundaries Act 1981</w:t>
      </w:r>
    </w:p>
    <w:p w14:paraId="6B4032C6" w14:textId="49F480DF" w:rsidR="006815C9" w:rsidRDefault="006815C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8E8D589" w14:textId="77777777" w:rsidR="006815C9" w:rsidRDefault="006815C9">
      <w:pPr>
        <w:pStyle w:val="N-line3"/>
        <w:pBdr>
          <w:bottom w:val="none" w:sz="0" w:space="0" w:color="auto"/>
        </w:pBdr>
      </w:pPr>
    </w:p>
    <w:p w14:paraId="3754A922" w14:textId="77777777" w:rsidR="006815C9" w:rsidRDefault="006815C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139FED8" w14:textId="6242F940" w:rsidR="00D25C87" w:rsidRDefault="00D25C87" w:rsidP="00D25C87">
      <w:r>
        <w:t xml:space="preserve">This explanatory statement relates to the </w:t>
      </w:r>
      <w:r w:rsidR="005B1C5D">
        <w:rPr>
          <w:i/>
        </w:rPr>
        <w:t>Common Boundaries</w:t>
      </w:r>
      <w:r>
        <w:rPr>
          <w:i/>
        </w:rPr>
        <w:t xml:space="preserve"> Regulation 2024</w:t>
      </w:r>
      <w:r>
        <w:t xml:space="preserve"> (</w:t>
      </w:r>
      <w:r w:rsidRPr="00791079">
        <w:t xml:space="preserve">the </w:t>
      </w:r>
      <w:r w:rsidRPr="0057275C">
        <w:rPr>
          <w:b/>
          <w:bCs/>
          <w:i/>
          <w:iCs/>
        </w:rPr>
        <w:t>regulation</w:t>
      </w:r>
      <w:r>
        <w:t xml:space="preserve">) as made by the Executive. </w:t>
      </w:r>
      <w:r w:rsidRPr="00530761">
        <w:t>It has been prepared to assist the reader of the regulation. It does not form part of the regulation and has not been endorsed by the Legislative Assembly.</w:t>
      </w:r>
    </w:p>
    <w:p w14:paraId="68F27E88" w14:textId="77777777" w:rsidR="00D25C87" w:rsidRDefault="00D25C87" w:rsidP="00D25C87"/>
    <w:p w14:paraId="39ED0DFC" w14:textId="77777777" w:rsidR="00D25C87" w:rsidRDefault="00D25C87" w:rsidP="00D25C87">
      <w:pPr>
        <w:rPr>
          <w:sz w:val="22"/>
        </w:rPr>
      </w:pPr>
      <w:r>
        <w:rPr>
          <w:rStyle w:val="ui-provider"/>
        </w:rPr>
        <w:t>This statement must be read in conjunction with the regulation. It is not, and is not meant to be, a comprehensive description of the regulation. What is said about a provision is not to be taken as an authoritative guide to the meaning of a provision, this being a task for the courts.</w:t>
      </w:r>
    </w:p>
    <w:p w14:paraId="563E4992" w14:textId="77777777" w:rsidR="00D25C87" w:rsidRDefault="00D25C87" w:rsidP="00D25C87"/>
    <w:p w14:paraId="2E995BC1" w14:textId="77777777" w:rsidR="00D25C87" w:rsidRDefault="00D25C87" w:rsidP="00D25C87">
      <w:pPr>
        <w:rPr>
          <w:b/>
        </w:rPr>
      </w:pPr>
      <w:r>
        <w:rPr>
          <w:b/>
        </w:rPr>
        <w:t>OVERVIEW</w:t>
      </w:r>
    </w:p>
    <w:p w14:paraId="6C6FF231" w14:textId="77777777" w:rsidR="00F50AA3" w:rsidRDefault="00F50AA3" w:rsidP="00D25C87"/>
    <w:p w14:paraId="4C61BC4D" w14:textId="42F9DB2E" w:rsidR="00D25C87" w:rsidRDefault="00D25C87" w:rsidP="0073029F">
      <w:r>
        <w:t>The regulation</w:t>
      </w:r>
      <w:r w:rsidR="00791079">
        <w:t xml:space="preserve"> </w:t>
      </w:r>
      <w:r>
        <w:t xml:space="preserve">is made under the </w:t>
      </w:r>
      <w:r w:rsidR="00470E33">
        <w:rPr>
          <w:i/>
          <w:iCs/>
        </w:rPr>
        <w:t>Common Boundaries Act 1981</w:t>
      </w:r>
      <w:r>
        <w:rPr>
          <w:i/>
          <w:iCs/>
        </w:rPr>
        <w:t xml:space="preserve"> </w:t>
      </w:r>
      <w:r>
        <w:t xml:space="preserve">(the </w:t>
      </w:r>
      <w:r w:rsidRPr="0057275C">
        <w:rPr>
          <w:b/>
          <w:bCs/>
          <w:i/>
          <w:iCs/>
        </w:rPr>
        <w:t>Act</w:t>
      </w:r>
      <w:r>
        <w:t xml:space="preserve">). </w:t>
      </w:r>
    </w:p>
    <w:p w14:paraId="1F25ECAB" w14:textId="77777777" w:rsidR="009C63E1" w:rsidRPr="00607392" w:rsidRDefault="009C63E1" w:rsidP="0073029F"/>
    <w:p w14:paraId="3D61681A" w14:textId="77777777" w:rsidR="00244EFA" w:rsidRDefault="0057275C" w:rsidP="00214F85">
      <w:r w:rsidRPr="00607392">
        <w:t>Th</w:t>
      </w:r>
      <w:r w:rsidR="003C070E" w:rsidRPr="00607392">
        <w:t xml:space="preserve">e </w:t>
      </w:r>
      <w:r w:rsidRPr="00607392">
        <w:t xml:space="preserve">regulation </w:t>
      </w:r>
      <w:r w:rsidR="000149EB" w:rsidRPr="00607392">
        <w:t>support</w:t>
      </w:r>
      <w:r w:rsidR="008A4C89" w:rsidRPr="00607392">
        <w:t>s the</w:t>
      </w:r>
      <w:r w:rsidR="000149EB" w:rsidRPr="00607392">
        <w:t xml:space="preserve"> </w:t>
      </w:r>
      <w:r w:rsidR="00C20F3D" w:rsidRPr="00607392">
        <w:t xml:space="preserve">implementation of </w:t>
      </w:r>
      <w:r w:rsidR="00470E33">
        <w:t xml:space="preserve">the home swimming pool safety </w:t>
      </w:r>
      <w:r w:rsidR="00866D30" w:rsidRPr="00607392">
        <w:t>reforms</w:t>
      </w:r>
      <w:r w:rsidR="007950C5">
        <w:t xml:space="preserve"> scheme</w:t>
      </w:r>
      <w:r w:rsidR="00470E33">
        <w:t xml:space="preserve">, which </w:t>
      </w:r>
      <w:r w:rsidR="00470E33" w:rsidRPr="00470E33">
        <w:t>came into effect on 1 May 2024</w:t>
      </w:r>
      <w:r w:rsidR="00470E33">
        <w:t xml:space="preserve"> through the</w:t>
      </w:r>
      <w:r w:rsidR="00866D30" w:rsidRPr="00607392">
        <w:t xml:space="preserve"> </w:t>
      </w:r>
      <w:r w:rsidR="00470E33" w:rsidRPr="00470E33">
        <w:rPr>
          <w:i/>
          <w:iCs/>
        </w:rPr>
        <w:t>Building (Swimming Pool Safety) Amendment Act 2023</w:t>
      </w:r>
      <w:r w:rsidR="00470E33">
        <w:t xml:space="preserve">. </w:t>
      </w:r>
    </w:p>
    <w:p w14:paraId="1D17EC3B" w14:textId="77777777" w:rsidR="00244EFA" w:rsidRDefault="00244EFA" w:rsidP="00214F85"/>
    <w:p w14:paraId="45ACBCC2" w14:textId="5FA4DB66" w:rsidR="00021732" w:rsidRPr="00607392" w:rsidRDefault="007950C5" w:rsidP="00214F85">
      <w:r>
        <w:t xml:space="preserve">The scheme requires </w:t>
      </w:r>
      <w:r w:rsidRPr="007950C5">
        <w:t>home swimming pools and spas in the ACT to have a safety barrier that meets current safety standards by 1 May 2028</w:t>
      </w:r>
      <w:r>
        <w:t xml:space="preserve">, </w:t>
      </w:r>
      <w:r w:rsidR="00F106D1">
        <w:t>or have</w:t>
      </w:r>
      <w:r>
        <w:t xml:space="preserve"> an exemption</w:t>
      </w:r>
      <w:r w:rsidR="00F106D1">
        <w:t>.</w:t>
      </w:r>
      <w:r w:rsidR="00244EFA">
        <w:t xml:space="preserve"> </w:t>
      </w:r>
      <w:r w:rsidR="00F3064A">
        <w:t>There will be</w:t>
      </w:r>
      <w:r w:rsidR="00021732">
        <w:t xml:space="preserve"> circumstances </w:t>
      </w:r>
      <w:r w:rsidR="002B78B5">
        <w:t>when</w:t>
      </w:r>
      <w:r w:rsidR="00F3064A">
        <w:t xml:space="preserve"> a dividing fence will need to be repaired or replaced to comply with the safety standards prescribed under the scheme, </w:t>
      </w:r>
      <w:r w:rsidR="002B78B5">
        <w:t>where</w:t>
      </w:r>
      <w:r w:rsidR="00F3064A">
        <w:t xml:space="preserve"> it makes up part of a pool safety barrier for a regulated swimming pool.</w:t>
      </w:r>
    </w:p>
    <w:p w14:paraId="4BEA0571" w14:textId="77777777" w:rsidR="00214F85" w:rsidRDefault="00214F85" w:rsidP="00214F85">
      <w:pPr>
        <w:rPr>
          <w:rStyle w:val="ui-provider"/>
        </w:rPr>
      </w:pPr>
    </w:p>
    <w:p w14:paraId="3AB2CC9A" w14:textId="5E3A391D" w:rsidR="0073029F" w:rsidRDefault="0057275C" w:rsidP="009105BD">
      <w:pPr>
        <w:pStyle w:val="NormalWeb"/>
        <w:shd w:val="clear" w:color="auto" w:fill="FFFFFF"/>
        <w:spacing w:before="0" w:beforeAutospacing="0" w:after="0" w:afterAutospacing="0"/>
        <w:rPr>
          <w:rStyle w:val="ui-provider"/>
        </w:rPr>
      </w:pPr>
      <w:bookmarkStart w:id="1" w:name="_Hlk175750465"/>
      <w:r>
        <w:rPr>
          <w:rStyle w:val="ui-provider"/>
          <w:szCs w:val="20"/>
          <w:lang w:eastAsia="en-US"/>
        </w:rPr>
        <w:t>T</w:t>
      </w:r>
      <w:r w:rsidR="004D242A" w:rsidRPr="004D242A">
        <w:rPr>
          <w:rStyle w:val="ui-provider"/>
          <w:szCs w:val="20"/>
          <w:lang w:eastAsia="en-US"/>
        </w:rPr>
        <w:t xml:space="preserve">he </w:t>
      </w:r>
      <w:r w:rsidR="00F4424B">
        <w:rPr>
          <w:rStyle w:val="ui-provider"/>
          <w:szCs w:val="20"/>
          <w:lang w:eastAsia="en-US"/>
        </w:rPr>
        <w:t>r</w:t>
      </w:r>
      <w:r w:rsidR="008A4C89">
        <w:rPr>
          <w:rStyle w:val="ui-provider"/>
          <w:szCs w:val="20"/>
          <w:lang w:eastAsia="en-US"/>
        </w:rPr>
        <w:t>egulation</w:t>
      </w:r>
      <w:r w:rsidR="009105BD">
        <w:rPr>
          <w:rStyle w:val="ui-provider"/>
          <w:szCs w:val="20"/>
          <w:lang w:eastAsia="en-US"/>
        </w:rPr>
        <w:t xml:space="preserve"> </w:t>
      </w:r>
      <w:r w:rsidR="00021732">
        <w:rPr>
          <w:rStyle w:val="ui-provider"/>
        </w:rPr>
        <w:t>p</w:t>
      </w:r>
      <w:r w:rsidR="00866D30" w:rsidRPr="00866D30">
        <w:rPr>
          <w:rStyle w:val="ui-provider"/>
        </w:rPr>
        <w:t>rescribes</w:t>
      </w:r>
      <w:r w:rsidR="00021732" w:rsidRPr="00021732">
        <w:t xml:space="preserve"> </w:t>
      </w:r>
      <w:r w:rsidR="00021732">
        <w:rPr>
          <w:rStyle w:val="ui-provider"/>
        </w:rPr>
        <w:t>m</w:t>
      </w:r>
      <w:r w:rsidR="00021732" w:rsidRPr="00021732">
        <w:rPr>
          <w:rStyle w:val="ui-provider"/>
        </w:rPr>
        <w:t xml:space="preserve">atters to be taken into account by </w:t>
      </w:r>
      <w:r w:rsidR="008F6606">
        <w:rPr>
          <w:rStyle w:val="ui-provider"/>
        </w:rPr>
        <w:t xml:space="preserve">the </w:t>
      </w:r>
      <w:r w:rsidR="008F6606" w:rsidRPr="008C2D4A">
        <w:t>ACT Civil and Administrative Tribunal</w:t>
      </w:r>
      <w:r w:rsidR="008F6606">
        <w:t xml:space="preserve"> (</w:t>
      </w:r>
      <w:r w:rsidR="00021732" w:rsidRPr="00021732">
        <w:rPr>
          <w:rStyle w:val="ui-provider"/>
        </w:rPr>
        <w:t>ACAT</w:t>
      </w:r>
      <w:r w:rsidR="008F6606">
        <w:rPr>
          <w:rStyle w:val="ui-provider"/>
        </w:rPr>
        <w:t>)</w:t>
      </w:r>
      <w:r w:rsidR="00021732">
        <w:rPr>
          <w:rStyle w:val="ui-provider"/>
        </w:rPr>
        <w:t xml:space="preserve"> in making a determination relating to a dividing </w:t>
      </w:r>
      <w:r w:rsidR="00021732" w:rsidRPr="00021732">
        <w:rPr>
          <w:rStyle w:val="ui-provider"/>
        </w:rPr>
        <w:t>fence</w:t>
      </w:r>
      <w:r w:rsidR="00021732">
        <w:rPr>
          <w:rStyle w:val="ui-provider"/>
        </w:rPr>
        <w:t xml:space="preserve"> which makes up part of</w:t>
      </w:r>
      <w:r w:rsidR="00021732" w:rsidRPr="00021732">
        <w:rPr>
          <w:rStyle w:val="ui-provider"/>
        </w:rPr>
        <w:t xml:space="preserve"> a safety barrier for</w:t>
      </w:r>
      <w:r w:rsidR="00021732">
        <w:rPr>
          <w:rStyle w:val="ui-provider"/>
        </w:rPr>
        <w:t xml:space="preserve"> a</w:t>
      </w:r>
      <w:r w:rsidR="00021732" w:rsidRPr="00021732">
        <w:rPr>
          <w:rStyle w:val="ui-provider"/>
        </w:rPr>
        <w:t xml:space="preserve"> regulated swimming pool</w:t>
      </w:r>
      <w:r w:rsidR="009105BD">
        <w:rPr>
          <w:rStyle w:val="ui-provider"/>
        </w:rPr>
        <w:t>.</w:t>
      </w:r>
    </w:p>
    <w:bookmarkEnd w:id="1"/>
    <w:p w14:paraId="62760209" w14:textId="77777777" w:rsidR="00021732" w:rsidRDefault="00021732" w:rsidP="00021732">
      <w:pPr>
        <w:rPr>
          <w:rStyle w:val="ui-provider"/>
        </w:rPr>
      </w:pPr>
    </w:p>
    <w:p w14:paraId="646E5433" w14:textId="21F234F7" w:rsidR="00201378" w:rsidRDefault="00020922" w:rsidP="00021732">
      <w:pPr>
        <w:rPr>
          <w:rStyle w:val="ui-provider"/>
        </w:rPr>
      </w:pPr>
      <w:r>
        <w:rPr>
          <w:rStyle w:val="ui-provider"/>
        </w:rPr>
        <w:t xml:space="preserve">This regulation commences on the day after its notification. </w:t>
      </w:r>
    </w:p>
    <w:p w14:paraId="55340691" w14:textId="77777777" w:rsidR="00021732" w:rsidRPr="0073029F" w:rsidRDefault="00021732" w:rsidP="00021732"/>
    <w:p w14:paraId="15EE68F5" w14:textId="77777777" w:rsidR="00201378" w:rsidRPr="009D245C" w:rsidRDefault="00201378" w:rsidP="00201378">
      <w:r w:rsidRPr="009D245C">
        <w:rPr>
          <w:b/>
        </w:rPr>
        <w:t>CONSULTATION ON THE PROPOSED APPROACH</w:t>
      </w:r>
    </w:p>
    <w:p w14:paraId="4D41A047" w14:textId="14F1C3BE" w:rsidR="009D245C" w:rsidRDefault="00201378" w:rsidP="009D245C">
      <w:pPr>
        <w:contextualSpacing/>
      </w:pPr>
      <w:r w:rsidRPr="009D245C">
        <w:t>In developing the regulation</w:t>
      </w:r>
      <w:r w:rsidR="009D245C" w:rsidRPr="00DA30EB">
        <w:t xml:space="preserve"> the Government consulted with key stakeholders on the</w:t>
      </w:r>
      <w:r w:rsidR="009D245C">
        <w:t xml:space="preserve"> </w:t>
      </w:r>
      <w:r w:rsidR="008F6606">
        <w:t xml:space="preserve">matters that should be taken into account by the ACAT </w:t>
      </w:r>
      <w:r w:rsidR="008F6606" w:rsidRPr="008F6606">
        <w:t xml:space="preserve">in making a determination </w:t>
      </w:r>
      <w:r w:rsidR="008F6606" w:rsidRPr="008F6606">
        <w:lastRenderedPageBreak/>
        <w:t>relating to a dividing fence which makes up part of a safety barrier for a regulated swimming pool.</w:t>
      </w:r>
    </w:p>
    <w:p w14:paraId="10302CF7" w14:textId="77777777" w:rsidR="009D245C" w:rsidRDefault="009D245C" w:rsidP="009D245C">
      <w:pPr>
        <w:ind w:right="-45"/>
        <w:contextualSpacing/>
      </w:pPr>
    </w:p>
    <w:p w14:paraId="69AE9A09" w14:textId="7661359F" w:rsidR="009D245C" w:rsidRDefault="009D245C" w:rsidP="009D245C">
      <w:pPr>
        <w:ind w:right="-45"/>
        <w:contextualSpacing/>
      </w:pPr>
      <w:r w:rsidRPr="00DA30EB">
        <w:t xml:space="preserve">Stakeholders consulted include </w:t>
      </w:r>
      <w:r w:rsidR="00580910">
        <w:t xml:space="preserve">the Environment, Planning and Sustainable Development </w:t>
      </w:r>
      <w:r w:rsidRPr="00DA30EB">
        <w:t>Directorate</w:t>
      </w:r>
      <w:r w:rsidR="00E17640">
        <w:t xml:space="preserve"> and the Justice and Community Safety Directorate</w:t>
      </w:r>
      <w:r>
        <w:t>.</w:t>
      </w:r>
    </w:p>
    <w:p w14:paraId="3E0DBB11" w14:textId="77777777" w:rsidR="009D245C" w:rsidRDefault="009D245C" w:rsidP="009D245C">
      <w:pPr>
        <w:ind w:right="-45"/>
        <w:contextualSpacing/>
      </w:pPr>
    </w:p>
    <w:p w14:paraId="353F0222" w14:textId="20F0F3AA" w:rsidR="009D245C" w:rsidRDefault="009D245C" w:rsidP="008C2D4A">
      <w:pPr>
        <w:contextualSpacing/>
      </w:pPr>
      <w:r>
        <w:t>Consultation was undertaken with community, industry and</w:t>
      </w:r>
      <w:r w:rsidR="008C2D4A">
        <w:t xml:space="preserve"> other</w:t>
      </w:r>
      <w:r>
        <w:t xml:space="preserve"> </w:t>
      </w:r>
      <w:r w:rsidR="008C2D4A">
        <w:t>Government</w:t>
      </w:r>
      <w:r>
        <w:t xml:space="preserve"> stakeholders throughout the development of the </w:t>
      </w:r>
      <w:r w:rsidR="008C2D4A" w:rsidRPr="00470E33">
        <w:rPr>
          <w:i/>
          <w:iCs/>
        </w:rPr>
        <w:t>Building (Swimming Pool Safety) Amendment Act 2023</w:t>
      </w:r>
      <w:r>
        <w:t>.</w:t>
      </w:r>
      <w:r w:rsidR="008C2D4A">
        <w:t xml:space="preserve"> The </w:t>
      </w:r>
      <w:r w:rsidR="008F6606">
        <w:t xml:space="preserve">ACAT </w:t>
      </w:r>
      <w:r w:rsidR="008C2D4A">
        <w:t>was consulted on matters that relate to the regulation at this time.</w:t>
      </w:r>
    </w:p>
    <w:p w14:paraId="3C0122DB" w14:textId="77777777" w:rsidR="009D245C" w:rsidRPr="009D245C" w:rsidRDefault="009D245C" w:rsidP="009D245C">
      <w:pPr>
        <w:ind w:right="-45"/>
        <w:contextualSpacing/>
      </w:pPr>
    </w:p>
    <w:p w14:paraId="2C05A20F" w14:textId="77777777" w:rsidR="00201378" w:rsidRPr="0031124F" w:rsidRDefault="00201378" w:rsidP="00201378">
      <w:pPr>
        <w:rPr>
          <w:b/>
        </w:rPr>
      </w:pPr>
      <w:r w:rsidRPr="0031124F">
        <w:rPr>
          <w:b/>
        </w:rPr>
        <w:t>REGULATORY IMPAC</w:t>
      </w:r>
      <w:r>
        <w:rPr>
          <w:b/>
        </w:rPr>
        <w:t xml:space="preserve">T </w:t>
      </w:r>
      <w:r w:rsidRPr="0031124F">
        <w:rPr>
          <w:b/>
        </w:rPr>
        <w:t>STATEMENT</w:t>
      </w:r>
    </w:p>
    <w:p w14:paraId="776B0EFB" w14:textId="3CAAFD3E" w:rsidR="00201378" w:rsidRDefault="00201378" w:rsidP="0020137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regulatory impact statement is not required fo</w:t>
      </w:r>
      <w:r w:rsidR="00530D09">
        <w:rPr>
          <w:color w:val="000000"/>
          <w:shd w:val="clear" w:color="auto" w:fill="FFFFFF"/>
        </w:rPr>
        <w:t xml:space="preserve">r </w:t>
      </w:r>
      <w:r w:rsidRPr="00170EEB">
        <w:rPr>
          <w:color w:val="000000"/>
          <w:shd w:val="clear" w:color="auto" w:fill="FFFFFF"/>
        </w:rPr>
        <w:t>th</w:t>
      </w:r>
      <w:r>
        <w:rPr>
          <w:color w:val="000000"/>
          <w:shd w:val="clear" w:color="auto" w:fill="FFFFFF"/>
        </w:rPr>
        <w:t>e</w:t>
      </w:r>
      <w:r w:rsidRPr="00170EEB">
        <w:rPr>
          <w:color w:val="000000"/>
          <w:shd w:val="clear" w:color="auto" w:fill="FFFFFF"/>
        </w:rPr>
        <w:t> regulation</w:t>
      </w:r>
      <w:r>
        <w:rPr>
          <w:color w:val="000000"/>
          <w:shd w:val="clear" w:color="auto" w:fill="FFFFFF"/>
        </w:rPr>
        <w:t xml:space="preserve"> as they do not impose any appreciable costs on the community, or part of a community under section 34 (1) of the </w:t>
      </w:r>
      <w:r>
        <w:rPr>
          <w:i/>
          <w:iCs/>
          <w:color w:val="000000"/>
          <w:shd w:val="clear" w:color="auto" w:fill="FFFFFF"/>
        </w:rPr>
        <w:t>Legislation Act 2001</w:t>
      </w:r>
      <w:r>
        <w:rPr>
          <w:color w:val="000000"/>
          <w:shd w:val="clear" w:color="auto" w:fill="FFFFFF"/>
        </w:rPr>
        <w:t xml:space="preserve">. </w:t>
      </w:r>
    </w:p>
    <w:p w14:paraId="5C22213B" w14:textId="77777777" w:rsidR="00AE139D" w:rsidRDefault="00AE139D" w:rsidP="00201378">
      <w:pPr>
        <w:rPr>
          <w:color w:val="000000"/>
          <w:shd w:val="clear" w:color="auto" w:fill="FFFFFF"/>
        </w:rPr>
      </w:pPr>
    </w:p>
    <w:p w14:paraId="039D56A3" w14:textId="41DD5EB7" w:rsidR="00AE139D" w:rsidRDefault="00AE139D" w:rsidP="00201378">
      <w:r>
        <w:rPr>
          <w:color w:val="000000"/>
          <w:shd w:val="clear" w:color="auto" w:fill="FFFFFF"/>
        </w:rPr>
        <w:t>T</w:t>
      </w:r>
      <w:r w:rsidRPr="00AE139D">
        <w:rPr>
          <w:color w:val="000000"/>
          <w:shd w:val="clear" w:color="auto" w:fill="FFFFFF"/>
        </w:rPr>
        <w:t xml:space="preserve">here </w:t>
      </w:r>
      <w:r>
        <w:rPr>
          <w:color w:val="000000"/>
          <w:shd w:val="clear" w:color="auto" w:fill="FFFFFF"/>
        </w:rPr>
        <w:t>are</w:t>
      </w:r>
      <w:r w:rsidRPr="00AE139D">
        <w:rPr>
          <w:color w:val="000000"/>
          <w:shd w:val="clear" w:color="auto" w:fill="FFFFFF"/>
        </w:rPr>
        <w:t xml:space="preserve"> cost impacts to the community from the</w:t>
      </w:r>
      <w:r>
        <w:rPr>
          <w:color w:val="000000"/>
          <w:shd w:val="clear" w:color="auto" w:fill="FFFFFF"/>
        </w:rPr>
        <w:t xml:space="preserve"> </w:t>
      </w:r>
      <w:r w:rsidRPr="00607392">
        <w:t xml:space="preserve">implementation of </w:t>
      </w:r>
      <w:r>
        <w:t xml:space="preserve">the home swimming pool safety </w:t>
      </w:r>
      <w:r w:rsidRPr="00607392">
        <w:t>reforms</w:t>
      </w:r>
      <w:r>
        <w:t xml:space="preserve"> scheme, which </w:t>
      </w:r>
      <w:r w:rsidRPr="00470E33">
        <w:t>came into effect on 1 May 2024</w:t>
      </w:r>
      <w:r>
        <w:t xml:space="preserve"> through the</w:t>
      </w:r>
      <w:r w:rsidRPr="00607392">
        <w:t xml:space="preserve"> </w:t>
      </w:r>
      <w:r w:rsidRPr="00470E33">
        <w:rPr>
          <w:i/>
          <w:iCs/>
        </w:rPr>
        <w:t>Building (Swimming Pool Safety) Amendment Act 2023</w:t>
      </w:r>
      <w:r>
        <w:t>.</w:t>
      </w:r>
    </w:p>
    <w:p w14:paraId="3C97FD56" w14:textId="77777777" w:rsidR="00AE139D" w:rsidRDefault="00AE139D" w:rsidP="00201378"/>
    <w:p w14:paraId="54C329F1" w14:textId="59D074CE" w:rsidR="00AE139D" w:rsidRDefault="00AE139D" w:rsidP="00201378">
      <w:pPr>
        <w:rPr>
          <w:color w:val="000000"/>
          <w:shd w:val="clear" w:color="auto" w:fill="FFFFFF"/>
        </w:rPr>
      </w:pPr>
      <w:r>
        <w:t>These impacts</w:t>
      </w:r>
      <w:r w:rsidR="00853B52">
        <w:t xml:space="preserve"> do not arise from the regulation, which simply </w:t>
      </w:r>
      <w:r w:rsidRPr="00AE139D">
        <w:rPr>
          <w:color w:val="000000"/>
          <w:shd w:val="clear" w:color="auto" w:fill="FFFFFF"/>
        </w:rPr>
        <w:t>allows ACAT to take into account the requirement</w:t>
      </w:r>
      <w:r w:rsidR="00853B52">
        <w:rPr>
          <w:color w:val="000000"/>
          <w:shd w:val="clear" w:color="auto" w:fill="FFFFFF"/>
        </w:rPr>
        <w:t>s of this scheme</w:t>
      </w:r>
      <w:r w:rsidRPr="00AE139D">
        <w:rPr>
          <w:color w:val="000000"/>
          <w:shd w:val="clear" w:color="auto" w:fill="FFFFFF"/>
        </w:rPr>
        <w:t xml:space="preserve"> </w:t>
      </w:r>
      <w:r w:rsidR="00853B52">
        <w:rPr>
          <w:color w:val="000000"/>
          <w:shd w:val="clear" w:color="auto" w:fill="FFFFFF"/>
        </w:rPr>
        <w:t>when determining disputes</w:t>
      </w:r>
      <w:r w:rsidR="0069773E">
        <w:rPr>
          <w:color w:val="000000"/>
          <w:shd w:val="clear" w:color="auto" w:fill="FFFFFF"/>
        </w:rPr>
        <w:t xml:space="preserve"> in relation to fences</w:t>
      </w:r>
      <w:r w:rsidR="00853B52">
        <w:rPr>
          <w:color w:val="000000"/>
          <w:shd w:val="clear" w:color="auto" w:fill="FFFFFF"/>
        </w:rPr>
        <w:t xml:space="preserve">. </w:t>
      </w:r>
    </w:p>
    <w:p w14:paraId="28623FA4" w14:textId="77777777" w:rsidR="00201378" w:rsidRDefault="00201378" w:rsidP="00201378">
      <w:pPr>
        <w:rPr>
          <w:b/>
        </w:rPr>
      </w:pPr>
    </w:p>
    <w:p w14:paraId="0410E18F" w14:textId="691366F9" w:rsidR="006805D0" w:rsidRDefault="00201378" w:rsidP="00201378">
      <w:pPr>
        <w:rPr>
          <w:rFonts w:ascii="TimesNewRomanPSMT" w:hAnsi="TimesNewRomanPSMT"/>
          <w:color w:val="000000"/>
        </w:rPr>
      </w:pPr>
      <w:r>
        <w:rPr>
          <w:b/>
        </w:rPr>
        <w:t>CONSISTENCY WITH HUMAN RIGHTS</w:t>
      </w:r>
    </w:p>
    <w:p w14:paraId="76E9F938" w14:textId="19CDB7CD" w:rsidR="00791079" w:rsidRDefault="00791079" w:rsidP="0079107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NewRomanPSMT" w:hAnsi="TimesNewRomanPSMT"/>
          <w:color w:val="000000"/>
        </w:rPr>
        <w:t>The Standing Committee on Justice and Community Safety (Legislative Scrutiny</w:t>
      </w:r>
    </w:p>
    <w:p w14:paraId="090AD833" w14:textId="23983A42" w:rsidR="00791079" w:rsidRDefault="00791079" w:rsidP="00791079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Role) </w:t>
      </w:r>
      <w:r w:rsidR="005179A6">
        <w:rPr>
          <w:rFonts w:ascii="TimesNewRomanPSMT" w:hAnsi="TimesNewRomanPSMT"/>
          <w:color w:val="000000"/>
        </w:rPr>
        <w:t xml:space="preserve">(the Committee) </w:t>
      </w:r>
      <w:r>
        <w:rPr>
          <w:rFonts w:ascii="TimesNewRomanPSMT" w:hAnsi="TimesNewRomanPSMT"/>
          <w:color w:val="000000"/>
        </w:rPr>
        <w:t>terms of reference require consideration of human rights impacts of subordinate legislation, among other matters.</w:t>
      </w:r>
    </w:p>
    <w:p w14:paraId="7E229E42" w14:textId="77777777" w:rsidR="00147792" w:rsidRDefault="00147792" w:rsidP="00791079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color w:val="000000"/>
        </w:rPr>
      </w:pPr>
    </w:p>
    <w:p w14:paraId="6E857282" w14:textId="62BADEEB" w:rsidR="00E17640" w:rsidRPr="00C568C8" w:rsidRDefault="00E17640" w:rsidP="00C568C8">
      <w:r>
        <w:rPr>
          <w:rFonts w:ascii="TimesNewRomanPSMT" w:hAnsi="TimesNewRomanPSMT"/>
          <w:color w:val="000000"/>
        </w:rPr>
        <w:t xml:space="preserve">The regulation does not engage any human rights under the </w:t>
      </w:r>
      <w:r>
        <w:rPr>
          <w:rFonts w:ascii="TimesNewRomanPSMT" w:hAnsi="TimesNewRomanPSMT"/>
          <w:i/>
          <w:iCs/>
          <w:color w:val="000000"/>
        </w:rPr>
        <w:t>Human Rights Act 2004</w:t>
      </w:r>
      <w:r>
        <w:rPr>
          <w:rFonts w:ascii="TimesNewRomanPSMT" w:hAnsi="TimesNewRomanPSMT"/>
          <w:color w:val="000000"/>
        </w:rPr>
        <w:t>.</w:t>
      </w:r>
      <w:r w:rsidR="00C568C8">
        <w:rPr>
          <w:rFonts w:ascii="TimesNewRomanPSMT" w:hAnsi="TimesNewRomanPSMT"/>
          <w:color w:val="000000"/>
        </w:rPr>
        <w:t xml:space="preserve"> </w:t>
      </w:r>
      <w:r w:rsidR="00C568C8">
        <w:rPr>
          <w:color w:val="000000"/>
          <w:shd w:val="clear" w:color="auto" w:fill="FFFFFF"/>
        </w:rPr>
        <w:t xml:space="preserve">The human rights engaged by the </w:t>
      </w:r>
      <w:r w:rsidR="00C568C8" w:rsidRPr="00607392">
        <w:t xml:space="preserve">implementation of </w:t>
      </w:r>
      <w:r w:rsidR="00C568C8">
        <w:t xml:space="preserve">the home swimming pool safety </w:t>
      </w:r>
      <w:r w:rsidR="00C568C8" w:rsidRPr="00607392">
        <w:t>reforms</w:t>
      </w:r>
      <w:r w:rsidR="00C568C8">
        <w:t xml:space="preserve"> scheme were addressed through the explanatory statement for the</w:t>
      </w:r>
      <w:r w:rsidR="00C568C8" w:rsidRPr="00607392">
        <w:t xml:space="preserve"> </w:t>
      </w:r>
      <w:r w:rsidR="00C568C8" w:rsidRPr="00470E33">
        <w:rPr>
          <w:i/>
          <w:iCs/>
        </w:rPr>
        <w:t>Building (Swimming Pool Safety) Amendment Act 2023</w:t>
      </w:r>
      <w:r w:rsidR="00C568C8">
        <w:t>.</w:t>
      </w:r>
    </w:p>
    <w:p w14:paraId="228C99BE" w14:textId="77777777" w:rsidR="00E17640" w:rsidRDefault="00E17640" w:rsidP="00147792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color w:val="000000"/>
        </w:rPr>
      </w:pPr>
    </w:p>
    <w:p w14:paraId="52DF4039" w14:textId="5C04D3B6" w:rsidR="00791079" w:rsidRPr="00577FE5" w:rsidRDefault="00791079" w:rsidP="00791079">
      <w:pPr>
        <w:rPr>
          <w:b/>
        </w:rPr>
      </w:pPr>
      <w:r w:rsidRPr="00577FE5">
        <w:rPr>
          <w:b/>
        </w:rPr>
        <w:t>SCRUTINY COMMITTEE PRINCIPLES</w:t>
      </w:r>
    </w:p>
    <w:p w14:paraId="12BEFA4F" w14:textId="65F7B9BC" w:rsidR="007D49F1" w:rsidRDefault="007D49F1" w:rsidP="007D49F1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color w:val="000000"/>
        </w:rPr>
      </w:pPr>
      <w:r w:rsidRPr="00D3147C">
        <w:rPr>
          <w:rFonts w:ascii="TimesNewRomanPSMT" w:hAnsi="TimesNewRomanPSMT"/>
          <w:color w:val="000000"/>
        </w:rPr>
        <w:t>This regulation and explanatory statement has been developed in accordance with the Committee principles and technical and stylistic standards expected by the Assembly.</w:t>
      </w:r>
      <w:r>
        <w:rPr>
          <w:rFonts w:ascii="TimesNewRomanPSMT" w:hAnsi="TimesNewRomanPSMT"/>
          <w:color w:val="000000"/>
        </w:rPr>
        <w:t xml:space="preserve"> </w:t>
      </w:r>
    </w:p>
    <w:p w14:paraId="1AD0F733" w14:textId="77777777" w:rsidR="007D49F1" w:rsidRDefault="007D49F1" w:rsidP="00791079">
      <w:pPr>
        <w:rPr>
          <w:rFonts w:eastAsiaTheme="majorEastAsia"/>
          <w:b/>
          <w:bCs/>
          <w:color w:val="000000" w:themeColor="text1"/>
          <w:szCs w:val="24"/>
        </w:rPr>
      </w:pPr>
    </w:p>
    <w:p w14:paraId="429D5E52" w14:textId="60904C6E" w:rsidR="00791079" w:rsidRPr="00B5176F" w:rsidRDefault="00791079" w:rsidP="00791079">
      <w:pPr>
        <w:rPr>
          <w:rFonts w:eastAsiaTheme="majorEastAsia"/>
          <w:b/>
          <w:bCs/>
          <w:color w:val="000000" w:themeColor="text1"/>
          <w:szCs w:val="24"/>
        </w:rPr>
      </w:pPr>
      <w:r w:rsidRPr="00B5176F">
        <w:rPr>
          <w:rFonts w:eastAsiaTheme="majorEastAsia"/>
          <w:b/>
          <w:bCs/>
          <w:color w:val="000000" w:themeColor="text1"/>
          <w:szCs w:val="24"/>
        </w:rPr>
        <w:t>CLAUSE</w:t>
      </w:r>
      <w:r>
        <w:rPr>
          <w:rFonts w:eastAsiaTheme="majorEastAsia"/>
          <w:b/>
          <w:bCs/>
          <w:color w:val="000000" w:themeColor="text1"/>
          <w:szCs w:val="24"/>
        </w:rPr>
        <w:t xml:space="preserve"> NOTES</w:t>
      </w:r>
    </w:p>
    <w:p w14:paraId="50F5233D" w14:textId="77777777" w:rsidR="00CF713D" w:rsidRPr="00CF713D" w:rsidRDefault="00CF713D">
      <w:pPr>
        <w:rPr>
          <w:szCs w:val="24"/>
        </w:rPr>
      </w:pPr>
    </w:p>
    <w:p w14:paraId="4E28B2AC" w14:textId="6343C617" w:rsidR="00CF713D" w:rsidRPr="00CF713D" w:rsidRDefault="00CF713D" w:rsidP="00CF713D">
      <w:pPr>
        <w:autoSpaceDE w:val="0"/>
        <w:autoSpaceDN w:val="0"/>
        <w:adjustRightInd w:val="0"/>
        <w:rPr>
          <w:b/>
          <w:bCs/>
          <w:color w:val="000000"/>
          <w:szCs w:val="24"/>
          <w:lang w:eastAsia="en-AU"/>
        </w:rPr>
      </w:pPr>
      <w:r>
        <w:rPr>
          <w:b/>
          <w:bCs/>
          <w:color w:val="000000"/>
          <w:szCs w:val="24"/>
          <w:lang w:eastAsia="en-AU"/>
        </w:rPr>
        <w:t xml:space="preserve">Clause </w:t>
      </w:r>
      <w:r w:rsidRPr="00CF713D">
        <w:rPr>
          <w:b/>
          <w:bCs/>
          <w:color w:val="000000"/>
          <w:szCs w:val="24"/>
          <w:lang w:eastAsia="en-AU"/>
        </w:rPr>
        <w:t xml:space="preserve">1 </w:t>
      </w:r>
      <w:r>
        <w:rPr>
          <w:b/>
          <w:bCs/>
          <w:color w:val="000000"/>
          <w:szCs w:val="24"/>
          <w:lang w:eastAsia="en-AU"/>
        </w:rPr>
        <w:tab/>
      </w:r>
      <w:r w:rsidRPr="00CF713D">
        <w:rPr>
          <w:b/>
          <w:bCs/>
          <w:color w:val="000000"/>
          <w:szCs w:val="24"/>
          <w:lang w:eastAsia="en-AU"/>
        </w:rPr>
        <w:t xml:space="preserve">Name of regulation </w:t>
      </w:r>
    </w:p>
    <w:p w14:paraId="040B5058" w14:textId="77777777" w:rsidR="00170EEB" w:rsidRDefault="00170EEB" w:rsidP="00CF713D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0A5B4947" w14:textId="48939406" w:rsidR="00CF713D" w:rsidRPr="00CF713D" w:rsidRDefault="00CF713D" w:rsidP="00CF713D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 w:rsidRPr="00CF713D">
        <w:rPr>
          <w:color w:val="000000"/>
          <w:szCs w:val="24"/>
          <w:lang w:eastAsia="en-AU"/>
        </w:rPr>
        <w:t xml:space="preserve">This </w:t>
      </w:r>
      <w:r w:rsidR="0057275C">
        <w:rPr>
          <w:color w:val="000000"/>
          <w:szCs w:val="24"/>
          <w:lang w:eastAsia="en-AU"/>
        </w:rPr>
        <w:t xml:space="preserve">clause provides that the name of the </w:t>
      </w:r>
      <w:r w:rsidRPr="00CF713D">
        <w:rPr>
          <w:color w:val="000000"/>
          <w:szCs w:val="24"/>
          <w:lang w:eastAsia="en-AU"/>
        </w:rPr>
        <w:t xml:space="preserve">regulation is the </w:t>
      </w:r>
      <w:r w:rsidR="007A17FD">
        <w:rPr>
          <w:i/>
          <w:iCs/>
          <w:color w:val="000000"/>
          <w:szCs w:val="24"/>
          <w:lang w:eastAsia="en-AU"/>
        </w:rPr>
        <w:t xml:space="preserve">Common Boundaries </w:t>
      </w:r>
      <w:r w:rsidRPr="00CF713D">
        <w:rPr>
          <w:i/>
          <w:iCs/>
          <w:color w:val="000000"/>
          <w:szCs w:val="24"/>
          <w:lang w:eastAsia="en-AU"/>
        </w:rPr>
        <w:t>Regulation 2024</w:t>
      </w:r>
      <w:r w:rsidRPr="00CF713D">
        <w:rPr>
          <w:color w:val="000000"/>
          <w:szCs w:val="24"/>
          <w:lang w:eastAsia="en-AU"/>
        </w:rPr>
        <w:t xml:space="preserve">. </w:t>
      </w:r>
    </w:p>
    <w:p w14:paraId="5BDAD100" w14:textId="77777777" w:rsidR="00CF713D" w:rsidRDefault="00CF713D" w:rsidP="00CF713D">
      <w:pPr>
        <w:autoSpaceDE w:val="0"/>
        <w:autoSpaceDN w:val="0"/>
        <w:adjustRightInd w:val="0"/>
        <w:rPr>
          <w:b/>
          <w:bCs/>
          <w:color w:val="000000"/>
          <w:szCs w:val="24"/>
          <w:lang w:eastAsia="en-AU"/>
        </w:rPr>
      </w:pPr>
    </w:p>
    <w:p w14:paraId="6B16E5A2" w14:textId="3A133E64" w:rsidR="00CF713D" w:rsidRPr="00CF713D" w:rsidRDefault="00CF713D" w:rsidP="00CF713D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>
        <w:rPr>
          <w:b/>
          <w:bCs/>
          <w:color w:val="000000"/>
          <w:szCs w:val="24"/>
          <w:lang w:eastAsia="en-AU"/>
        </w:rPr>
        <w:t xml:space="preserve">Clause </w:t>
      </w:r>
      <w:r w:rsidRPr="00CF713D">
        <w:rPr>
          <w:b/>
          <w:bCs/>
          <w:color w:val="000000"/>
          <w:szCs w:val="24"/>
          <w:lang w:eastAsia="en-AU"/>
        </w:rPr>
        <w:t xml:space="preserve">2 </w:t>
      </w:r>
      <w:r>
        <w:rPr>
          <w:b/>
          <w:bCs/>
          <w:color w:val="000000"/>
          <w:szCs w:val="24"/>
          <w:lang w:eastAsia="en-AU"/>
        </w:rPr>
        <w:tab/>
      </w:r>
      <w:r w:rsidRPr="00CF713D">
        <w:rPr>
          <w:b/>
          <w:bCs/>
          <w:color w:val="000000"/>
          <w:szCs w:val="24"/>
          <w:lang w:eastAsia="en-AU"/>
        </w:rPr>
        <w:t xml:space="preserve">Commencement </w:t>
      </w:r>
    </w:p>
    <w:p w14:paraId="016896C1" w14:textId="77777777" w:rsidR="00170EEB" w:rsidRDefault="00170EEB" w:rsidP="0057275C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54432475" w14:textId="496786C2" w:rsidR="00CF713D" w:rsidRPr="00CF713D" w:rsidRDefault="00CF713D" w:rsidP="0057275C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 w:rsidRPr="00CF713D">
        <w:rPr>
          <w:color w:val="000000"/>
          <w:szCs w:val="24"/>
          <w:lang w:eastAsia="en-AU"/>
        </w:rPr>
        <w:t xml:space="preserve">This </w:t>
      </w:r>
      <w:r w:rsidR="0057275C">
        <w:rPr>
          <w:color w:val="000000"/>
          <w:szCs w:val="24"/>
          <w:lang w:eastAsia="en-AU"/>
        </w:rPr>
        <w:t>c</w:t>
      </w:r>
      <w:r w:rsidR="00DD4F7D">
        <w:rPr>
          <w:color w:val="000000"/>
          <w:szCs w:val="24"/>
          <w:lang w:eastAsia="en-AU"/>
        </w:rPr>
        <w:t>l</w:t>
      </w:r>
      <w:r w:rsidR="0057275C">
        <w:rPr>
          <w:color w:val="000000"/>
          <w:szCs w:val="24"/>
          <w:lang w:eastAsia="en-AU"/>
        </w:rPr>
        <w:t xml:space="preserve">ause provides for the commencement of regulation. The </w:t>
      </w:r>
      <w:r w:rsidRPr="00CF713D">
        <w:rPr>
          <w:color w:val="000000"/>
          <w:szCs w:val="24"/>
          <w:lang w:eastAsia="en-AU"/>
        </w:rPr>
        <w:t xml:space="preserve">regulation commences on </w:t>
      </w:r>
      <w:r w:rsidR="007A17FD">
        <w:rPr>
          <w:color w:val="000000"/>
          <w:szCs w:val="24"/>
          <w:lang w:eastAsia="en-AU"/>
        </w:rPr>
        <w:t>the day after its notification day.</w:t>
      </w:r>
    </w:p>
    <w:p w14:paraId="71A1B258" w14:textId="77777777" w:rsidR="00CF713D" w:rsidRDefault="00CF713D" w:rsidP="00CF713D">
      <w:pPr>
        <w:autoSpaceDE w:val="0"/>
        <w:autoSpaceDN w:val="0"/>
        <w:adjustRightInd w:val="0"/>
        <w:rPr>
          <w:b/>
          <w:bCs/>
          <w:color w:val="000000"/>
          <w:szCs w:val="24"/>
          <w:lang w:eastAsia="en-AU"/>
        </w:rPr>
      </w:pPr>
    </w:p>
    <w:p w14:paraId="2EDA7A2A" w14:textId="2412CE4D" w:rsidR="00CF713D" w:rsidRPr="007A17FD" w:rsidRDefault="00CF713D" w:rsidP="00CF713D">
      <w:pPr>
        <w:autoSpaceDE w:val="0"/>
        <w:autoSpaceDN w:val="0"/>
        <w:adjustRightInd w:val="0"/>
        <w:rPr>
          <w:b/>
          <w:bCs/>
          <w:color w:val="000000"/>
          <w:szCs w:val="24"/>
          <w:lang w:eastAsia="en-AU"/>
        </w:rPr>
      </w:pPr>
      <w:r>
        <w:rPr>
          <w:b/>
          <w:bCs/>
          <w:color w:val="000000"/>
          <w:szCs w:val="24"/>
          <w:lang w:eastAsia="en-AU"/>
        </w:rPr>
        <w:lastRenderedPageBreak/>
        <w:t xml:space="preserve">Clause </w:t>
      </w:r>
      <w:r w:rsidRPr="00CF713D">
        <w:rPr>
          <w:b/>
          <w:bCs/>
          <w:color w:val="000000"/>
          <w:szCs w:val="24"/>
          <w:lang w:eastAsia="en-AU"/>
        </w:rPr>
        <w:t xml:space="preserve">3 </w:t>
      </w:r>
      <w:r>
        <w:rPr>
          <w:b/>
          <w:bCs/>
          <w:color w:val="000000"/>
          <w:szCs w:val="24"/>
          <w:lang w:eastAsia="en-AU"/>
        </w:rPr>
        <w:tab/>
      </w:r>
      <w:r w:rsidR="007A17FD" w:rsidRPr="007A17FD">
        <w:rPr>
          <w:b/>
          <w:bCs/>
          <w:color w:val="000000"/>
          <w:szCs w:val="24"/>
          <w:lang w:eastAsia="en-AU"/>
        </w:rPr>
        <w:t>Matters to be taken into account by ACAT—dividing</w:t>
      </w:r>
      <w:r w:rsidR="007A17FD">
        <w:rPr>
          <w:b/>
          <w:bCs/>
          <w:color w:val="000000"/>
          <w:szCs w:val="24"/>
          <w:lang w:eastAsia="en-AU"/>
        </w:rPr>
        <w:t xml:space="preserve"> </w:t>
      </w:r>
      <w:r w:rsidR="007A17FD" w:rsidRPr="007A17FD">
        <w:rPr>
          <w:b/>
          <w:bCs/>
          <w:color w:val="000000"/>
          <w:szCs w:val="24"/>
          <w:lang w:eastAsia="en-AU"/>
        </w:rPr>
        <w:t>fences a safety barrier for regulated swimming pool—Act,</w:t>
      </w:r>
      <w:r w:rsidR="007A17FD">
        <w:rPr>
          <w:b/>
          <w:bCs/>
          <w:color w:val="000000"/>
          <w:szCs w:val="24"/>
          <w:lang w:eastAsia="en-AU"/>
        </w:rPr>
        <w:t xml:space="preserve"> </w:t>
      </w:r>
      <w:r w:rsidR="007A17FD" w:rsidRPr="007A17FD">
        <w:rPr>
          <w:b/>
          <w:bCs/>
          <w:color w:val="000000"/>
          <w:szCs w:val="24"/>
          <w:lang w:eastAsia="en-AU"/>
        </w:rPr>
        <w:t>s 13A (2)</w:t>
      </w:r>
    </w:p>
    <w:p w14:paraId="63C90F3E" w14:textId="77777777" w:rsidR="00170EEB" w:rsidRDefault="00170EEB" w:rsidP="0057275C">
      <w:pPr>
        <w:rPr>
          <w:color w:val="000000"/>
          <w:szCs w:val="24"/>
          <w:lang w:eastAsia="en-AU"/>
        </w:rPr>
      </w:pPr>
    </w:p>
    <w:p w14:paraId="1C2E1802" w14:textId="2E50D75C" w:rsidR="00BB5BDD" w:rsidRDefault="00494F0E" w:rsidP="006309FA">
      <w:pPr>
        <w:autoSpaceDE w:val="0"/>
        <w:autoSpaceDN w:val="0"/>
        <w:adjustRightInd w:val="0"/>
        <w:rPr>
          <w:rStyle w:val="ui-provider"/>
        </w:rPr>
      </w:pPr>
      <w:r>
        <w:rPr>
          <w:color w:val="000000"/>
          <w:szCs w:val="24"/>
          <w:lang w:eastAsia="en-AU"/>
        </w:rPr>
        <w:t>This provision</w:t>
      </w:r>
      <w:r w:rsidR="003C070E" w:rsidRPr="00866D30">
        <w:rPr>
          <w:rStyle w:val="ui-provider"/>
        </w:rPr>
        <w:t xml:space="preserve"> prescribes the </w:t>
      </w:r>
      <w:r w:rsidR="00BB5BDD">
        <w:rPr>
          <w:rStyle w:val="ui-provider"/>
        </w:rPr>
        <w:t xml:space="preserve">matters that the ACAT must take into account when making a determination under division 2.1 of the </w:t>
      </w:r>
      <w:r w:rsidR="00BB5BDD" w:rsidRPr="00BB5BDD">
        <w:rPr>
          <w:rStyle w:val="ui-provider"/>
          <w:i/>
          <w:iCs/>
        </w:rPr>
        <w:t>Common Boundaries Act 1981</w:t>
      </w:r>
      <w:r w:rsidR="00BB5BDD">
        <w:rPr>
          <w:rStyle w:val="ui-provider"/>
        </w:rPr>
        <w:t xml:space="preserve">. </w:t>
      </w:r>
    </w:p>
    <w:p w14:paraId="3D1675FC" w14:textId="77777777" w:rsidR="003D7E17" w:rsidRDefault="003D7E17" w:rsidP="003D7E17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3D3E4255" w14:textId="4B903752" w:rsidR="00515288" w:rsidRPr="002F35A7" w:rsidRDefault="003D7E17" w:rsidP="002F35A7">
      <w:pPr>
        <w:autoSpaceDE w:val="0"/>
        <w:autoSpaceDN w:val="0"/>
        <w:adjustRightInd w:val="0"/>
      </w:pPr>
      <w:r>
        <w:rPr>
          <w:color w:val="000000"/>
          <w:szCs w:val="24"/>
          <w:lang w:eastAsia="en-AU"/>
        </w:rPr>
        <w:t xml:space="preserve">This provision prescribes that </w:t>
      </w:r>
      <w:r w:rsidR="00742F00">
        <w:rPr>
          <w:rStyle w:val="ui-provider"/>
        </w:rPr>
        <w:t>when making a determination the ACAT must take into account</w:t>
      </w:r>
      <w:r w:rsidR="002F35A7">
        <w:rPr>
          <w:rStyle w:val="ui-provider"/>
        </w:rPr>
        <w:t xml:space="preserve"> w</w:t>
      </w:r>
      <w:r w:rsidR="00515288" w:rsidRPr="002F35A7">
        <w:rPr>
          <w:color w:val="000000"/>
          <w:szCs w:val="24"/>
          <w:lang w:eastAsia="en-AU"/>
        </w:rPr>
        <w:t xml:space="preserve">hether </w:t>
      </w:r>
      <w:r w:rsidR="004D6841" w:rsidRPr="002F35A7">
        <w:rPr>
          <w:color w:val="000000"/>
          <w:szCs w:val="24"/>
          <w:lang w:eastAsia="en-AU"/>
        </w:rPr>
        <w:t>each party</w:t>
      </w:r>
      <w:r w:rsidR="00515288" w:rsidRPr="002F35A7">
        <w:rPr>
          <w:color w:val="000000"/>
          <w:szCs w:val="24"/>
          <w:lang w:eastAsia="en-AU"/>
        </w:rPr>
        <w:t xml:space="preserve"> must </w:t>
      </w:r>
      <w:r w:rsidR="004D6841" w:rsidRPr="002F35A7">
        <w:rPr>
          <w:color w:val="000000"/>
          <w:szCs w:val="24"/>
          <w:lang w:eastAsia="en-AU"/>
        </w:rPr>
        <w:t xml:space="preserve">have a fence that </w:t>
      </w:r>
      <w:r w:rsidR="00515288" w:rsidRPr="002F35A7">
        <w:rPr>
          <w:color w:val="000000"/>
          <w:szCs w:val="24"/>
          <w:lang w:eastAsia="en-AU"/>
        </w:rPr>
        <w:t>compl</w:t>
      </w:r>
      <w:r w:rsidR="004D6841" w:rsidRPr="002F35A7">
        <w:rPr>
          <w:color w:val="000000"/>
          <w:szCs w:val="24"/>
          <w:lang w:eastAsia="en-AU"/>
        </w:rPr>
        <w:t>ies</w:t>
      </w:r>
      <w:r w:rsidR="00515288" w:rsidRPr="002F35A7">
        <w:rPr>
          <w:color w:val="000000"/>
          <w:szCs w:val="24"/>
          <w:lang w:eastAsia="en-AU"/>
        </w:rPr>
        <w:t xml:space="preserve"> with the requirements </w:t>
      </w:r>
      <w:r w:rsidR="004D6841" w:rsidRPr="002F35A7">
        <w:rPr>
          <w:color w:val="000000"/>
          <w:szCs w:val="24"/>
          <w:lang w:eastAsia="en-AU"/>
        </w:rPr>
        <w:t xml:space="preserve">for regulated swimming pools </w:t>
      </w:r>
      <w:r w:rsidR="00515288" w:rsidRPr="002F35A7">
        <w:rPr>
          <w:color w:val="000000"/>
          <w:szCs w:val="24"/>
          <w:lang w:eastAsia="en-AU"/>
        </w:rPr>
        <w:t xml:space="preserve">under </w:t>
      </w:r>
      <w:r w:rsidR="004D6841" w:rsidRPr="002F35A7">
        <w:rPr>
          <w:color w:val="000000"/>
          <w:szCs w:val="24"/>
          <w:lang w:eastAsia="en-AU"/>
        </w:rPr>
        <w:t xml:space="preserve">part 5A of </w:t>
      </w:r>
      <w:r w:rsidR="00515288" w:rsidRPr="002F35A7">
        <w:rPr>
          <w:color w:val="000000"/>
          <w:szCs w:val="24"/>
          <w:lang w:eastAsia="en-AU"/>
        </w:rPr>
        <w:t xml:space="preserve">the </w:t>
      </w:r>
      <w:r w:rsidR="00515288" w:rsidRPr="002F35A7">
        <w:rPr>
          <w:i/>
          <w:iCs/>
          <w:color w:val="000000"/>
          <w:szCs w:val="24"/>
          <w:lang w:eastAsia="en-AU"/>
        </w:rPr>
        <w:t>Building Act 2004</w:t>
      </w:r>
      <w:r w:rsidR="002F35A7">
        <w:rPr>
          <w:color w:val="000000"/>
          <w:szCs w:val="24"/>
          <w:lang w:eastAsia="en-AU"/>
        </w:rPr>
        <w:t>.</w:t>
      </w:r>
    </w:p>
    <w:p w14:paraId="021AC24B" w14:textId="77777777" w:rsidR="002F35A7" w:rsidRDefault="002F35A7" w:rsidP="002F35A7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18838242" w14:textId="533989B3" w:rsidR="00515288" w:rsidRPr="002F35A7" w:rsidRDefault="002F35A7" w:rsidP="002F35A7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This provision prescribes that </w:t>
      </w:r>
      <w:r>
        <w:rPr>
          <w:rStyle w:val="ui-provider"/>
        </w:rPr>
        <w:t xml:space="preserve">when making a determination the ACAT must take into account </w:t>
      </w:r>
      <w:r w:rsidR="00515288" w:rsidRPr="002F35A7">
        <w:rPr>
          <w:color w:val="000000"/>
          <w:szCs w:val="24"/>
          <w:lang w:eastAsia="en-AU"/>
        </w:rPr>
        <w:t xml:space="preserve">whether the cost of erecting, repairing or replacing a fence that will be a compliant fence </w:t>
      </w:r>
      <w:r w:rsidRPr="002F35A7">
        <w:rPr>
          <w:color w:val="000000"/>
          <w:szCs w:val="24"/>
          <w:lang w:eastAsia="en-AU"/>
        </w:rPr>
        <w:t xml:space="preserve">for a regulated swimming pool </w:t>
      </w:r>
      <w:r w:rsidR="00515288" w:rsidRPr="002F35A7">
        <w:rPr>
          <w:color w:val="000000"/>
          <w:szCs w:val="24"/>
          <w:lang w:eastAsia="en-AU"/>
        </w:rPr>
        <w:t>is different to the cost of erecting, repairing or replacing a fence that will not be a compliant fence</w:t>
      </w:r>
      <w:r w:rsidRPr="002F35A7">
        <w:rPr>
          <w:color w:val="000000"/>
          <w:szCs w:val="24"/>
          <w:lang w:eastAsia="en-AU"/>
        </w:rPr>
        <w:t xml:space="preserve"> for a regulated swimming pool</w:t>
      </w:r>
      <w:r>
        <w:rPr>
          <w:color w:val="000000"/>
          <w:szCs w:val="24"/>
          <w:lang w:eastAsia="en-AU"/>
        </w:rPr>
        <w:t>.</w:t>
      </w:r>
    </w:p>
    <w:p w14:paraId="4042F2C7" w14:textId="77777777" w:rsidR="002F35A7" w:rsidRPr="002F35A7" w:rsidRDefault="002F35A7" w:rsidP="002F35A7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</w:p>
    <w:p w14:paraId="0828ED7B" w14:textId="7F2F603A" w:rsidR="00515288" w:rsidRPr="002F35A7" w:rsidRDefault="002F35A7" w:rsidP="002F35A7">
      <w:pPr>
        <w:autoSpaceDE w:val="0"/>
        <w:autoSpaceDN w:val="0"/>
        <w:adjustRightInd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This provision prescribes that </w:t>
      </w:r>
      <w:r w:rsidR="00010D40">
        <w:rPr>
          <w:rStyle w:val="ui-provider"/>
        </w:rPr>
        <w:t xml:space="preserve">when making a determination </w:t>
      </w:r>
      <w:r w:rsidR="00010D40">
        <w:rPr>
          <w:color w:val="000000"/>
          <w:szCs w:val="24"/>
          <w:lang w:eastAsia="en-AU"/>
        </w:rPr>
        <w:t xml:space="preserve">where </w:t>
      </w:r>
      <w:r w:rsidR="00515288" w:rsidRPr="002F35A7">
        <w:rPr>
          <w:color w:val="000000"/>
          <w:szCs w:val="24"/>
          <w:lang w:eastAsia="en-AU"/>
        </w:rPr>
        <w:t xml:space="preserve">the cost of the compliant fence </w:t>
      </w:r>
      <w:r w:rsidRPr="002F35A7">
        <w:rPr>
          <w:color w:val="000000"/>
          <w:szCs w:val="24"/>
          <w:lang w:eastAsia="en-AU"/>
        </w:rPr>
        <w:t xml:space="preserve">for a regulated swimming pool </w:t>
      </w:r>
      <w:r w:rsidR="00515288" w:rsidRPr="002F35A7">
        <w:rPr>
          <w:color w:val="000000"/>
          <w:szCs w:val="24"/>
          <w:lang w:eastAsia="en-AU"/>
        </w:rPr>
        <w:t>is more than the cost of a fence that is not a compliant fence</w:t>
      </w:r>
      <w:r w:rsidRPr="002F35A7">
        <w:rPr>
          <w:color w:val="000000"/>
          <w:szCs w:val="24"/>
          <w:lang w:eastAsia="en-AU"/>
        </w:rPr>
        <w:t xml:space="preserve"> for a regulated swimming pool</w:t>
      </w:r>
      <w:r>
        <w:rPr>
          <w:color w:val="000000"/>
          <w:szCs w:val="24"/>
          <w:lang w:eastAsia="en-AU"/>
        </w:rPr>
        <w:t xml:space="preserve">, </w:t>
      </w:r>
      <w:r>
        <w:rPr>
          <w:rStyle w:val="ui-provider"/>
        </w:rPr>
        <w:t>the ACAT must take into account:</w:t>
      </w:r>
    </w:p>
    <w:p w14:paraId="252B3072" w14:textId="06A4F089" w:rsidR="00515288" w:rsidRDefault="00515288" w:rsidP="002F35A7">
      <w:pPr>
        <w:pStyle w:val="ListParagraph0"/>
        <w:numPr>
          <w:ilvl w:val="0"/>
          <w:numId w:val="25"/>
        </w:numPr>
        <w:autoSpaceDE w:val="0"/>
        <w:autoSpaceDN w:val="0"/>
        <w:adjustRightInd w:val="0"/>
        <w:rPr>
          <w:color w:val="000000"/>
          <w:szCs w:val="24"/>
          <w:lang w:eastAsia="en-AU"/>
        </w:rPr>
      </w:pPr>
      <w:r w:rsidRPr="00787A33">
        <w:rPr>
          <w:color w:val="000000"/>
          <w:szCs w:val="24"/>
          <w:lang w:eastAsia="en-AU"/>
        </w:rPr>
        <w:t>whether the amount that should be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contributed to the cost by the party who is not the party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responsible for erecting the fence should be adjusted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because 1 party must comply with all or part of the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swimming pool safety requirements to a greater extent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than the other party</w:t>
      </w:r>
      <w:r w:rsidR="00615AF2">
        <w:rPr>
          <w:color w:val="000000"/>
          <w:szCs w:val="24"/>
          <w:lang w:eastAsia="en-AU"/>
        </w:rPr>
        <w:t>,</w:t>
      </w:r>
      <w:r w:rsidR="00010D40">
        <w:rPr>
          <w:color w:val="000000"/>
          <w:szCs w:val="24"/>
          <w:lang w:eastAsia="en-AU"/>
        </w:rPr>
        <w:t xml:space="preserve"> </w:t>
      </w:r>
      <w:r w:rsidR="00010D40" w:rsidRPr="00787A33">
        <w:rPr>
          <w:color w:val="000000"/>
          <w:szCs w:val="24"/>
          <w:lang w:eastAsia="en-AU"/>
        </w:rPr>
        <w:t>for a determination mentioned in</w:t>
      </w:r>
      <w:r w:rsidR="00615AF2">
        <w:rPr>
          <w:color w:val="000000"/>
          <w:szCs w:val="24"/>
          <w:lang w:eastAsia="en-AU"/>
        </w:rPr>
        <w:t xml:space="preserve"> </w:t>
      </w:r>
      <w:r w:rsidR="00010D40" w:rsidRPr="00787A33">
        <w:rPr>
          <w:color w:val="000000"/>
          <w:szCs w:val="24"/>
          <w:lang w:eastAsia="en-AU"/>
        </w:rPr>
        <w:t>section 10 (2) (d)</w:t>
      </w:r>
      <w:r w:rsidR="00615AF2">
        <w:rPr>
          <w:color w:val="000000"/>
          <w:szCs w:val="24"/>
          <w:lang w:eastAsia="en-AU"/>
        </w:rPr>
        <w:t xml:space="preserve"> of the </w:t>
      </w:r>
      <w:r w:rsidR="00615AF2" w:rsidRPr="00BB5BDD">
        <w:rPr>
          <w:rStyle w:val="ui-provider"/>
          <w:i/>
          <w:iCs/>
        </w:rPr>
        <w:t>Common Boundaries Act 198</w:t>
      </w:r>
      <w:r w:rsidR="00615AF2">
        <w:rPr>
          <w:rStyle w:val="ui-provider"/>
          <w:i/>
          <w:iCs/>
        </w:rPr>
        <w:t>1</w:t>
      </w:r>
      <w:r w:rsidRPr="00787A33">
        <w:rPr>
          <w:color w:val="000000"/>
          <w:szCs w:val="24"/>
          <w:lang w:eastAsia="en-AU"/>
        </w:rPr>
        <w:t>; or</w:t>
      </w:r>
    </w:p>
    <w:p w14:paraId="04EE5810" w14:textId="4EF16CEB" w:rsidR="00515288" w:rsidRPr="00787A33" w:rsidRDefault="00515288" w:rsidP="002F35A7">
      <w:pPr>
        <w:pStyle w:val="ListParagraph0"/>
        <w:numPr>
          <w:ilvl w:val="0"/>
          <w:numId w:val="25"/>
        </w:numPr>
        <w:autoSpaceDE w:val="0"/>
        <w:autoSpaceDN w:val="0"/>
        <w:adjustRightInd w:val="0"/>
        <w:rPr>
          <w:color w:val="000000"/>
          <w:szCs w:val="24"/>
          <w:lang w:eastAsia="en-AU"/>
        </w:rPr>
      </w:pPr>
      <w:r w:rsidRPr="00787A33">
        <w:rPr>
          <w:color w:val="000000"/>
          <w:szCs w:val="24"/>
          <w:lang w:eastAsia="en-AU"/>
        </w:rPr>
        <w:t>whether 1 party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should bear a greater proportion of the cost of repairing or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replacing the fence because that party must comply with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all or part of the swimming pool safety requirements to a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greater extent than the other party</w:t>
      </w:r>
      <w:r w:rsidR="00010D40">
        <w:rPr>
          <w:color w:val="000000"/>
          <w:szCs w:val="24"/>
          <w:lang w:eastAsia="en-AU"/>
        </w:rPr>
        <w:t xml:space="preserve"> </w:t>
      </w:r>
      <w:r w:rsidR="00010D40" w:rsidRPr="00787A33">
        <w:rPr>
          <w:color w:val="000000"/>
          <w:szCs w:val="24"/>
          <w:lang w:eastAsia="en-AU"/>
        </w:rPr>
        <w:t>for a determination mentioned in section 11 (3) (e) or section 12 (3) (a</w:t>
      </w:r>
      <w:r w:rsidR="00615AF2">
        <w:rPr>
          <w:color w:val="000000"/>
          <w:szCs w:val="24"/>
          <w:lang w:eastAsia="en-AU"/>
        </w:rPr>
        <w:t xml:space="preserve">) of the </w:t>
      </w:r>
      <w:r w:rsidR="00615AF2" w:rsidRPr="00BB5BDD">
        <w:rPr>
          <w:rStyle w:val="ui-provider"/>
          <w:i/>
          <w:iCs/>
        </w:rPr>
        <w:t>Common Boundaries Act 1981</w:t>
      </w:r>
      <w:r w:rsidRPr="00787A33">
        <w:rPr>
          <w:color w:val="000000"/>
          <w:szCs w:val="24"/>
          <w:lang w:eastAsia="en-AU"/>
        </w:rPr>
        <w:t>; or</w:t>
      </w:r>
    </w:p>
    <w:p w14:paraId="46B51EB3" w14:textId="6DEBBD6D" w:rsidR="00515288" w:rsidRPr="00F60E46" w:rsidRDefault="00515288" w:rsidP="002F35A7">
      <w:pPr>
        <w:pStyle w:val="ListParagraph0"/>
        <w:numPr>
          <w:ilvl w:val="0"/>
          <w:numId w:val="25"/>
        </w:numPr>
        <w:autoSpaceDE w:val="0"/>
        <w:autoSpaceDN w:val="0"/>
        <w:adjustRightInd w:val="0"/>
        <w:rPr>
          <w:rStyle w:val="ui-provider"/>
          <w:color w:val="000000"/>
          <w:szCs w:val="24"/>
          <w:lang w:eastAsia="en-AU"/>
        </w:rPr>
      </w:pPr>
      <w:r w:rsidRPr="00787A33">
        <w:rPr>
          <w:color w:val="000000"/>
          <w:szCs w:val="24"/>
          <w:lang w:eastAsia="en-AU"/>
        </w:rPr>
        <w:t>whether it is reasonable that the party who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is not the applicant is required to contribute to the cost of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the applicant erecting, repairing or replacing the fence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because the applicant must comply with all or part of the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swimming pool safety requirements to a greater extent</w:t>
      </w:r>
      <w:r>
        <w:rPr>
          <w:color w:val="000000"/>
          <w:szCs w:val="24"/>
          <w:lang w:eastAsia="en-AU"/>
        </w:rPr>
        <w:t xml:space="preserve"> </w:t>
      </w:r>
      <w:r w:rsidRPr="00787A33">
        <w:rPr>
          <w:color w:val="000000"/>
          <w:szCs w:val="24"/>
          <w:lang w:eastAsia="en-AU"/>
        </w:rPr>
        <w:t>than the other party</w:t>
      </w:r>
      <w:r w:rsidR="00010D40">
        <w:rPr>
          <w:color w:val="000000"/>
          <w:szCs w:val="24"/>
          <w:lang w:eastAsia="en-AU"/>
        </w:rPr>
        <w:t xml:space="preserve"> </w:t>
      </w:r>
      <w:r w:rsidR="00010D40" w:rsidRPr="00787A33">
        <w:rPr>
          <w:color w:val="000000"/>
          <w:szCs w:val="24"/>
          <w:lang w:eastAsia="en-AU"/>
        </w:rPr>
        <w:t>for a determination mentioned in section 12 (2) or</w:t>
      </w:r>
      <w:r w:rsidR="00010D40">
        <w:rPr>
          <w:color w:val="000000"/>
          <w:szCs w:val="24"/>
          <w:lang w:eastAsia="en-AU"/>
        </w:rPr>
        <w:t xml:space="preserve"> </w:t>
      </w:r>
      <w:r w:rsidR="00010D40" w:rsidRPr="00787A33">
        <w:rPr>
          <w:color w:val="000000"/>
          <w:szCs w:val="24"/>
          <w:lang w:eastAsia="en-AU"/>
        </w:rPr>
        <w:t>section 13 (2)</w:t>
      </w:r>
      <w:r w:rsidR="00615AF2">
        <w:rPr>
          <w:color w:val="000000"/>
          <w:szCs w:val="24"/>
          <w:lang w:eastAsia="en-AU"/>
        </w:rPr>
        <w:t xml:space="preserve"> of the </w:t>
      </w:r>
      <w:r w:rsidR="00615AF2" w:rsidRPr="00BB5BDD">
        <w:rPr>
          <w:rStyle w:val="ui-provider"/>
          <w:i/>
          <w:iCs/>
        </w:rPr>
        <w:t>Common Boundaries Act 1981</w:t>
      </w:r>
      <w:r w:rsidR="00F60E46">
        <w:rPr>
          <w:rStyle w:val="ui-provider"/>
        </w:rPr>
        <w:t>; or</w:t>
      </w:r>
    </w:p>
    <w:p w14:paraId="275D3AE6" w14:textId="4A185447" w:rsidR="00F60E46" w:rsidRPr="00F60E46" w:rsidRDefault="00F60E46" w:rsidP="00F60E46">
      <w:pPr>
        <w:pStyle w:val="ListParagraph0"/>
        <w:numPr>
          <w:ilvl w:val="0"/>
          <w:numId w:val="25"/>
        </w:numPr>
        <w:autoSpaceDE w:val="0"/>
        <w:autoSpaceDN w:val="0"/>
        <w:adjustRightInd w:val="0"/>
        <w:rPr>
          <w:color w:val="000000"/>
          <w:szCs w:val="24"/>
          <w:lang w:eastAsia="en-AU"/>
        </w:rPr>
      </w:pPr>
      <w:r w:rsidRPr="00F60E46">
        <w:rPr>
          <w:color w:val="000000"/>
          <w:szCs w:val="24"/>
          <w:lang w:eastAsia="en-AU"/>
        </w:rPr>
        <w:t>whether it is reasonable</w:t>
      </w:r>
      <w:r>
        <w:rPr>
          <w:color w:val="000000"/>
          <w:szCs w:val="24"/>
          <w:lang w:eastAsia="en-AU"/>
        </w:rPr>
        <w:t xml:space="preserve"> </w:t>
      </w:r>
      <w:r w:rsidRPr="00F60E46">
        <w:rPr>
          <w:color w:val="000000"/>
          <w:szCs w:val="24"/>
          <w:lang w:eastAsia="en-AU"/>
        </w:rPr>
        <w:t>for the amount to be adjusted because the applicant must</w:t>
      </w:r>
      <w:r>
        <w:rPr>
          <w:color w:val="000000"/>
          <w:szCs w:val="24"/>
          <w:lang w:eastAsia="en-AU"/>
        </w:rPr>
        <w:t xml:space="preserve"> </w:t>
      </w:r>
      <w:r w:rsidRPr="00F60E46">
        <w:rPr>
          <w:color w:val="000000"/>
          <w:szCs w:val="24"/>
          <w:lang w:eastAsia="en-AU"/>
        </w:rPr>
        <w:t>comply with all or part of the swimming pool safety</w:t>
      </w:r>
      <w:r>
        <w:rPr>
          <w:color w:val="000000"/>
          <w:szCs w:val="24"/>
          <w:lang w:eastAsia="en-AU"/>
        </w:rPr>
        <w:t xml:space="preserve"> </w:t>
      </w:r>
      <w:r w:rsidRPr="00F60E46">
        <w:rPr>
          <w:color w:val="000000"/>
          <w:szCs w:val="24"/>
          <w:lang w:eastAsia="en-AU"/>
        </w:rPr>
        <w:t>requirements to a greater extent than the other party</w:t>
      </w:r>
      <w:r>
        <w:rPr>
          <w:color w:val="000000"/>
          <w:szCs w:val="24"/>
          <w:lang w:eastAsia="en-AU"/>
        </w:rPr>
        <w:t xml:space="preserve"> </w:t>
      </w:r>
      <w:r w:rsidRPr="00F60E46">
        <w:rPr>
          <w:color w:val="000000"/>
          <w:szCs w:val="24"/>
          <w:lang w:eastAsia="en-AU"/>
        </w:rPr>
        <w:t>for a determination mentioned section 13 (3) (a)</w:t>
      </w:r>
      <w:r>
        <w:rPr>
          <w:color w:val="000000"/>
          <w:szCs w:val="24"/>
          <w:lang w:eastAsia="en-AU"/>
        </w:rPr>
        <w:t xml:space="preserve"> of the </w:t>
      </w:r>
      <w:r w:rsidRPr="00BB5BDD">
        <w:rPr>
          <w:rStyle w:val="ui-provider"/>
          <w:i/>
          <w:iCs/>
        </w:rPr>
        <w:t>Common Boundaries Act 1981</w:t>
      </w:r>
      <w:r w:rsidRPr="00F60E46">
        <w:rPr>
          <w:color w:val="000000"/>
          <w:szCs w:val="24"/>
          <w:lang w:eastAsia="en-AU"/>
        </w:rPr>
        <w:t xml:space="preserve"> if the circumstance mentioned in section 13 (4) (b) applie</w:t>
      </w:r>
      <w:r>
        <w:rPr>
          <w:color w:val="000000"/>
          <w:szCs w:val="24"/>
          <w:lang w:eastAsia="en-AU"/>
        </w:rPr>
        <w:t>s.</w:t>
      </w:r>
    </w:p>
    <w:p w14:paraId="54C2F0EC" w14:textId="77777777" w:rsidR="00105486" w:rsidRDefault="00105486" w:rsidP="00DD4F7D">
      <w:pPr>
        <w:rPr>
          <w:rStyle w:val="ui-provider"/>
        </w:rPr>
      </w:pPr>
    </w:p>
    <w:p w14:paraId="4E116565" w14:textId="2C8339BB" w:rsidR="00515288" w:rsidRPr="00E347D2" w:rsidRDefault="00510684" w:rsidP="00E347D2">
      <w:r>
        <w:rPr>
          <w:rStyle w:val="ui-provider"/>
        </w:rPr>
        <w:t xml:space="preserve">This provision defines </w:t>
      </w:r>
      <w:r w:rsidR="00515288" w:rsidRPr="00515288">
        <w:rPr>
          <w:szCs w:val="24"/>
        </w:rPr>
        <w:t xml:space="preserve">compliant fence </w:t>
      </w:r>
      <w:r w:rsidR="00E347D2">
        <w:rPr>
          <w:szCs w:val="24"/>
        </w:rPr>
        <w:t xml:space="preserve">to mean </w:t>
      </w:r>
      <w:r w:rsidR="00515288" w:rsidRPr="00515288">
        <w:rPr>
          <w:szCs w:val="24"/>
        </w:rPr>
        <w:t>a fence that complies with all the swimming</w:t>
      </w:r>
      <w:r w:rsidR="00E347D2">
        <w:rPr>
          <w:szCs w:val="24"/>
        </w:rPr>
        <w:t xml:space="preserve"> </w:t>
      </w:r>
      <w:r w:rsidR="00515288" w:rsidRPr="00515288">
        <w:rPr>
          <w:szCs w:val="24"/>
        </w:rPr>
        <w:t>pool safety requirements each party to the application for a</w:t>
      </w:r>
      <w:r w:rsidR="00E347D2">
        <w:rPr>
          <w:szCs w:val="24"/>
        </w:rPr>
        <w:t xml:space="preserve"> </w:t>
      </w:r>
      <w:r w:rsidR="00515288" w:rsidRPr="00515288">
        <w:rPr>
          <w:szCs w:val="24"/>
        </w:rPr>
        <w:t>determination must comply with.</w:t>
      </w:r>
    </w:p>
    <w:p w14:paraId="510B3980" w14:textId="77777777" w:rsidR="00E347D2" w:rsidRPr="00515288" w:rsidRDefault="00E347D2" w:rsidP="00515288">
      <w:pPr>
        <w:autoSpaceDE w:val="0"/>
        <w:autoSpaceDN w:val="0"/>
        <w:adjustRightInd w:val="0"/>
        <w:rPr>
          <w:szCs w:val="24"/>
        </w:rPr>
      </w:pPr>
    </w:p>
    <w:p w14:paraId="1904368E" w14:textId="2798AF11" w:rsidR="00515288" w:rsidRDefault="00E347D2" w:rsidP="00515288">
      <w:pPr>
        <w:autoSpaceDE w:val="0"/>
        <w:autoSpaceDN w:val="0"/>
        <w:adjustRightInd w:val="0"/>
        <w:rPr>
          <w:szCs w:val="24"/>
        </w:rPr>
      </w:pPr>
      <w:r>
        <w:rPr>
          <w:rStyle w:val="ui-provider"/>
        </w:rPr>
        <w:t xml:space="preserve">This provision signposts that </w:t>
      </w:r>
      <w:r w:rsidR="00645A5F">
        <w:rPr>
          <w:rStyle w:val="ui-provider"/>
        </w:rPr>
        <w:t xml:space="preserve">the below terms </w:t>
      </w:r>
      <w:r>
        <w:rPr>
          <w:szCs w:val="24"/>
        </w:rPr>
        <w:t xml:space="preserve">defined </w:t>
      </w:r>
      <w:r w:rsidR="00645A5F">
        <w:rPr>
          <w:szCs w:val="24"/>
        </w:rPr>
        <w:t xml:space="preserve">are </w:t>
      </w:r>
      <w:r>
        <w:rPr>
          <w:szCs w:val="24"/>
        </w:rPr>
        <w:t>in</w:t>
      </w:r>
      <w:r w:rsidR="004D6841" w:rsidRPr="004D6841">
        <w:rPr>
          <w:szCs w:val="24"/>
        </w:rPr>
        <w:t xml:space="preserve"> </w:t>
      </w:r>
      <w:r w:rsidR="004D6841" w:rsidRPr="00515288">
        <w:rPr>
          <w:szCs w:val="24"/>
        </w:rPr>
        <w:t>section 83 (1)</w:t>
      </w:r>
      <w:r w:rsidR="004D6841">
        <w:rPr>
          <w:szCs w:val="24"/>
        </w:rPr>
        <w:t xml:space="preserve"> of</w:t>
      </w:r>
      <w:r>
        <w:rPr>
          <w:szCs w:val="24"/>
        </w:rPr>
        <w:t xml:space="preserve"> </w:t>
      </w:r>
      <w:r w:rsidR="00515288" w:rsidRPr="00515288">
        <w:rPr>
          <w:szCs w:val="24"/>
        </w:rPr>
        <w:t xml:space="preserve">the </w:t>
      </w:r>
      <w:r w:rsidR="00515288" w:rsidRPr="00E347D2">
        <w:rPr>
          <w:i/>
          <w:iCs/>
          <w:szCs w:val="24"/>
        </w:rPr>
        <w:t>Building Act 2004</w:t>
      </w:r>
      <w:r w:rsidR="004D6841">
        <w:rPr>
          <w:szCs w:val="24"/>
        </w:rPr>
        <w:t>:</w:t>
      </w:r>
    </w:p>
    <w:p w14:paraId="2D077A07" w14:textId="57E923ED" w:rsidR="00645A5F" w:rsidRDefault="00645A5F" w:rsidP="00645A5F">
      <w:pPr>
        <w:pStyle w:val="ListParagraph0"/>
        <w:numPr>
          <w:ilvl w:val="0"/>
          <w:numId w:val="28"/>
        </w:numPr>
        <w:autoSpaceDE w:val="0"/>
        <w:autoSpaceDN w:val="0"/>
        <w:adjustRightInd w:val="0"/>
        <w:rPr>
          <w:szCs w:val="24"/>
        </w:rPr>
      </w:pPr>
      <w:r w:rsidRPr="00515288">
        <w:rPr>
          <w:szCs w:val="24"/>
        </w:rPr>
        <w:t>Ministerial exemption, in relation to a regulated swimming pool</w:t>
      </w:r>
      <w:r w:rsidR="00F43F11">
        <w:rPr>
          <w:szCs w:val="24"/>
        </w:rPr>
        <w:t>;</w:t>
      </w:r>
    </w:p>
    <w:p w14:paraId="39C07AD6" w14:textId="0C5FF290" w:rsidR="00645A5F" w:rsidRDefault="00645A5F" w:rsidP="00645A5F">
      <w:pPr>
        <w:pStyle w:val="ListParagraph0"/>
        <w:numPr>
          <w:ilvl w:val="0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Safety barrier</w:t>
      </w:r>
      <w:r w:rsidR="00F43F11">
        <w:rPr>
          <w:szCs w:val="24"/>
        </w:rPr>
        <w:t>; and</w:t>
      </w:r>
    </w:p>
    <w:p w14:paraId="74B5E367" w14:textId="18237E0A" w:rsidR="00E347D2" w:rsidRDefault="00645A5F" w:rsidP="00547334">
      <w:pPr>
        <w:pStyle w:val="ListParagraph0"/>
        <w:numPr>
          <w:ilvl w:val="0"/>
          <w:numId w:val="28"/>
        </w:numPr>
        <w:autoSpaceDE w:val="0"/>
        <w:autoSpaceDN w:val="0"/>
        <w:adjustRightInd w:val="0"/>
        <w:rPr>
          <w:szCs w:val="24"/>
        </w:rPr>
      </w:pPr>
      <w:r w:rsidRPr="00645A5F">
        <w:rPr>
          <w:szCs w:val="24"/>
        </w:rPr>
        <w:lastRenderedPageBreak/>
        <w:t>Standing ex</w:t>
      </w:r>
      <w:r>
        <w:rPr>
          <w:szCs w:val="24"/>
        </w:rPr>
        <w:t>emption</w:t>
      </w:r>
      <w:r w:rsidR="00F43F11">
        <w:rPr>
          <w:szCs w:val="24"/>
        </w:rPr>
        <w:t>.</w:t>
      </w:r>
    </w:p>
    <w:p w14:paraId="7ABE4BBE" w14:textId="77777777" w:rsidR="00645A5F" w:rsidRPr="00645A5F" w:rsidRDefault="00645A5F" w:rsidP="00645A5F">
      <w:pPr>
        <w:autoSpaceDE w:val="0"/>
        <w:autoSpaceDN w:val="0"/>
        <w:adjustRightInd w:val="0"/>
        <w:rPr>
          <w:szCs w:val="24"/>
        </w:rPr>
      </w:pPr>
    </w:p>
    <w:p w14:paraId="12EB7C80" w14:textId="578B91A5" w:rsidR="00645A5F" w:rsidRPr="00DD074B" w:rsidRDefault="00E347D2" w:rsidP="00515288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This provision signposts that</w:t>
      </w:r>
      <w:r w:rsidR="00645A5F">
        <w:rPr>
          <w:szCs w:val="24"/>
        </w:rPr>
        <w:t xml:space="preserve"> the term</w:t>
      </w:r>
      <w:r>
        <w:rPr>
          <w:szCs w:val="24"/>
        </w:rPr>
        <w:t xml:space="preserve"> </w:t>
      </w:r>
      <w:r w:rsidR="00515288" w:rsidRPr="00515288">
        <w:rPr>
          <w:szCs w:val="24"/>
        </w:rPr>
        <w:t>regulated swimming pool</w:t>
      </w:r>
      <w:r>
        <w:rPr>
          <w:szCs w:val="24"/>
        </w:rPr>
        <w:t xml:space="preserve"> is defined in</w:t>
      </w:r>
      <w:r w:rsidR="004D6841" w:rsidRPr="00E347D2">
        <w:rPr>
          <w:i/>
          <w:iCs/>
          <w:szCs w:val="24"/>
        </w:rPr>
        <w:t xml:space="preserve"> </w:t>
      </w:r>
      <w:r w:rsidR="004D6841" w:rsidRPr="00515288">
        <w:rPr>
          <w:szCs w:val="24"/>
        </w:rPr>
        <w:t>section 83B (1)</w:t>
      </w:r>
      <w:r w:rsidR="004D6841">
        <w:rPr>
          <w:szCs w:val="24"/>
        </w:rPr>
        <w:t xml:space="preserve"> of </w:t>
      </w:r>
      <w:r w:rsidR="00515288" w:rsidRPr="00515288">
        <w:rPr>
          <w:szCs w:val="24"/>
        </w:rPr>
        <w:t xml:space="preserve">the </w:t>
      </w:r>
      <w:r w:rsidR="00515288" w:rsidRPr="00E347D2">
        <w:rPr>
          <w:i/>
          <w:iCs/>
          <w:szCs w:val="24"/>
        </w:rPr>
        <w:t>Building Act 2004</w:t>
      </w:r>
      <w:r w:rsidR="004D6841">
        <w:rPr>
          <w:i/>
          <w:iCs/>
          <w:szCs w:val="24"/>
        </w:rPr>
        <w:t>.</w:t>
      </w:r>
    </w:p>
    <w:sectPr w:rsidR="00645A5F" w:rsidRPr="00DD074B" w:rsidSect="00F35C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903C" w14:textId="77777777" w:rsidR="00F63151" w:rsidRDefault="00F63151" w:rsidP="006815C9">
      <w:r>
        <w:separator/>
      </w:r>
    </w:p>
  </w:endnote>
  <w:endnote w:type="continuationSeparator" w:id="0">
    <w:p w14:paraId="313A6E24" w14:textId="77777777" w:rsidR="00F63151" w:rsidRDefault="00F63151" w:rsidP="006815C9">
      <w:r>
        <w:continuationSeparator/>
      </w:r>
    </w:p>
  </w:endnote>
  <w:endnote w:type="continuationNotice" w:id="1">
    <w:p w14:paraId="12D83A3F" w14:textId="77777777" w:rsidR="00535411" w:rsidRDefault="00535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64BD" w14:textId="77777777" w:rsidR="00091D34" w:rsidRDefault="0009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24E6" w14:textId="5A9F9AE2" w:rsidR="00091D34" w:rsidRPr="004E09BA" w:rsidRDefault="004E09BA" w:rsidP="004E09BA">
    <w:pPr>
      <w:pStyle w:val="Footer"/>
      <w:jc w:val="center"/>
      <w:rPr>
        <w:rFonts w:cs="Arial"/>
        <w:sz w:val="14"/>
      </w:rPr>
    </w:pPr>
    <w:r w:rsidRPr="004E09B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B214" w14:textId="77777777" w:rsidR="00091D34" w:rsidRDefault="0009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9553" w14:textId="77777777" w:rsidR="00F63151" w:rsidRDefault="00F63151" w:rsidP="006815C9">
      <w:r>
        <w:separator/>
      </w:r>
    </w:p>
  </w:footnote>
  <w:footnote w:type="continuationSeparator" w:id="0">
    <w:p w14:paraId="3F895874" w14:textId="77777777" w:rsidR="00F63151" w:rsidRDefault="00F63151" w:rsidP="006815C9">
      <w:r>
        <w:continuationSeparator/>
      </w:r>
    </w:p>
  </w:footnote>
  <w:footnote w:type="continuationNotice" w:id="1">
    <w:p w14:paraId="101A50F5" w14:textId="77777777" w:rsidR="00535411" w:rsidRDefault="00535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3DB7" w14:textId="77777777" w:rsidR="00091D34" w:rsidRDefault="0009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7AE1" w14:textId="77777777" w:rsidR="00091D34" w:rsidRDefault="00091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C485" w14:textId="77777777" w:rsidR="00091D34" w:rsidRDefault="0009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4EB57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B2654A4"/>
    <w:multiLevelType w:val="multilevel"/>
    <w:tmpl w:val="D9D0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CF7CF2"/>
    <w:multiLevelType w:val="hybridMultilevel"/>
    <w:tmpl w:val="6CA68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6477E3"/>
    <w:multiLevelType w:val="multilevel"/>
    <w:tmpl w:val="45D0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DE1873"/>
    <w:multiLevelType w:val="multilevel"/>
    <w:tmpl w:val="1BE6ACCC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pStyle w:val="ListParagraph2"/>
      <w:lvlText w:val="%2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ListParagraph3"/>
      <w:lvlText w:val="%3.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7E639E2"/>
    <w:multiLevelType w:val="multilevel"/>
    <w:tmpl w:val="B6A2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827827"/>
    <w:multiLevelType w:val="hybridMultilevel"/>
    <w:tmpl w:val="1A220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60C23"/>
    <w:multiLevelType w:val="hybridMultilevel"/>
    <w:tmpl w:val="BE5EA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402D3"/>
    <w:multiLevelType w:val="hybridMultilevel"/>
    <w:tmpl w:val="27345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66ADA"/>
    <w:multiLevelType w:val="hybridMultilevel"/>
    <w:tmpl w:val="E0723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A1C03"/>
    <w:multiLevelType w:val="hybridMultilevel"/>
    <w:tmpl w:val="B1B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FFA"/>
    <w:multiLevelType w:val="hybridMultilevel"/>
    <w:tmpl w:val="5E38F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B43A0"/>
    <w:multiLevelType w:val="hybridMultilevel"/>
    <w:tmpl w:val="35C676BC"/>
    <w:lvl w:ilvl="0" w:tplc="F95E2B6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6F5490B"/>
    <w:multiLevelType w:val="hybridMultilevel"/>
    <w:tmpl w:val="F6A6C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1594F"/>
    <w:multiLevelType w:val="multilevel"/>
    <w:tmpl w:val="0D38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36447B"/>
    <w:multiLevelType w:val="hybridMultilevel"/>
    <w:tmpl w:val="B7E8C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7377A"/>
    <w:multiLevelType w:val="hybridMultilevel"/>
    <w:tmpl w:val="2A6034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986808"/>
    <w:multiLevelType w:val="hybridMultilevel"/>
    <w:tmpl w:val="A5867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0109">
    <w:abstractNumId w:val="3"/>
  </w:num>
  <w:num w:numId="2" w16cid:durableId="1433865470">
    <w:abstractNumId w:val="1"/>
  </w:num>
  <w:num w:numId="3" w16cid:durableId="136461149">
    <w:abstractNumId w:val="6"/>
  </w:num>
  <w:num w:numId="4" w16cid:durableId="1764378919">
    <w:abstractNumId w:val="11"/>
  </w:num>
  <w:num w:numId="5" w16cid:durableId="1810517766">
    <w:abstractNumId w:val="23"/>
  </w:num>
  <w:num w:numId="6" w16cid:durableId="1990789519">
    <w:abstractNumId w:val="2"/>
  </w:num>
  <w:num w:numId="7" w16cid:durableId="600795013">
    <w:abstractNumId w:val="9"/>
  </w:num>
  <w:num w:numId="8" w16cid:durableId="975138900">
    <w:abstractNumId w:val="10"/>
  </w:num>
  <w:num w:numId="9" w16cid:durableId="1761368945">
    <w:abstractNumId w:val="20"/>
  </w:num>
  <w:num w:numId="10" w16cid:durableId="263805820">
    <w:abstractNumId w:val="0"/>
  </w:num>
  <w:num w:numId="11" w16cid:durableId="143590829">
    <w:abstractNumId w:val="24"/>
  </w:num>
  <w:num w:numId="12" w16cid:durableId="1474330421">
    <w:abstractNumId w:val="12"/>
  </w:num>
  <w:num w:numId="13" w16cid:durableId="1170368760">
    <w:abstractNumId w:val="19"/>
  </w:num>
  <w:num w:numId="14" w16cid:durableId="669411565">
    <w:abstractNumId w:val="22"/>
  </w:num>
  <w:num w:numId="15" w16cid:durableId="1980064435">
    <w:abstractNumId w:val="13"/>
  </w:num>
  <w:num w:numId="16" w16cid:durableId="2120834081">
    <w:abstractNumId w:val="8"/>
  </w:num>
  <w:num w:numId="17" w16cid:durableId="1376657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7261567">
    <w:abstractNumId w:val="16"/>
  </w:num>
  <w:num w:numId="19" w16cid:durableId="8221054">
    <w:abstractNumId w:val="4"/>
  </w:num>
  <w:num w:numId="20" w16cid:durableId="1518616769">
    <w:abstractNumId w:val="25"/>
  </w:num>
  <w:num w:numId="21" w16cid:durableId="885482632">
    <w:abstractNumId w:val="7"/>
  </w:num>
  <w:num w:numId="22" w16cid:durableId="1920871686">
    <w:abstractNumId w:val="5"/>
  </w:num>
  <w:num w:numId="23" w16cid:durableId="630940096">
    <w:abstractNumId w:val="15"/>
  </w:num>
  <w:num w:numId="24" w16cid:durableId="186605659">
    <w:abstractNumId w:val="21"/>
  </w:num>
  <w:num w:numId="25" w16cid:durableId="392046762">
    <w:abstractNumId w:val="17"/>
  </w:num>
  <w:num w:numId="26" w16cid:durableId="1464302698">
    <w:abstractNumId w:val="18"/>
  </w:num>
  <w:num w:numId="27" w16cid:durableId="1701473226">
    <w:abstractNumId w:val="26"/>
  </w:num>
  <w:num w:numId="28" w16cid:durableId="859926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D"/>
    <w:rsid w:val="00010D40"/>
    <w:rsid w:val="000149EB"/>
    <w:rsid w:val="00020678"/>
    <w:rsid w:val="00020922"/>
    <w:rsid w:val="00021732"/>
    <w:rsid w:val="000227F9"/>
    <w:rsid w:val="00040C1E"/>
    <w:rsid w:val="00040E22"/>
    <w:rsid w:val="00054591"/>
    <w:rsid w:val="000634F5"/>
    <w:rsid w:val="00086940"/>
    <w:rsid w:val="00091D34"/>
    <w:rsid w:val="00105486"/>
    <w:rsid w:val="001127F7"/>
    <w:rsid w:val="00120356"/>
    <w:rsid w:val="00123B41"/>
    <w:rsid w:val="001256AC"/>
    <w:rsid w:val="00127F11"/>
    <w:rsid w:val="001370B6"/>
    <w:rsid w:val="00143BA2"/>
    <w:rsid w:val="00147792"/>
    <w:rsid w:val="00165A16"/>
    <w:rsid w:val="00170EEB"/>
    <w:rsid w:val="001922ED"/>
    <w:rsid w:val="001A3727"/>
    <w:rsid w:val="001E32C3"/>
    <w:rsid w:val="001E3ECE"/>
    <w:rsid w:val="001F1B83"/>
    <w:rsid w:val="00201378"/>
    <w:rsid w:val="00206BC9"/>
    <w:rsid w:val="00213B55"/>
    <w:rsid w:val="00214F85"/>
    <w:rsid w:val="00216FAB"/>
    <w:rsid w:val="00222CE0"/>
    <w:rsid w:val="00244EFA"/>
    <w:rsid w:val="00255539"/>
    <w:rsid w:val="00265565"/>
    <w:rsid w:val="002800CF"/>
    <w:rsid w:val="0028175E"/>
    <w:rsid w:val="002972F7"/>
    <w:rsid w:val="002A1025"/>
    <w:rsid w:val="002B44EC"/>
    <w:rsid w:val="002B78B5"/>
    <w:rsid w:val="002E5D47"/>
    <w:rsid w:val="002E7A28"/>
    <w:rsid w:val="002F35A7"/>
    <w:rsid w:val="00301B21"/>
    <w:rsid w:val="00304FDA"/>
    <w:rsid w:val="00306113"/>
    <w:rsid w:val="00340707"/>
    <w:rsid w:val="0035049C"/>
    <w:rsid w:val="0038312F"/>
    <w:rsid w:val="00383C84"/>
    <w:rsid w:val="0039050A"/>
    <w:rsid w:val="003A275B"/>
    <w:rsid w:val="003C070E"/>
    <w:rsid w:val="003C6A04"/>
    <w:rsid w:val="003D0365"/>
    <w:rsid w:val="003D7E17"/>
    <w:rsid w:val="003E7906"/>
    <w:rsid w:val="003F133F"/>
    <w:rsid w:val="003F4697"/>
    <w:rsid w:val="00401B07"/>
    <w:rsid w:val="00412153"/>
    <w:rsid w:val="004232E3"/>
    <w:rsid w:val="00430466"/>
    <w:rsid w:val="00431E89"/>
    <w:rsid w:val="00445AED"/>
    <w:rsid w:val="0045387B"/>
    <w:rsid w:val="00470E33"/>
    <w:rsid w:val="00474D21"/>
    <w:rsid w:val="00477685"/>
    <w:rsid w:val="00494276"/>
    <w:rsid w:val="00494F0E"/>
    <w:rsid w:val="004A543B"/>
    <w:rsid w:val="004B0E5F"/>
    <w:rsid w:val="004D0CF9"/>
    <w:rsid w:val="004D242A"/>
    <w:rsid w:val="004D3C6B"/>
    <w:rsid w:val="004D6841"/>
    <w:rsid w:val="004D7F57"/>
    <w:rsid w:val="004E09BA"/>
    <w:rsid w:val="004F202B"/>
    <w:rsid w:val="00510684"/>
    <w:rsid w:val="00515288"/>
    <w:rsid w:val="00515510"/>
    <w:rsid w:val="005179A6"/>
    <w:rsid w:val="00530D09"/>
    <w:rsid w:val="00535411"/>
    <w:rsid w:val="005545F3"/>
    <w:rsid w:val="0057275C"/>
    <w:rsid w:val="005734D1"/>
    <w:rsid w:val="00580910"/>
    <w:rsid w:val="005923F5"/>
    <w:rsid w:val="005A16B4"/>
    <w:rsid w:val="005B1C5D"/>
    <w:rsid w:val="005C0E1B"/>
    <w:rsid w:val="005D4C61"/>
    <w:rsid w:val="005F4506"/>
    <w:rsid w:val="00607392"/>
    <w:rsid w:val="00615AF2"/>
    <w:rsid w:val="006263B6"/>
    <w:rsid w:val="006309FA"/>
    <w:rsid w:val="00631C54"/>
    <w:rsid w:val="00635534"/>
    <w:rsid w:val="00645A5F"/>
    <w:rsid w:val="0067629D"/>
    <w:rsid w:val="006805D0"/>
    <w:rsid w:val="006815C9"/>
    <w:rsid w:val="0069773E"/>
    <w:rsid w:val="006B3CCA"/>
    <w:rsid w:val="006E7046"/>
    <w:rsid w:val="006F1296"/>
    <w:rsid w:val="007100D7"/>
    <w:rsid w:val="007104A6"/>
    <w:rsid w:val="00712110"/>
    <w:rsid w:val="0073029F"/>
    <w:rsid w:val="00734B6C"/>
    <w:rsid w:val="00742F00"/>
    <w:rsid w:val="00780ED8"/>
    <w:rsid w:val="00787A33"/>
    <w:rsid w:val="00787BF0"/>
    <w:rsid w:val="0079048C"/>
    <w:rsid w:val="00791079"/>
    <w:rsid w:val="00793C96"/>
    <w:rsid w:val="007950C5"/>
    <w:rsid w:val="00796CB8"/>
    <w:rsid w:val="007A17FD"/>
    <w:rsid w:val="007B7974"/>
    <w:rsid w:val="007C24B2"/>
    <w:rsid w:val="007C49BA"/>
    <w:rsid w:val="007D49F1"/>
    <w:rsid w:val="007F1094"/>
    <w:rsid w:val="007F7FBB"/>
    <w:rsid w:val="008046B9"/>
    <w:rsid w:val="008108C7"/>
    <w:rsid w:val="008253FA"/>
    <w:rsid w:val="0083533D"/>
    <w:rsid w:val="00843E2D"/>
    <w:rsid w:val="008511EC"/>
    <w:rsid w:val="00851300"/>
    <w:rsid w:val="00853B52"/>
    <w:rsid w:val="00866D30"/>
    <w:rsid w:val="00880A0E"/>
    <w:rsid w:val="00886916"/>
    <w:rsid w:val="008A27A6"/>
    <w:rsid w:val="008A4C89"/>
    <w:rsid w:val="008C2D4A"/>
    <w:rsid w:val="008C7F9F"/>
    <w:rsid w:val="008D0DAC"/>
    <w:rsid w:val="008D6B65"/>
    <w:rsid w:val="008F0034"/>
    <w:rsid w:val="008F6606"/>
    <w:rsid w:val="009105BD"/>
    <w:rsid w:val="009242A6"/>
    <w:rsid w:val="0093636E"/>
    <w:rsid w:val="009533C4"/>
    <w:rsid w:val="00954EA3"/>
    <w:rsid w:val="0099349C"/>
    <w:rsid w:val="009B4288"/>
    <w:rsid w:val="009C63E1"/>
    <w:rsid w:val="009D245C"/>
    <w:rsid w:val="009D4E5F"/>
    <w:rsid w:val="009E422D"/>
    <w:rsid w:val="009F29C3"/>
    <w:rsid w:val="00A2558A"/>
    <w:rsid w:val="00A33C65"/>
    <w:rsid w:val="00A505C3"/>
    <w:rsid w:val="00A50964"/>
    <w:rsid w:val="00A67E53"/>
    <w:rsid w:val="00A764BC"/>
    <w:rsid w:val="00AB27B4"/>
    <w:rsid w:val="00AC1A97"/>
    <w:rsid w:val="00AE139D"/>
    <w:rsid w:val="00AF245B"/>
    <w:rsid w:val="00B05098"/>
    <w:rsid w:val="00B05BD6"/>
    <w:rsid w:val="00B31BA8"/>
    <w:rsid w:val="00B40DC5"/>
    <w:rsid w:val="00B645F4"/>
    <w:rsid w:val="00B6533C"/>
    <w:rsid w:val="00B710E8"/>
    <w:rsid w:val="00B86CF3"/>
    <w:rsid w:val="00B90FD2"/>
    <w:rsid w:val="00BB5BDD"/>
    <w:rsid w:val="00BC5530"/>
    <w:rsid w:val="00BD229F"/>
    <w:rsid w:val="00BD341F"/>
    <w:rsid w:val="00BD3686"/>
    <w:rsid w:val="00BD638A"/>
    <w:rsid w:val="00BD63C6"/>
    <w:rsid w:val="00BF408C"/>
    <w:rsid w:val="00BF4913"/>
    <w:rsid w:val="00C019D5"/>
    <w:rsid w:val="00C1618B"/>
    <w:rsid w:val="00C20F3D"/>
    <w:rsid w:val="00C36972"/>
    <w:rsid w:val="00C44431"/>
    <w:rsid w:val="00C556D8"/>
    <w:rsid w:val="00C568C8"/>
    <w:rsid w:val="00C57CA1"/>
    <w:rsid w:val="00C74791"/>
    <w:rsid w:val="00C74A87"/>
    <w:rsid w:val="00C86304"/>
    <w:rsid w:val="00C8762E"/>
    <w:rsid w:val="00CA031B"/>
    <w:rsid w:val="00CB5790"/>
    <w:rsid w:val="00CB6A7F"/>
    <w:rsid w:val="00CB7F62"/>
    <w:rsid w:val="00CD41A4"/>
    <w:rsid w:val="00CD7E9A"/>
    <w:rsid w:val="00CE3779"/>
    <w:rsid w:val="00CF0ED6"/>
    <w:rsid w:val="00CF713D"/>
    <w:rsid w:val="00D07AAE"/>
    <w:rsid w:val="00D25C87"/>
    <w:rsid w:val="00D269E3"/>
    <w:rsid w:val="00D320A2"/>
    <w:rsid w:val="00D32534"/>
    <w:rsid w:val="00D35D4E"/>
    <w:rsid w:val="00D46D09"/>
    <w:rsid w:val="00D53868"/>
    <w:rsid w:val="00DC600C"/>
    <w:rsid w:val="00DD074B"/>
    <w:rsid w:val="00DD1825"/>
    <w:rsid w:val="00DD34CC"/>
    <w:rsid w:val="00DD4F7D"/>
    <w:rsid w:val="00DE1721"/>
    <w:rsid w:val="00DF7AE8"/>
    <w:rsid w:val="00E06A41"/>
    <w:rsid w:val="00E17640"/>
    <w:rsid w:val="00E33E74"/>
    <w:rsid w:val="00E347D2"/>
    <w:rsid w:val="00E4592E"/>
    <w:rsid w:val="00E736E6"/>
    <w:rsid w:val="00E81C4C"/>
    <w:rsid w:val="00EB538C"/>
    <w:rsid w:val="00F106D1"/>
    <w:rsid w:val="00F1707A"/>
    <w:rsid w:val="00F3064A"/>
    <w:rsid w:val="00F35CE8"/>
    <w:rsid w:val="00F43F11"/>
    <w:rsid w:val="00F4424B"/>
    <w:rsid w:val="00F50AA3"/>
    <w:rsid w:val="00F5371D"/>
    <w:rsid w:val="00F60E46"/>
    <w:rsid w:val="00F63151"/>
    <w:rsid w:val="00F80949"/>
    <w:rsid w:val="00F921D6"/>
    <w:rsid w:val="00FF335A"/>
    <w:rsid w:val="153E301B"/>
    <w:rsid w:val="4642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33C3D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74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character" w:customStyle="1" w:styleId="ui-provider">
    <w:name w:val="ui-provider"/>
    <w:basedOn w:val="DefaultParagraphFont"/>
    <w:rsid w:val="00D25C87"/>
  </w:style>
  <w:style w:type="paragraph" w:styleId="NormalWeb">
    <w:name w:val="Normal (Web)"/>
    <w:basedOn w:val="Normal"/>
    <w:uiPriority w:val="99"/>
    <w:unhideWhenUsed/>
    <w:rsid w:val="00791079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Default">
    <w:name w:val="Default"/>
    <w:rsid w:val="009F29C3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  <w:style w:type="paragraph" w:customStyle="1" w:styleId="listparagraph">
    <w:name w:val="listparagraph"/>
    <w:basedOn w:val="Normal"/>
    <w:rsid w:val="00A33C65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F0034"/>
    <w:rPr>
      <w:color w:val="605E5C"/>
      <w:shd w:val="clear" w:color="auto" w:fill="E1DFDD"/>
    </w:rPr>
  </w:style>
  <w:style w:type="paragraph" w:styleId="ListParagraph0">
    <w:name w:val="List Paragraph"/>
    <w:aliases w:val="List Paragraph1,Recommendation,List Paragraph11,Bullet point,L,List Paragraph111,F5 List Paragraph,Dot pt,CV text,Medium Grid 1 - Accent 21,Numbered Paragraph,List Paragraph2,NFP GP Bulleted List,FooterText,numbered,列出段,lp1,列出段落,列出段落1,列出"/>
    <w:basedOn w:val="Normal"/>
    <w:link w:val="ListParagraphChar"/>
    <w:uiPriority w:val="34"/>
    <w:qFormat/>
    <w:rsid w:val="008F0034"/>
    <w:pPr>
      <w:ind w:left="720"/>
      <w:contextualSpacing/>
    </w:pPr>
  </w:style>
  <w:style w:type="paragraph" w:customStyle="1" w:styleId="ListParagraph2">
    <w:name w:val="List Paragraph 2"/>
    <w:basedOn w:val="ListParagraph0"/>
    <w:qFormat/>
    <w:rsid w:val="00B05BD6"/>
    <w:pPr>
      <w:numPr>
        <w:ilvl w:val="1"/>
        <w:numId w:val="16"/>
      </w:numPr>
      <w:tabs>
        <w:tab w:val="left" w:pos="851"/>
      </w:tabs>
      <w:spacing w:before="240" w:line="276" w:lineRule="auto"/>
      <w:contextualSpacing w:val="0"/>
    </w:pPr>
    <w:rPr>
      <w:rFonts w:asciiTheme="minorHAnsi" w:eastAsiaTheme="minorEastAsia" w:hAnsiTheme="minorHAnsi" w:cstheme="minorBidi"/>
      <w:szCs w:val="24"/>
    </w:rPr>
  </w:style>
  <w:style w:type="paragraph" w:customStyle="1" w:styleId="ListParagraph3">
    <w:name w:val="List Paragraph 3"/>
    <w:basedOn w:val="ListParagraph2"/>
    <w:qFormat/>
    <w:rsid w:val="00B05BD6"/>
    <w:pPr>
      <w:numPr>
        <w:ilvl w:val="2"/>
      </w:numPr>
      <w:tabs>
        <w:tab w:val="clear" w:pos="851"/>
        <w:tab w:val="left" w:pos="1701"/>
      </w:tabs>
      <w:spacing w:before="60"/>
    </w:pPr>
  </w:style>
  <w:style w:type="character" w:customStyle="1" w:styleId="ListParagraphChar">
    <w:name w:val="List Paragraph Char"/>
    <w:aliases w:val="List Paragraph1 Char,Recommendation Char,List Paragraph11 Char,Bullet point Char,L Char,List Paragraph111 Char,F5 List Paragraph Char,Dot pt Char,CV text Char,Medium Grid 1 - Accent 21 Char,Numbered Paragraph Char,FooterText Char"/>
    <w:link w:val="ListParagraph0"/>
    <w:uiPriority w:val="34"/>
    <w:qFormat/>
    <w:rsid w:val="00170EEB"/>
    <w:rPr>
      <w:sz w:val="24"/>
      <w:lang w:eastAsia="en-US"/>
    </w:rPr>
  </w:style>
  <w:style w:type="table" w:styleId="TableGrid">
    <w:name w:val="Table Grid"/>
    <w:basedOn w:val="TableNormal"/>
    <w:uiPriority w:val="59"/>
    <w:rsid w:val="00170EEB"/>
    <w:rPr>
      <w:rFonts w:asciiTheme="minorHAnsi" w:eastAsiaTheme="minorEastAsia" w:hAnsiTheme="minorHAnsi" w:cstheme="minorBidi"/>
      <w:sz w:val="24"/>
      <w:szCs w:val="24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rsid w:val="007100D7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6805D0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5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5D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5D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tadata xmlns="http://www.objective.com/ecm/document/metadata/4FEB93B0D38B3BDFE05400144FFB2061" version="1.0.0">
  <systemFields>
    <field name="Objective-Id">
      <value order="0">A47987885</value>
    </field>
    <field name="Objective-Title">
      <value order="0">ES - Common Boundaries Regulation 2024</value>
    </field>
    <field name="Objective-Description">
      <value order="0"/>
    </field>
    <field name="Objective-CreationStamp">
      <value order="0">2024-08-28T04:02:41Z</value>
    </field>
    <field name="Objective-IsApproved">
      <value order="0">false</value>
    </field>
    <field name="Objective-IsPublished">
      <value order="0">true</value>
    </field>
    <field name="Objective-DatePublished">
      <value order="0">2024-09-11T05:47:25Z</value>
    </field>
    <field name="Objective-ModificationStamp">
      <value order="0">2024-09-11T05:47:25Z</value>
    </field>
    <field name="Objective-Owner">
      <value order="0">Sarah Crisp</value>
    </field>
    <field name="Objective-Path">
      <value order="0">Whole of ACT Government:EPSDD - Environment Planning and Sustainable Development Directorate:DIVISION - Planning and Urban Policy:Branch - Building Reform:03. Focus Area - Building Quality and Safety:02. Swimming pool safety reforms:09. Implementation:03. Regulations / Instruments:01. Regulations:02. Future Regulation Amendments:01. Common Boundaries Regulation:03. ES</value>
    </field>
    <field name="Objective-Parent">
      <value order="0">03. ES</value>
    </field>
    <field name="Objective-State">
      <value order="0">Published</value>
    </field>
    <field name="Objective-VersionId">
      <value order="0">vA60748745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DFC2E22E2854683598ADF968ABA52" ma:contentTypeVersion="14" ma:contentTypeDescription="Create a new document." ma:contentTypeScope="" ma:versionID="c2da85f3642280960e774208eae65172">
  <xsd:schema xmlns:xsd="http://www.w3.org/2001/XMLSchema" xmlns:xs="http://www.w3.org/2001/XMLSchema" xmlns:p="http://schemas.microsoft.com/office/2006/metadata/properties" xmlns:ns2="456f482b-8b22-4839-9cfa-7bbe78407e58" xmlns:ns3="002c2854-a494-4e87-b60a-b45de8b2c41e" targetNamespace="http://schemas.microsoft.com/office/2006/metadata/properties" ma:root="true" ma:fieldsID="caeecbd0bf395aad7db3e5c5959b3a6c" ns2:_="" ns3:_="">
    <xsd:import namespace="456f482b-8b22-4839-9cfa-7bbe78407e58"/>
    <xsd:import namespace="002c2854-a494-4e87-b60a-b45de8b2c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f482b-8b22-4839-9cfa-7bbe78407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2854-a494-4e87-b60a-b45de8b2c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F923D-4C41-40B2-B5EF-18BC1E007D5F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002c2854-a494-4e87-b60a-b45de8b2c41e"/>
    <ds:schemaRef ds:uri="http://www.w3.org/XML/1998/namespace"/>
    <ds:schemaRef ds:uri="http://schemas.microsoft.com/office/infopath/2007/PartnerControls"/>
    <ds:schemaRef ds:uri="456f482b-8b22-4839-9cfa-7bbe78407e5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B4863ACB-F865-4881-8619-806277EAC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f482b-8b22-4839-9cfa-7bbe78407e58"/>
    <ds:schemaRef ds:uri="002c2854-a494-4e87-b60a-b45de8b2c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31CD6-73D3-4597-8114-17C51F1E9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5920</Characters>
  <Application>Microsoft Office Word</Application>
  <DocSecurity>0</DocSecurity>
  <Lines>145</Lines>
  <Paragraphs>48</Paragraphs>
  <ScaleCrop>false</ScaleCrop>
  <Company>InTACT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2024-09-11T23:24:00Z</dcterms:created>
  <dcterms:modified xsi:type="dcterms:W3CDTF">2024-09-11T23:24:00Z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A47987885</vt:lpwstr>
  </property>
  <property fmtid="{D5CDD505-2E9C-101B-9397-08002B2CF9AE}" pid="4" name="Objective-Title">
    <vt:lpwstr>ES - Common Boundaries Regulation 2024</vt:lpwstr>
  </property>
  <property fmtid="{D5CDD505-2E9C-101B-9397-08002B2CF9AE}" pid="5" name="Objective-Description">
    <vt:lpwstr/>
  </property>
  <property fmtid="{D5CDD505-2E9C-101B-9397-08002B2CF9AE}" pid="6" name="Objective-CreationStamp">
    <vt:filetime>2024-08-28T04:02:41Z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2024-09-11T05:47:25Z</vt:filetime>
  </property>
  <property fmtid="{D5CDD505-2E9C-101B-9397-08002B2CF9AE}" pid="10" name="Objective-ModificationStamp">
    <vt:filetime>2024-09-11T05:47:25Z</vt:filetime>
  </property>
  <property fmtid="{D5CDD505-2E9C-101B-9397-08002B2CF9AE}" pid="11" name="Objective-Owner">
    <vt:lpwstr>Sarah Crisp</vt:lpwstr>
  </property>
  <property fmtid="{D5CDD505-2E9C-101B-9397-08002B2CF9AE}" pid="12" name="Objective-Path">
    <vt:lpwstr>Whole of ACT Government:EPSDD - Environment Planning and Sustainable Development Directorate:DIVISION - Planning and Urban Policy:Branch - Building Reform:03. Focus Area - Building Quality and Safety:02. Swimming pool safety reforms:09. Implementation:03. Regulations / Instruments:01. Regulations:02. Future Regulation Amendments:01. Common Boundaries Regulation:03. ES:</vt:lpwstr>
  </property>
  <property fmtid="{D5CDD505-2E9C-101B-9397-08002B2CF9AE}" pid="13" name="Objective-Parent">
    <vt:lpwstr>03. 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vA60748745</vt:lpwstr>
  </property>
  <property fmtid="{D5CDD505-2E9C-101B-9397-08002B2CF9AE}" pid="16" name="Objective-Version">
    <vt:lpwstr>3.0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2024-04-14T22:53:14Z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fb3a9d39-2116-46c1-a8c2-d0858dc0a487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ContentTypeId">
    <vt:lpwstr>0x010100D94DFC2E22E2854683598ADF968ABA52</vt:lpwstr>
  </property>
</Properties>
</file>