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8DAEC5" w14:textId="77777777" w:rsidR="006815C9" w:rsidRDefault="006815C9">
      <w:pPr>
        <w:spacing w:before="120"/>
        <w:rPr>
          <w:rFonts w:ascii="Arial" w:hAnsi="Arial" w:cs="Arial"/>
        </w:rPr>
      </w:pPr>
      <w:bookmarkStart w:id="0" w:name="_Toc44738651"/>
      <w:r>
        <w:rPr>
          <w:rFonts w:ascii="Arial" w:hAnsi="Arial" w:cs="Arial"/>
        </w:rPr>
        <w:t>Australian Capital Territory</w:t>
      </w:r>
    </w:p>
    <w:p w14:paraId="4C76B985" w14:textId="1FA39629" w:rsidR="006815C9" w:rsidRDefault="00443C77">
      <w:pPr>
        <w:pStyle w:val="Billname"/>
        <w:spacing w:before="700"/>
      </w:pPr>
      <w:r>
        <w:t>Agents</w:t>
      </w:r>
      <w:r w:rsidR="00F733F5">
        <w:t xml:space="preserve"> Amendment Regulation 2024</w:t>
      </w:r>
      <w:r w:rsidR="006815C9">
        <w:t xml:space="preserve"> </w:t>
      </w:r>
      <w:r w:rsidR="006815C9" w:rsidRPr="00FB2949">
        <w:t xml:space="preserve">(No </w:t>
      </w:r>
      <w:r w:rsidR="00F733F5" w:rsidRPr="00FB2949">
        <w:t>1</w:t>
      </w:r>
      <w:r w:rsidR="006815C9" w:rsidRPr="00FB2949">
        <w:t>)</w:t>
      </w:r>
    </w:p>
    <w:p w14:paraId="01B80A32" w14:textId="0436B4DA" w:rsidR="006815C9" w:rsidRDefault="00F5371D" w:rsidP="00091D34">
      <w:pPr>
        <w:spacing w:before="340"/>
        <w:rPr>
          <w:rFonts w:ascii="Arial" w:hAnsi="Arial" w:cs="Arial"/>
          <w:b/>
          <w:bCs/>
        </w:rPr>
      </w:pPr>
      <w:r>
        <w:rPr>
          <w:rFonts w:ascii="Arial" w:hAnsi="Arial" w:cs="Arial"/>
          <w:b/>
          <w:bCs/>
        </w:rPr>
        <w:t xml:space="preserve">Subordinate law </w:t>
      </w:r>
      <w:r w:rsidRPr="00FB2949">
        <w:rPr>
          <w:rFonts w:ascii="Arial" w:hAnsi="Arial" w:cs="Arial"/>
          <w:b/>
          <w:bCs/>
        </w:rPr>
        <w:t>SL</w:t>
      </w:r>
      <w:r w:rsidR="00F733F5" w:rsidRPr="00FB2949">
        <w:rPr>
          <w:rFonts w:ascii="Arial" w:hAnsi="Arial" w:cs="Arial"/>
          <w:b/>
          <w:bCs/>
        </w:rPr>
        <w:t>2024</w:t>
      </w:r>
      <w:r w:rsidR="006815C9" w:rsidRPr="00FB2949">
        <w:rPr>
          <w:rFonts w:ascii="Arial" w:hAnsi="Arial" w:cs="Arial"/>
          <w:b/>
          <w:bCs/>
        </w:rPr>
        <w:t>–</w:t>
      </w:r>
      <w:r w:rsidR="003161B5">
        <w:rPr>
          <w:rFonts w:ascii="Arial" w:hAnsi="Arial" w:cs="Arial"/>
          <w:b/>
          <w:bCs/>
        </w:rPr>
        <w:t>33</w:t>
      </w:r>
    </w:p>
    <w:p w14:paraId="0C6BE2B4" w14:textId="1D3F4DD3" w:rsidR="006815C9" w:rsidRDefault="006815C9" w:rsidP="00091D34">
      <w:pPr>
        <w:pStyle w:val="madeunder"/>
        <w:spacing w:before="300" w:after="0"/>
      </w:pPr>
      <w:r>
        <w:t xml:space="preserve">made under the </w:t>
      </w:r>
    </w:p>
    <w:p w14:paraId="21E4D243" w14:textId="158345E2" w:rsidR="006815C9" w:rsidRDefault="003F2F44" w:rsidP="00091D34">
      <w:pPr>
        <w:pStyle w:val="CoverActName"/>
        <w:spacing w:before="320" w:after="0"/>
        <w:rPr>
          <w:rFonts w:cs="Arial"/>
          <w:sz w:val="20"/>
        </w:rPr>
      </w:pPr>
      <w:r>
        <w:rPr>
          <w:rFonts w:cs="Arial"/>
          <w:i/>
          <w:iCs/>
          <w:sz w:val="20"/>
        </w:rPr>
        <w:t>Agents</w:t>
      </w:r>
      <w:r w:rsidR="00F733F5" w:rsidRPr="00187C66">
        <w:rPr>
          <w:rFonts w:cs="Arial"/>
          <w:i/>
          <w:iCs/>
          <w:sz w:val="20"/>
        </w:rPr>
        <w:t xml:space="preserve"> Act 20</w:t>
      </w:r>
      <w:r w:rsidR="00746819">
        <w:rPr>
          <w:rFonts w:cs="Arial"/>
          <w:i/>
          <w:iCs/>
          <w:sz w:val="20"/>
        </w:rPr>
        <w:t xml:space="preserve">03 </w:t>
      </w:r>
    </w:p>
    <w:p w14:paraId="626307A8"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C2992E3" w14:textId="77777777" w:rsidR="006815C9" w:rsidRDefault="006815C9">
      <w:pPr>
        <w:pStyle w:val="N-line3"/>
        <w:pBdr>
          <w:bottom w:val="none" w:sz="0" w:space="0" w:color="auto"/>
        </w:pBdr>
      </w:pPr>
    </w:p>
    <w:p w14:paraId="31F4B7FA" w14:textId="77777777" w:rsidR="006815C9" w:rsidRDefault="006815C9">
      <w:pPr>
        <w:pStyle w:val="N-line3"/>
        <w:pBdr>
          <w:top w:val="single" w:sz="12" w:space="1" w:color="auto"/>
          <w:bottom w:val="none" w:sz="0" w:space="0" w:color="auto"/>
        </w:pBdr>
      </w:pPr>
    </w:p>
    <w:bookmarkEnd w:id="0"/>
    <w:p w14:paraId="7FF16C36" w14:textId="359CB5EC" w:rsidR="000D32A8" w:rsidRPr="006507A5" w:rsidRDefault="000D32A8" w:rsidP="006507A5">
      <w:pPr>
        <w:spacing w:after="160" w:line="276" w:lineRule="auto"/>
        <w:rPr>
          <w:rFonts w:ascii="Arial" w:hAnsi="Arial" w:cs="Arial"/>
          <w:szCs w:val="24"/>
          <w:lang w:eastAsia="en-AU"/>
        </w:rPr>
      </w:pPr>
      <w:r w:rsidRPr="006507A5">
        <w:rPr>
          <w:rFonts w:ascii="Arial" w:hAnsi="Arial" w:cs="Arial"/>
          <w:szCs w:val="24"/>
          <w:lang w:eastAsia="en-AU"/>
        </w:rPr>
        <w:t>This explanatory statement relates to the </w:t>
      </w:r>
      <w:r w:rsidR="003F2F44" w:rsidRPr="00FB2949">
        <w:rPr>
          <w:rFonts w:ascii="Arial" w:hAnsi="Arial" w:cs="Arial"/>
          <w:i/>
          <w:iCs/>
          <w:szCs w:val="24"/>
          <w:lang w:eastAsia="en-AU"/>
        </w:rPr>
        <w:t>Agents</w:t>
      </w:r>
      <w:r w:rsidR="001848B7" w:rsidRPr="00FB2949">
        <w:rPr>
          <w:rFonts w:ascii="Arial" w:hAnsi="Arial" w:cs="Arial"/>
          <w:i/>
          <w:iCs/>
          <w:szCs w:val="24"/>
          <w:lang w:eastAsia="en-AU"/>
        </w:rPr>
        <w:t xml:space="preserve"> Amendment Regulation 2024 (No 1)</w:t>
      </w:r>
      <w:r w:rsidR="001848B7">
        <w:rPr>
          <w:rFonts w:ascii="Arial" w:hAnsi="Arial" w:cs="Arial"/>
          <w:szCs w:val="24"/>
          <w:lang w:eastAsia="en-AU"/>
        </w:rPr>
        <w:t xml:space="preserve"> (</w:t>
      </w:r>
      <w:r w:rsidR="001848B7" w:rsidRPr="00FB2949">
        <w:rPr>
          <w:rFonts w:ascii="Arial" w:hAnsi="Arial" w:cs="Arial"/>
          <w:b/>
          <w:bCs/>
          <w:szCs w:val="24"/>
          <w:lang w:eastAsia="en-AU"/>
        </w:rPr>
        <w:t xml:space="preserve">the </w:t>
      </w:r>
      <w:r w:rsidR="00AC36D9">
        <w:rPr>
          <w:rFonts w:ascii="Arial" w:hAnsi="Arial" w:cs="Arial"/>
          <w:b/>
          <w:bCs/>
          <w:szCs w:val="24"/>
          <w:lang w:eastAsia="en-AU"/>
        </w:rPr>
        <w:t>R</w:t>
      </w:r>
      <w:r w:rsidR="001848B7" w:rsidRPr="00FB2949">
        <w:rPr>
          <w:rFonts w:ascii="Arial" w:hAnsi="Arial" w:cs="Arial"/>
          <w:b/>
          <w:bCs/>
          <w:szCs w:val="24"/>
          <w:lang w:eastAsia="en-AU"/>
        </w:rPr>
        <w:t>egulation</w:t>
      </w:r>
      <w:r w:rsidR="001848B7">
        <w:rPr>
          <w:rFonts w:ascii="Arial" w:hAnsi="Arial" w:cs="Arial"/>
          <w:szCs w:val="24"/>
          <w:lang w:eastAsia="en-AU"/>
        </w:rPr>
        <w:t xml:space="preserve">) </w:t>
      </w:r>
      <w:r w:rsidRPr="006507A5">
        <w:rPr>
          <w:rFonts w:ascii="Arial" w:hAnsi="Arial" w:cs="Arial"/>
          <w:szCs w:val="24"/>
          <w:lang w:eastAsia="en-AU"/>
        </w:rPr>
        <w:t>as made by the Executive. It has been prepared to assist the reader of the regulation. It does not form part of the regulation and has not been endorsed by the Legislative Assembly.</w:t>
      </w:r>
    </w:p>
    <w:p w14:paraId="1442BD6D" w14:textId="7548B5EE" w:rsidR="006815C9" w:rsidRPr="000D32A8" w:rsidRDefault="000D32A8" w:rsidP="006507A5">
      <w:pPr>
        <w:spacing w:after="160" w:line="276" w:lineRule="auto"/>
        <w:rPr>
          <w:rFonts w:ascii="Arial" w:hAnsi="Arial" w:cs="Arial"/>
          <w:szCs w:val="24"/>
          <w:lang w:eastAsia="en-AU"/>
        </w:rPr>
      </w:pPr>
      <w:r w:rsidRPr="006507A5">
        <w:rPr>
          <w:rFonts w:ascii="Arial" w:hAnsi="Arial" w:cs="Arial"/>
          <w:szCs w:val="24"/>
          <w:lang w:eastAsia="en-AU"/>
        </w:rPr>
        <w:t xml:space="preserve">This statement must be read in conjunction with the </w:t>
      </w:r>
      <w:r w:rsidR="00AC36D9">
        <w:rPr>
          <w:rFonts w:ascii="Arial" w:hAnsi="Arial" w:cs="Arial"/>
          <w:szCs w:val="24"/>
          <w:lang w:eastAsia="en-AU"/>
        </w:rPr>
        <w:t>R</w:t>
      </w:r>
      <w:r w:rsidRPr="006507A5">
        <w:rPr>
          <w:rFonts w:ascii="Arial" w:hAnsi="Arial" w:cs="Arial"/>
          <w:szCs w:val="24"/>
          <w:lang w:eastAsia="en-AU"/>
        </w:rPr>
        <w:t xml:space="preserve">egulation. It is not, and is not meant to be, a comprehensive description of the </w:t>
      </w:r>
      <w:r w:rsidR="00AC36D9">
        <w:rPr>
          <w:rFonts w:ascii="Arial" w:hAnsi="Arial" w:cs="Arial"/>
          <w:szCs w:val="24"/>
          <w:lang w:eastAsia="en-AU"/>
        </w:rPr>
        <w:t>R</w:t>
      </w:r>
      <w:r w:rsidRPr="006507A5">
        <w:rPr>
          <w:rFonts w:ascii="Arial" w:hAnsi="Arial" w:cs="Arial"/>
          <w:szCs w:val="24"/>
          <w:lang w:eastAsia="en-AU"/>
        </w:rPr>
        <w:t>egulation. What is said about a provision is not to be taken as an authoritative guide to the meaning of a provision, this being a task for the courts.</w:t>
      </w:r>
    </w:p>
    <w:p w14:paraId="04BCB254" w14:textId="0CCB4150" w:rsidR="007958A2" w:rsidRPr="006477DF" w:rsidRDefault="000D32A8" w:rsidP="006477DF">
      <w:pPr>
        <w:spacing w:after="160" w:line="276" w:lineRule="auto"/>
        <w:rPr>
          <w:rFonts w:ascii="Arial" w:hAnsi="Arial" w:cs="Arial"/>
          <w:b/>
          <w:bCs/>
          <w:szCs w:val="24"/>
          <w:lang w:eastAsia="en-AU"/>
        </w:rPr>
      </w:pPr>
      <w:bookmarkStart w:id="1" w:name="_Hlk175127910"/>
      <w:r w:rsidRPr="006477DF">
        <w:rPr>
          <w:rFonts w:ascii="Arial" w:hAnsi="Arial" w:cs="Arial"/>
          <w:b/>
          <w:bCs/>
          <w:szCs w:val="24"/>
          <w:lang w:eastAsia="en-AU"/>
        </w:rPr>
        <w:t>OVERVIEW</w:t>
      </w:r>
    </w:p>
    <w:p w14:paraId="170C22A5" w14:textId="093E9843" w:rsidR="0071185D" w:rsidRDefault="00876345" w:rsidP="006477DF">
      <w:pPr>
        <w:spacing w:after="160" w:line="276" w:lineRule="auto"/>
        <w:rPr>
          <w:rFonts w:ascii="Arial" w:hAnsi="Arial" w:cs="Arial"/>
          <w:szCs w:val="24"/>
          <w:lang w:eastAsia="en-AU"/>
        </w:rPr>
      </w:pPr>
      <w:r>
        <w:rPr>
          <w:rFonts w:ascii="Arial" w:hAnsi="Arial" w:cs="Arial"/>
          <w:szCs w:val="24"/>
          <w:lang w:eastAsia="en-AU"/>
        </w:rPr>
        <w:t xml:space="preserve">The </w:t>
      </w:r>
      <w:r w:rsidR="00AC36D9">
        <w:rPr>
          <w:rFonts w:ascii="Arial" w:hAnsi="Arial" w:cs="Arial"/>
          <w:szCs w:val="24"/>
          <w:lang w:eastAsia="en-AU"/>
        </w:rPr>
        <w:t>Regulation</w:t>
      </w:r>
      <w:r>
        <w:rPr>
          <w:rFonts w:ascii="Arial" w:hAnsi="Arial" w:cs="Arial"/>
          <w:szCs w:val="24"/>
          <w:lang w:eastAsia="en-AU"/>
        </w:rPr>
        <w:t xml:space="preserve"> amends </w:t>
      </w:r>
      <w:r w:rsidR="00AC36D9">
        <w:rPr>
          <w:rFonts w:ascii="Arial" w:hAnsi="Arial" w:cs="Arial"/>
          <w:szCs w:val="24"/>
          <w:lang w:eastAsia="en-AU"/>
        </w:rPr>
        <w:t xml:space="preserve">the </w:t>
      </w:r>
      <w:r w:rsidR="00360B4B">
        <w:rPr>
          <w:rFonts w:ascii="Arial" w:hAnsi="Arial" w:cs="Arial"/>
          <w:i/>
          <w:iCs/>
          <w:szCs w:val="24"/>
          <w:lang w:eastAsia="en-AU"/>
        </w:rPr>
        <w:t>Agents</w:t>
      </w:r>
      <w:r w:rsidR="001848B7" w:rsidRPr="00876345">
        <w:rPr>
          <w:rFonts w:ascii="Arial" w:hAnsi="Arial" w:cs="Arial"/>
          <w:i/>
          <w:iCs/>
          <w:szCs w:val="24"/>
          <w:lang w:eastAsia="en-AU"/>
        </w:rPr>
        <w:t xml:space="preserve"> Regulation 20</w:t>
      </w:r>
      <w:r w:rsidR="00360B4B">
        <w:rPr>
          <w:rFonts w:ascii="Arial" w:hAnsi="Arial" w:cs="Arial"/>
          <w:i/>
          <w:iCs/>
          <w:szCs w:val="24"/>
          <w:lang w:eastAsia="en-AU"/>
        </w:rPr>
        <w:t>03</w:t>
      </w:r>
      <w:r w:rsidR="001848B7" w:rsidRPr="006507A5">
        <w:rPr>
          <w:rFonts w:ascii="Arial" w:hAnsi="Arial" w:cs="Arial"/>
          <w:szCs w:val="24"/>
          <w:lang w:eastAsia="en-AU"/>
        </w:rPr>
        <w:t xml:space="preserve"> (the </w:t>
      </w:r>
      <w:r w:rsidR="00360B4B">
        <w:rPr>
          <w:rFonts w:ascii="Arial" w:hAnsi="Arial" w:cs="Arial"/>
          <w:b/>
          <w:bCs/>
          <w:szCs w:val="24"/>
          <w:lang w:eastAsia="en-AU"/>
        </w:rPr>
        <w:t>Agents</w:t>
      </w:r>
      <w:r w:rsidR="001848B7" w:rsidRPr="001848B7">
        <w:rPr>
          <w:rFonts w:ascii="Arial" w:hAnsi="Arial" w:cs="Arial"/>
          <w:b/>
          <w:bCs/>
          <w:szCs w:val="24"/>
          <w:lang w:eastAsia="en-AU"/>
        </w:rPr>
        <w:t xml:space="preserve"> </w:t>
      </w:r>
      <w:r w:rsidR="001848B7">
        <w:rPr>
          <w:rFonts w:ascii="Arial" w:hAnsi="Arial" w:cs="Arial"/>
          <w:b/>
          <w:bCs/>
          <w:szCs w:val="24"/>
          <w:lang w:eastAsia="en-AU"/>
        </w:rPr>
        <w:t>R</w:t>
      </w:r>
      <w:r w:rsidR="001848B7" w:rsidRPr="001848B7">
        <w:rPr>
          <w:rFonts w:ascii="Arial" w:hAnsi="Arial" w:cs="Arial"/>
          <w:b/>
          <w:bCs/>
          <w:szCs w:val="24"/>
          <w:lang w:eastAsia="en-AU"/>
        </w:rPr>
        <w:t>egulation</w:t>
      </w:r>
      <w:r w:rsidR="001848B7" w:rsidRPr="006507A5">
        <w:rPr>
          <w:rFonts w:ascii="Arial" w:hAnsi="Arial" w:cs="Arial"/>
          <w:szCs w:val="24"/>
          <w:lang w:eastAsia="en-AU"/>
        </w:rPr>
        <w:t>)</w:t>
      </w:r>
      <w:r w:rsidRPr="00876345">
        <w:rPr>
          <w:rFonts w:ascii="Arial" w:hAnsi="Arial" w:cs="Arial"/>
          <w:szCs w:val="24"/>
          <w:lang w:eastAsia="en-AU"/>
        </w:rPr>
        <w:t xml:space="preserve"> </w:t>
      </w:r>
      <w:r>
        <w:rPr>
          <w:rFonts w:ascii="Arial" w:hAnsi="Arial" w:cs="Arial"/>
          <w:szCs w:val="24"/>
          <w:lang w:eastAsia="en-AU"/>
        </w:rPr>
        <w:t xml:space="preserve">to </w:t>
      </w:r>
      <w:r w:rsidR="0031482C">
        <w:rPr>
          <w:rFonts w:ascii="Arial" w:hAnsi="Arial" w:cs="Arial"/>
          <w:szCs w:val="24"/>
          <w:lang w:eastAsia="en-AU"/>
        </w:rPr>
        <w:t xml:space="preserve">provide that the </w:t>
      </w:r>
      <w:r w:rsidR="0031482C">
        <w:rPr>
          <w:rFonts w:ascii="Arial" w:hAnsi="Arial" w:cs="Arial"/>
          <w:i/>
          <w:iCs/>
          <w:szCs w:val="24"/>
          <w:lang w:eastAsia="en-AU"/>
        </w:rPr>
        <w:t xml:space="preserve">Agents Act 2003 </w:t>
      </w:r>
      <w:r w:rsidR="0031482C">
        <w:rPr>
          <w:rFonts w:ascii="Arial" w:hAnsi="Arial" w:cs="Arial"/>
          <w:szCs w:val="24"/>
          <w:lang w:eastAsia="en-AU"/>
        </w:rPr>
        <w:t>(</w:t>
      </w:r>
      <w:r w:rsidR="0031482C" w:rsidRPr="00FB2949">
        <w:rPr>
          <w:rFonts w:ascii="Arial" w:hAnsi="Arial" w:cs="Arial"/>
          <w:b/>
          <w:bCs/>
          <w:szCs w:val="24"/>
          <w:lang w:eastAsia="en-AU"/>
        </w:rPr>
        <w:t>Agents Act</w:t>
      </w:r>
      <w:r w:rsidR="0031482C">
        <w:rPr>
          <w:rFonts w:ascii="Arial" w:hAnsi="Arial" w:cs="Arial"/>
          <w:szCs w:val="24"/>
          <w:lang w:eastAsia="en-AU"/>
        </w:rPr>
        <w:t xml:space="preserve">) </w:t>
      </w:r>
      <w:r w:rsidR="0071185D">
        <w:rPr>
          <w:rFonts w:ascii="Arial" w:hAnsi="Arial" w:cs="Arial"/>
          <w:szCs w:val="24"/>
          <w:lang w:eastAsia="en-AU"/>
        </w:rPr>
        <w:t>does not apply to community housing providers</w:t>
      </w:r>
      <w:r w:rsidR="001A46FD">
        <w:rPr>
          <w:rFonts w:ascii="Arial" w:hAnsi="Arial" w:cs="Arial"/>
          <w:szCs w:val="24"/>
          <w:lang w:eastAsia="en-AU"/>
        </w:rPr>
        <w:t xml:space="preserve"> (</w:t>
      </w:r>
      <w:r w:rsidR="001A46FD" w:rsidRPr="00FB2949">
        <w:rPr>
          <w:rFonts w:ascii="Arial" w:hAnsi="Arial" w:cs="Arial"/>
          <w:b/>
          <w:bCs/>
          <w:szCs w:val="24"/>
          <w:lang w:eastAsia="en-AU"/>
        </w:rPr>
        <w:t>CHPs</w:t>
      </w:r>
      <w:r w:rsidR="001A46FD">
        <w:rPr>
          <w:rFonts w:ascii="Arial" w:hAnsi="Arial" w:cs="Arial"/>
          <w:szCs w:val="24"/>
          <w:lang w:eastAsia="en-AU"/>
        </w:rPr>
        <w:t>), and their employees,</w:t>
      </w:r>
      <w:r w:rsidR="0071185D">
        <w:rPr>
          <w:rFonts w:ascii="Arial" w:hAnsi="Arial" w:cs="Arial"/>
          <w:szCs w:val="24"/>
          <w:lang w:eastAsia="en-AU"/>
        </w:rPr>
        <w:t xml:space="preserve"> registered with the National Regulatory System for Community Housing</w:t>
      </w:r>
      <w:r w:rsidR="00D23CD6">
        <w:rPr>
          <w:rFonts w:ascii="Arial" w:hAnsi="Arial" w:cs="Arial"/>
          <w:szCs w:val="24"/>
          <w:lang w:eastAsia="en-AU"/>
        </w:rPr>
        <w:t xml:space="preserve"> (</w:t>
      </w:r>
      <w:r w:rsidR="00D23CD6" w:rsidRPr="00FB2949">
        <w:rPr>
          <w:rFonts w:ascii="Arial" w:hAnsi="Arial" w:cs="Arial"/>
          <w:b/>
          <w:bCs/>
          <w:szCs w:val="24"/>
          <w:lang w:eastAsia="en-AU"/>
        </w:rPr>
        <w:t>NRSCH</w:t>
      </w:r>
      <w:r w:rsidR="00D23CD6">
        <w:rPr>
          <w:rFonts w:ascii="Arial" w:hAnsi="Arial" w:cs="Arial"/>
          <w:szCs w:val="24"/>
          <w:lang w:eastAsia="en-AU"/>
        </w:rPr>
        <w:t>)</w:t>
      </w:r>
      <w:r w:rsidR="0071185D">
        <w:rPr>
          <w:rFonts w:ascii="Arial" w:hAnsi="Arial" w:cs="Arial"/>
          <w:szCs w:val="24"/>
          <w:lang w:eastAsia="en-AU"/>
        </w:rPr>
        <w:t xml:space="preserve">, when they are providing or offering to provide a tenancy management service. </w:t>
      </w:r>
    </w:p>
    <w:p w14:paraId="29A11CF0" w14:textId="36C788C3" w:rsidR="007B6F78" w:rsidRDefault="001A46FD" w:rsidP="006477DF">
      <w:pPr>
        <w:spacing w:after="160" w:line="276" w:lineRule="auto"/>
        <w:rPr>
          <w:rFonts w:ascii="Arial" w:hAnsi="Arial" w:cs="Arial"/>
          <w:szCs w:val="24"/>
          <w:lang w:eastAsia="en-AU"/>
        </w:rPr>
      </w:pPr>
      <w:r>
        <w:rPr>
          <w:rFonts w:ascii="Arial" w:hAnsi="Arial" w:cs="Arial"/>
          <w:szCs w:val="24"/>
          <w:lang w:eastAsia="en-AU"/>
        </w:rPr>
        <w:t xml:space="preserve">In practice, this will exempt registered </w:t>
      </w:r>
      <w:r w:rsidR="00501524">
        <w:rPr>
          <w:rFonts w:ascii="Arial" w:hAnsi="Arial" w:cs="Arial"/>
          <w:szCs w:val="24"/>
          <w:lang w:eastAsia="en-AU"/>
        </w:rPr>
        <w:t xml:space="preserve">CHPs </w:t>
      </w:r>
      <w:r w:rsidR="00256646">
        <w:rPr>
          <w:rFonts w:ascii="Arial" w:hAnsi="Arial" w:cs="Arial"/>
          <w:szCs w:val="24"/>
          <w:lang w:eastAsia="en-AU"/>
        </w:rPr>
        <w:t xml:space="preserve">and their employees </w:t>
      </w:r>
      <w:r w:rsidR="00501524">
        <w:rPr>
          <w:rFonts w:ascii="Arial" w:hAnsi="Arial" w:cs="Arial"/>
          <w:szCs w:val="24"/>
          <w:lang w:eastAsia="en-AU"/>
        </w:rPr>
        <w:t>from having to obtain a real estate agents licence</w:t>
      </w:r>
      <w:r w:rsidR="007B6F78">
        <w:rPr>
          <w:rFonts w:ascii="Arial" w:hAnsi="Arial" w:cs="Arial"/>
          <w:szCs w:val="24"/>
          <w:lang w:eastAsia="en-AU"/>
        </w:rPr>
        <w:t xml:space="preserve">. </w:t>
      </w:r>
    </w:p>
    <w:p w14:paraId="1DBC63E9" w14:textId="77777777" w:rsidR="003447B6" w:rsidRDefault="00401013" w:rsidP="003447B6">
      <w:pPr>
        <w:spacing w:after="360" w:line="276" w:lineRule="auto"/>
        <w:rPr>
          <w:rFonts w:ascii="Arial" w:hAnsi="Arial" w:cs="Arial"/>
          <w:szCs w:val="24"/>
          <w:lang w:eastAsia="en-AU"/>
        </w:rPr>
      </w:pPr>
      <w:r>
        <w:rPr>
          <w:rFonts w:ascii="Arial" w:hAnsi="Arial" w:cs="Arial"/>
          <w:szCs w:val="24"/>
          <w:lang w:eastAsia="en-AU"/>
        </w:rPr>
        <w:t xml:space="preserve">The </w:t>
      </w:r>
      <w:r>
        <w:rPr>
          <w:rFonts w:ascii="Arial" w:hAnsi="Arial" w:cs="Arial"/>
          <w:i/>
          <w:iCs/>
          <w:szCs w:val="24"/>
          <w:lang w:eastAsia="en-AU"/>
        </w:rPr>
        <w:t xml:space="preserve">Community Housing Providers National Law (ACT) Act 2013 </w:t>
      </w:r>
      <w:r>
        <w:rPr>
          <w:rFonts w:ascii="Arial" w:hAnsi="Arial" w:cs="Arial"/>
          <w:szCs w:val="24"/>
          <w:lang w:eastAsia="en-AU"/>
        </w:rPr>
        <w:t xml:space="preserve">requires registered CHPs to comply with the NRSCH National Regulatory Code. </w:t>
      </w:r>
      <w:r w:rsidR="004D5F6C">
        <w:rPr>
          <w:rFonts w:ascii="Arial" w:hAnsi="Arial" w:cs="Arial"/>
          <w:szCs w:val="24"/>
          <w:lang w:eastAsia="en-AU"/>
        </w:rPr>
        <w:t xml:space="preserve">The National Regulatory Code sets out seven performance requirements </w:t>
      </w:r>
      <w:r w:rsidR="003447B6">
        <w:rPr>
          <w:rFonts w:ascii="Arial" w:hAnsi="Arial" w:cs="Arial"/>
          <w:szCs w:val="24"/>
          <w:lang w:eastAsia="en-AU"/>
        </w:rPr>
        <w:t xml:space="preserve">which CHPs must meet in providing community housing, including: </w:t>
      </w:r>
    </w:p>
    <w:p w14:paraId="0077C581"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t>determining and managing eligibility, allocation, and termination of housing assistance</w:t>
      </w:r>
    </w:p>
    <w:p w14:paraId="0DE09AEA"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t>determining and managing rents</w:t>
      </w:r>
    </w:p>
    <w:p w14:paraId="7CA3CD8F"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t>setting and meeting relevant housing service standards,</w:t>
      </w:r>
    </w:p>
    <w:p w14:paraId="3311E864"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lastRenderedPageBreak/>
        <w:t>supporting tenant and resident engagement</w:t>
      </w:r>
    </w:p>
    <w:p w14:paraId="510D02BE"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t>facilitating access to support for social housing applicants and tenants with complex needs</w:t>
      </w:r>
    </w:p>
    <w:p w14:paraId="7B2F189F"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t>managing and addressing complaints and appeals relating to the provision of housing services</w:t>
      </w:r>
    </w:p>
    <w:p w14:paraId="58D097A7" w14:textId="77777777" w:rsidR="003447B6" w:rsidRPr="003447B6" w:rsidRDefault="003447B6" w:rsidP="003447B6">
      <w:pPr>
        <w:numPr>
          <w:ilvl w:val="0"/>
          <w:numId w:val="13"/>
        </w:numPr>
        <w:shd w:val="clear" w:color="auto" w:fill="FFFFFF"/>
        <w:spacing w:before="100" w:beforeAutospacing="1" w:after="360"/>
        <w:rPr>
          <w:rFonts w:ascii="Arial" w:hAnsi="Arial" w:cs="Arial"/>
          <w:color w:val="212529"/>
          <w:szCs w:val="24"/>
          <w:lang w:eastAsia="en-AU"/>
        </w:rPr>
      </w:pPr>
      <w:r w:rsidRPr="003447B6">
        <w:rPr>
          <w:rFonts w:ascii="Arial" w:hAnsi="Arial" w:cs="Arial"/>
          <w:color w:val="212529"/>
          <w:szCs w:val="24"/>
          <w:lang w:eastAsia="en-AU"/>
        </w:rPr>
        <w:t>maintaining satisfaction with the overall quality of housing services.</w:t>
      </w:r>
    </w:p>
    <w:p w14:paraId="266BE33D" w14:textId="56DF70C4" w:rsidR="00F637D6" w:rsidRPr="00F637D6" w:rsidRDefault="00A100CA" w:rsidP="009B0662">
      <w:pPr>
        <w:pStyle w:val="CS-Paragraphnumbering"/>
        <w:numPr>
          <w:ilvl w:val="0"/>
          <w:numId w:val="0"/>
        </w:numPr>
        <w:rPr>
          <w:rFonts w:ascii="Arial" w:hAnsi="Arial" w:cs="Arial"/>
        </w:rPr>
      </w:pPr>
      <w:r w:rsidRPr="00F637D6">
        <w:rPr>
          <w:rFonts w:ascii="Arial" w:hAnsi="Arial" w:cs="Arial"/>
          <w:lang w:eastAsia="en-AU"/>
        </w:rPr>
        <w:t>The ACT Human Services Registrar is responsible for the regulatory oversight of CHPs, including regular, scheduled compliance assessments</w:t>
      </w:r>
      <w:r w:rsidR="00A96471" w:rsidRPr="00F637D6">
        <w:rPr>
          <w:rFonts w:ascii="Arial" w:hAnsi="Arial" w:cs="Arial"/>
          <w:lang w:eastAsia="en-AU"/>
        </w:rPr>
        <w:t xml:space="preserve">, through which CHPs are required to demonstrate their ongoing capacity to meet these performance indicators. Where necessary, the Registrar </w:t>
      </w:r>
      <w:r w:rsidR="00F637D6" w:rsidRPr="00F637D6">
        <w:rPr>
          <w:rFonts w:ascii="Arial" w:hAnsi="Arial" w:cs="Arial"/>
          <w:lang w:eastAsia="en-AU"/>
        </w:rPr>
        <w:t xml:space="preserve">can </w:t>
      </w:r>
      <w:r w:rsidR="00F637D6" w:rsidRPr="00F637D6">
        <w:rPr>
          <w:rFonts w:ascii="Arial" w:hAnsi="Arial" w:cs="Arial"/>
        </w:rPr>
        <w:t xml:space="preserve">provide guidance to providers on the actions they need to take to improve their performance and ensure they are complying with their obligations. </w:t>
      </w:r>
    </w:p>
    <w:p w14:paraId="5CD77E20" w14:textId="2E638EF1" w:rsidR="003447B6" w:rsidRDefault="00BA4CE6" w:rsidP="006477DF">
      <w:pPr>
        <w:spacing w:after="160" w:line="276" w:lineRule="auto"/>
        <w:rPr>
          <w:rFonts w:ascii="Arial" w:hAnsi="Arial" w:cs="Arial"/>
          <w:szCs w:val="24"/>
          <w:lang w:eastAsia="en-AU"/>
        </w:rPr>
      </w:pPr>
      <w:r>
        <w:rPr>
          <w:rFonts w:ascii="Arial" w:hAnsi="Arial" w:cs="Arial"/>
          <w:szCs w:val="24"/>
          <w:lang w:eastAsia="en-AU"/>
        </w:rPr>
        <w:t>The Registrar can also accept complaints about a community housing provider’s non-complianc</w:t>
      </w:r>
      <w:r w:rsidR="009B0662">
        <w:rPr>
          <w:rFonts w:ascii="Arial" w:hAnsi="Arial" w:cs="Arial"/>
          <w:szCs w:val="24"/>
          <w:lang w:eastAsia="en-AU"/>
        </w:rPr>
        <w:t xml:space="preserve">e. </w:t>
      </w:r>
    </w:p>
    <w:p w14:paraId="6590E428" w14:textId="5992BD3E" w:rsidR="009B0662" w:rsidRPr="009B0662" w:rsidRDefault="009B0662" w:rsidP="006477DF">
      <w:pPr>
        <w:spacing w:after="160" w:line="276" w:lineRule="auto"/>
        <w:rPr>
          <w:rFonts w:ascii="Arial" w:hAnsi="Arial" w:cs="Arial"/>
          <w:szCs w:val="24"/>
          <w:lang w:eastAsia="en-AU"/>
        </w:rPr>
      </w:pPr>
      <w:r w:rsidRPr="009B0662">
        <w:rPr>
          <w:rFonts w:ascii="Arial" w:hAnsi="Arial" w:cs="Arial"/>
        </w:rPr>
        <w:t>The NRSCH framework is a robust regulatory regime that is tailored to the specific needs, risks and circumstances of the community housing sector. The ability for those dealing with CHPs to make complaints to the Registrar, coupled with the Registrar’s ongoing proactive monitoring and enforcement activity, ensures there is protection for clients and consumers.</w:t>
      </w:r>
    </w:p>
    <w:p w14:paraId="45D47322" w14:textId="3087DDEB" w:rsidR="00A96471" w:rsidRDefault="00B2151A" w:rsidP="006477DF">
      <w:pPr>
        <w:spacing w:after="160" w:line="276" w:lineRule="auto"/>
        <w:rPr>
          <w:rFonts w:ascii="Arial" w:hAnsi="Arial" w:cs="Arial"/>
          <w:szCs w:val="24"/>
          <w:lang w:eastAsia="en-AU"/>
        </w:rPr>
      </w:pPr>
      <w:r>
        <w:rPr>
          <w:rFonts w:ascii="Arial" w:hAnsi="Arial" w:cs="Arial"/>
          <w:szCs w:val="24"/>
          <w:lang w:eastAsia="en-AU"/>
        </w:rPr>
        <w:t>T</w:t>
      </w:r>
      <w:r w:rsidR="00E059FE">
        <w:rPr>
          <w:rFonts w:ascii="Arial" w:hAnsi="Arial" w:cs="Arial"/>
          <w:szCs w:val="24"/>
          <w:lang w:eastAsia="en-AU"/>
        </w:rPr>
        <w:t xml:space="preserve">he Agents Act mandates individual standards of integrity and competence in the provision of commercial real estate services. </w:t>
      </w:r>
      <w:r>
        <w:rPr>
          <w:rFonts w:ascii="Arial" w:hAnsi="Arial" w:cs="Arial"/>
          <w:szCs w:val="24"/>
          <w:lang w:eastAsia="en-AU"/>
        </w:rPr>
        <w:t>However</w:t>
      </w:r>
      <w:r w:rsidR="00B52195">
        <w:rPr>
          <w:rFonts w:ascii="Arial" w:hAnsi="Arial" w:cs="Arial"/>
          <w:szCs w:val="24"/>
          <w:lang w:eastAsia="en-AU"/>
        </w:rPr>
        <w:t xml:space="preserve">, the Government considers that where a community housing provider is providing services related to the management of a tenancy, the NRSCH provides a more tailored, appropriate and proportionate approach to consumer protection than the licensing structure in the Agents Act. </w:t>
      </w:r>
    </w:p>
    <w:p w14:paraId="04BE7779" w14:textId="4B623BA1" w:rsidR="00B52195" w:rsidRDefault="00EC3C76" w:rsidP="006477DF">
      <w:pPr>
        <w:spacing w:after="160" w:line="276" w:lineRule="auto"/>
        <w:rPr>
          <w:rFonts w:ascii="Arial" w:hAnsi="Arial" w:cs="Arial"/>
          <w:szCs w:val="24"/>
          <w:lang w:eastAsia="en-AU"/>
        </w:rPr>
      </w:pPr>
      <w:r>
        <w:rPr>
          <w:rFonts w:ascii="Arial" w:hAnsi="Arial" w:cs="Arial"/>
          <w:szCs w:val="24"/>
          <w:lang w:eastAsia="en-AU"/>
        </w:rPr>
        <w:t>Creating a standing exemption from the Agents Act for</w:t>
      </w:r>
      <w:r w:rsidR="00B52195">
        <w:rPr>
          <w:rFonts w:ascii="Arial" w:hAnsi="Arial" w:cs="Arial"/>
          <w:szCs w:val="24"/>
          <w:lang w:eastAsia="en-AU"/>
        </w:rPr>
        <w:t xml:space="preserve"> all registered CHPs permits</w:t>
      </w:r>
      <w:r>
        <w:rPr>
          <w:rFonts w:ascii="Arial" w:hAnsi="Arial" w:cs="Arial"/>
          <w:szCs w:val="24"/>
          <w:lang w:eastAsia="en-AU"/>
        </w:rPr>
        <w:t xml:space="preserve"> these providers to deliver their programs with lower administration burden, </w:t>
      </w:r>
      <w:r w:rsidR="00B9134D">
        <w:rPr>
          <w:rFonts w:ascii="Arial" w:hAnsi="Arial" w:cs="Arial"/>
          <w:szCs w:val="24"/>
          <w:lang w:eastAsia="en-AU"/>
        </w:rPr>
        <w:t xml:space="preserve">increasing their sustainability. This approach is consistent with the approach taken in NSW, where all registered community housing providers subject to the NRSCH </w:t>
      </w:r>
      <w:r w:rsidR="00B9134D" w:rsidRPr="00B9134D">
        <w:rPr>
          <w:rFonts w:ascii="Arial" w:hAnsi="Arial" w:cs="Arial"/>
          <w:szCs w:val="24"/>
          <w:lang w:eastAsia="en-AU"/>
        </w:rPr>
        <w:t>under the Community Housing Providers National Law (NSW) are exempted from the Property, Stock and Business Agents Act 2002 (NSW) without qualification.</w:t>
      </w:r>
    </w:p>
    <w:bookmarkEnd w:id="1"/>
    <w:p w14:paraId="18A4CFFD" w14:textId="18605B4C" w:rsidR="007958A2" w:rsidRPr="006477DF" w:rsidRDefault="000D32A8" w:rsidP="00FB2949">
      <w:pPr>
        <w:keepNext/>
        <w:spacing w:after="160" w:line="276" w:lineRule="auto"/>
        <w:rPr>
          <w:rFonts w:ascii="Arial" w:hAnsi="Arial" w:cs="Arial"/>
          <w:b/>
          <w:bCs/>
          <w:szCs w:val="24"/>
          <w:lang w:eastAsia="en-AU"/>
        </w:rPr>
      </w:pPr>
      <w:r w:rsidRPr="006477DF">
        <w:rPr>
          <w:rFonts w:ascii="Arial" w:hAnsi="Arial" w:cs="Arial"/>
          <w:b/>
          <w:bCs/>
          <w:szCs w:val="24"/>
          <w:lang w:eastAsia="en-AU"/>
        </w:rPr>
        <w:t>HUMAN RIGHTS IMPLICATIONS</w:t>
      </w:r>
    </w:p>
    <w:p w14:paraId="29B1DE2C" w14:textId="0AA7BED8" w:rsidR="0068204C" w:rsidRDefault="0068204C" w:rsidP="00FB2949">
      <w:pPr>
        <w:keepNext/>
        <w:spacing w:after="160" w:line="276" w:lineRule="auto"/>
        <w:rPr>
          <w:rFonts w:ascii="Arial" w:hAnsi="Arial" w:cs="Arial"/>
          <w:szCs w:val="24"/>
          <w:lang w:eastAsia="en-AU"/>
        </w:rPr>
      </w:pPr>
      <w:r w:rsidRPr="0068204C">
        <w:rPr>
          <w:rFonts w:ascii="Arial" w:hAnsi="Arial" w:cs="Arial"/>
          <w:szCs w:val="24"/>
          <w:lang w:eastAsia="en-AU"/>
        </w:rPr>
        <w:t xml:space="preserve">This Regulation does not engage or limit rights under the Human Rights Act 2004. Exemption from the Agents Act will support </w:t>
      </w:r>
      <w:r>
        <w:rPr>
          <w:rFonts w:ascii="Arial" w:hAnsi="Arial" w:cs="Arial"/>
          <w:szCs w:val="24"/>
          <w:lang w:eastAsia="en-AU"/>
        </w:rPr>
        <w:t>registered CHPs</w:t>
      </w:r>
      <w:r w:rsidRPr="0068204C">
        <w:rPr>
          <w:rFonts w:ascii="Arial" w:hAnsi="Arial" w:cs="Arial"/>
          <w:szCs w:val="24"/>
          <w:lang w:eastAsia="en-AU"/>
        </w:rPr>
        <w:t xml:space="preserve"> to sustainably manage private rental properties for lease by people </w:t>
      </w:r>
      <w:r w:rsidR="00FA19E3">
        <w:rPr>
          <w:rFonts w:ascii="Arial" w:hAnsi="Arial" w:cs="Arial"/>
          <w:szCs w:val="24"/>
          <w:lang w:eastAsia="en-AU"/>
        </w:rPr>
        <w:t>with very low, low</w:t>
      </w:r>
      <w:r w:rsidR="00AC36D9">
        <w:rPr>
          <w:rFonts w:ascii="Arial" w:hAnsi="Arial" w:cs="Arial"/>
          <w:szCs w:val="24"/>
          <w:lang w:eastAsia="en-AU"/>
        </w:rPr>
        <w:t>,</w:t>
      </w:r>
      <w:r w:rsidR="00FA19E3">
        <w:rPr>
          <w:rFonts w:ascii="Arial" w:hAnsi="Arial" w:cs="Arial"/>
          <w:szCs w:val="24"/>
          <w:lang w:eastAsia="en-AU"/>
        </w:rPr>
        <w:t xml:space="preserve"> and moderate incomes</w:t>
      </w:r>
      <w:r w:rsidRPr="0068204C">
        <w:rPr>
          <w:rFonts w:ascii="Arial" w:hAnsi="Arial" w:cs="Arial"/>
          <w:szCs w:val="24"/>
          <w:lang w:eastAsia="en-AU"/>
        </w:rPr>
        <w:t xml:space="preserve">. The Regulation indirectly supports the right </w:t>
      </w:r>
      <w:r w:rsidRPr="0068204C">
        <w:rPr>
          <w:rFonts w:ascii="Arial" w:hAnsi="Arial" w:cs="Arial"/>
          <w:szCs w:val="24"/>
          <w:lang w:eastAsia="en-AU"/>
        </w:rPr>
        <w:lastRenderedPageBreak/>
        <w:t>to protection of the family and children and the right to family and home under sections 11 and 12 of the Human Rights Act respectively</w:t>
      </w:r>
      <w:r w:rsidR="00B2151A">
        <w:rPr>
          <w:rFonts w:ascii="Arial" w:hAnsi="Arial" w:cs="Arial"/>
          <w:szCs w:val="24"/>
          <w:lang w:eastAsia="en-AU"/>
        </w:rPr>
        <w:t xml:space="preserve"> by supporting </w:t>
      </w:r>
      <w:r w:rsidR="008224A9">
        <w:rPr>
          <w:rFonts w:ascii="Arial" w:hAnsi="Arial" w:cs="Arial"/>
          <w:szCs w:val="24"/>
          <w:lang w:eastAsia="en-AU"/>
        </w:rPr>
        <w:t>CHPs to provide a</w:t>
      </w:r>
      <w:r w:rsidR="00B2151A">
        <w:rPr>
          <w:rFonts w:ascii="Arial" w:hAnsi="Arial" w:cs="Arial"/>
          <w:szCs w:val="24"/>
          <w:lang w:eastAsia="en-AU"/>
        </w:rPr>
        <w:t xml:space="preserve">ffordable </w:t>
      </w:r>
      <w:r w:rsidR="008224A9">
        <w:rPr>
          <w:rFonts w:ascii="Arial" w:hAnsi="Arial" w:cs="Arial"/>
          <w:szCs w:val="24"/>
          <w:lang w:eastAsia="en-AU"/>
        </w:rPr>
        <w:t>housing effectively and efficiently.</w:t>
      </w:r>
    </w:p>
    <w:p w14:paraId="0A46243A" w14:textId="38D049F4" w:rsidR="000D32A8" w:rsidRPr="006477DF" w:rsidRDefault="000D32A8" w:rsidP="006477DF">
      <w:pPr>
        <w:spacing w:after="160" w:line="276" w:lineRule="auto"/>
        <w:rPr>
          <w:rFonts w:ascii="Arial" w:hAnsi="Arial" w:cs="Arial"/>
          <w:b/>
          <w:bCs/>
          <w:szCs w:val="24"/>
          <w:lang w:eastAsia="en-AU"/>
        </w:rPr>
      </w:pPr>
      <w:r w:rsidRPr="000D32A8">
        <w:rPr>
          <w:rFonts w:ascii="Arial" w:hAnsi="Arial" w:cs="Arial"/>
          <w:b/>
          <w:bCs/>
          <w:szCs w:val="24"/>
          <w:lang w:eastAsia="en-AU"/>
        </w:rPr>
        <w:t>REGULATORY IMPACT STATEMENT</w:t>
      </w:r>
    </w:p>
    <w:p w14:paraId="0F7E95A1" w14:textId="5255019A" w:rsidR="001848B7" w:rsidRPr="0094127C" w:rsidRDefault="000D32A8" w:rsidP="0094127C">
      <w:pPr>
        <w:spacing w:after="160" w:line="276" w:lineRule="auto"/>
        <w:rPr>
          <w:rFonts w:ascii="Arial" w:hAnsi="Arial" w:cs="Arial"/>
          <w:szCs w:val="24"/>
          <w:lang w:eastAsia="en-AU"/>
        </w:rPr>
      </w:pPr>
      <w:r w:rsidRPr="000D32A8">
        <w:rPr>
          <w:rFonts w:ascii="Arial" w:hAnsi="Arial" w:cs="Arial"/>
          <w:szCs w:val="24"/>
          <w:lang w:eastAsia="en-AU"/>
        </w:rPr>
        <w:t>A regulatory impact statement is not required</w:t>
      </w:r>
      <w:r>
        <w:rPr>
          <w:rFonts w:ascii="Arial" w:hAnsi="Arial" w:cs="Arial"/>
          <w:szCs w:val="24"/>
          <w:lang w:eastAsia="en-AU"/>
        </w:rPr>
        <w:t xml:space="preserve"> </w:t>
      </w:r>
      <w:r w:rsidRPr="000D32A8">
        <w:rPr>
          <w:rFonts w:ascii="Arial" w:hAnsi="Arial" w:cs="Arial"/>
          <w:szCs w:val="24"/>
          <w:lang w:eastAsia="en-AU"/>
        </w:rPr>
        <w:t>as the</w:t>
      </w:r>
      <w:r>
        <w:rPr>
          <w:rFonts w:ascii="Arial" w:hAnsi="Arial" w:cs="Arial"/>
          <w:szCs w:val="24"/>
          <w:lang w:eastAsia="en-AU"/>
        </w:rPr>
        <w:t xml:space="preserve"> </w:t>
      </w:r>
      <w:r w:rsidRPr="000D32A8">
        <w:rPr>
          <w:rFonts w:ascii="Arial" w:hAnsi="Arial" w:cs="Arial"/>
          <w:szCs w:val="24"/>
          <w:lang w:eastAsia="en-AU"/>
        </w:rPr>
        <w:t xml:space="preserve">regulation does not </w:t>
      </w:r>
      <w:r>
        <w:rPr>
          <w:rFonts w:ascii="Arial" w:hAnsi="Arial" w:cs="Arial"/>
          <w:szCs w:val="24"/>
          <w:lang w:eastAsia="en-AU"/>
        </w:rPr>
        <w:t>i</w:t>
      </w:r>
      <w:r w:rsidRPr="000D32A8">
        <w:rPr>
          <w:rFonts w:ascii="Arial" w:hAnsi="Arial" w:cs="Arial"/>
          <w:szCs w:val="24"/>
          <w:lang w:eastAsia="en-AU"/>
        </w:rPr>
        <w:t>mpose any appreciable costs on the community, or part of a</w:t>
      </w:r>
      <w:r>
        <w:rPr>
          <w:rFonts w:ascii="Arial" w:hAnsi="Arial" w:cs="Arial"/>
          <w:szCs w:val="24"/>
          <w:lang w:eastAsia="en-AU"/>
        </w:rPr>
        <w:t xml:space="preserve"> c</w:t>
      </w:r>
      <w:r w:rsidRPr="000D32A8">
        <w:rPr>
          <w:rFonts w:ascii="Arial" w:hAnsi="Arial" w:cs="Arial"/>
          <w:szCs w:val="24"/>
          <w:lang w:eastAsia="en-AU"/>
        </w:rPr>
        <w:t>ommunity</w:t>
      </w:r>
      <w:r>
        <w:rPr>
          <w:rFonts w:ascii="Arial" w:hAnsi="Arial" w:cs="Arial"/>
          <w:szCs w:val="24"/>
          <w:lang w:eastAsia="en-AU"/>
        </w:rPr>
        <w:t xml:space="preserve"> u</w:t>
      </w:r>
      <w:r w:rsidRPr="000D32A8">
        <w:rPr>
          <w:rFonts w:ascii="Arial" w:hAnsi="Arial" w:cs="Arial"/>
          <w:szCs w:val="24"/>
          <w:lang w:eastAsia="en-AU"/>
        </w:rPr>
        <w:t>nder section 34</w:t>
      </w:r>
      <w:r>
        <w:rPr>
          <w:rFonts w:ascii="Arial" w:hAnsi="Arial" w:cs="Arial"/>
          <w:szCs w:val="24"/>
          <w:lang w:eastAsia="en-AU"/>
        </w:rPr>
        <w:t xml:space="preserve"> </w:t>
      </w:r>
      <w:r w:rsidRPr="000D32A8">
        <w:rPr>
          <w:rFonts w:ascii="Arial" w:hAnsi="Arial" w:cs="Arial"/>
          <w:szCs w:val="24"/>
          <w:lang w:eastAsia="en-AU"/>
        </w:rPr>
        <w:t>(1) of the</w:t>
      </w:r>
      <w:r>
        <w:rPr>
          <w:rFonts w:ascii="Arial" w:hAnsi="Arial" w:cs="Arial"/>
          <w:szCs w:val="24"/>
          <w:lang w:eastAsia="en-AU"/>
        </w:rPr>
        <w:t xml:space="preserve"> </w:t>
      </w:r>
      <w:r w:rsidRPr="000D32A8">
        <w:rPr>
          <w:rFonts w:ascii="Arial" w:hAnsi="Arial" w:cs="Arial"/>
          <w:i/>
          <w:iCs/>
          <w:szCs w:val="24"/>
          <w:lang w:eastAsia="en-AU"/>
        </w:rPr>
        <w:t>Legislation Act 2001</w:t>
      </w:r>
      <w:r w:rsidRPr="000D32A8">
        <w:rPr>
          <w:rFonts w:ascii="Arial" w:hAnsi="Arial" w:cs="Arial"/>
          <w:szCs w:val="24"/>
          <w:lang w:eastAsia="en-AU"/>
        </w:rPr>
        <w:t>.</w:t>
      </w:r>
    </w:p>
    <w:p w14:paraId="3A7BE00E" w14:textId="77777777" w:rsidR="001848B7" w:rsidRDefault="001848B7" w:rsidP="00BA3236">
      <w:pPr>
        <w:spacing w:after="160"/>
        <w:rPr>
          <w:rFonts w:ascii="Arial" w:hAnsi="Arial" w:cs="Arial"/>
          <w:b/>
          <w:bCs/>
          <w:color w:val="000000"/>
        </w:rPr>
      </w:pPr>
    </w:p>
    <w:p w14:paraId="2F65CAE5" w14:textId="063F03A7" w:rsidR="007958A2" w:rsidRDefault="007958A2" w:rsidP="00BA3236">
      <w:pPr>
        <w:spacing w:after="160"/>
        <w:rPr>
          <w:rFonts w:ascii="Arial" w:hAnsi="Arial" w:cs="Arial"/>
          <w:b/>
          <w:bCs/>
          <w:color w:val="000000"/>
        </w:rPr>
      </w:pPr>
      <w:r>
        <w:rPr>
          <w:rFonts w:ascii="Arial" w:hAnsi="Arial" w:cs="Arial"/>
          <w:b/>
          <w:bCs/>
          <w:color w:val="000000"/>
        </w:rPr>
        <w:t>CLAUSE NOTES</w:t>
      </w:r>
    </w:p>
    <w:p w14:paraId="4031E14F" w14:textId="77777777" w:rsidR="000A55FE" w:rsidRDefault="000A55FE" w:rsidP="00BA3236">
      <w:pPr>
        <w:spacing w:after="160"/>
        <w:rPr>
          <w:color w:val="000000"/>
        </w:rPr>
      </w:pPr>
    </w:p>
    <w:p w14:paraId="0A842CEA" w14:textId="261E03AD" w:rsidR="007958A2" w:rsidRDefault="007958A2" w:rsidP="00BA3236">
      <w:pPr>
        <w:pStyle w:val="NormalWeb"/>
        <w:shd w:val="clear" w:color="auto" w:fill="FFFFFF"/>
        <w:spacing w:before="0" w:beforeAutospacing="0" w:after="160" w:afterAutospacing="0" w:line="253" w:lineRule="atLeast"/>
        <w:rPr>
          <w:color w:val="000000"/>
        </w:rPr>
      </w:pPr>
      <w:r>
        <w:rPr>
          <w:rFonts w:ascii="Arial" w:hAnsi="Arial" w:cs="Arial"/>
          <w:b/>
          <w:bCs/>
          <w:color w:val="000000"/>
        </w:rPr>
        <w:t>Clause 1</w:t>
      </w:r>
      <w:r>
        <w:rPr>
          <w:color w:val="000000"/>
        </w:rPr>
        <w:t> </w:t>
      </w:r>
      <w:r w:rsidR="00116603">
        <w:rPr>
          <w:color w:val="000000"/>
        </w:rPr>
        <w:tab/>
      </w:r>
      <w:r>
        <w:rPr>
          <w:rFonts w:ascii="Arial" w:hAnsi="Arial" w:cs="Arial"/>
          <w:b/>
          <w:bCs/>
          <w:color w:val="000000"/>
        </w:rPr>
        <w:t>Name of regulation</w:t>
      </w:r>
    </w:p>
    <w:p w14:paraId="0BBBCC2D" w14:textId="60511000" w:rsidR="007958A2" w:rsidRDefault="007958A2" w:rsidP="00BA3236">
      <w:pPr>
        <w:pStyle w:val="NormalWeb"/>
        <w:shd w:val="clear" w:color="auto" w:fill="FFFFFF"/>
        <w:spacing w:before="0" w:beforeAutospacing="0" w:after="160" w:afterAutospacing="0" w:line="276" w:lineRule="atLeast"/>
        <w:rPr>
          <w:color w:val="000000"/>
        </w:rPr>
      </w:pPr>
      <w:r>
        <w:rPr>
          <w:rFonts w:ascii="Arial" w:hAnsi="Arial" w:cs="Arial"/>
          <w:color w:val="000000"/>
        </w:rPr>
        <w:t>Clause 1 provides that the name of the regulation is the </w:t>
      </w:r>
      <w:r w:rsidR="00116603">
        <w:rPr>
          <w:rFonts w:ascii="Arial" w:hAnsi="Arial" w:cs="Arial"/>
          <w:i/>
          <w:iCs/>
          <w:color w:val="000000"/>
        </w:rPr>
        <w:t xml:space="preserve">Agents Amendment Regulation 2024 </w:t>
      </w:r>
      <w:r w:rsidR="00116603" w:rsidRPr="00FB2949">
        <w:rPr>
          <w:rFonts w:ascii="Arial" w:hAnsi="Arial" w:cs="Arial"/>
          <w:i/>
          <w:iCs/>
          <w:color w:val="000000"/>
        </w:rPr>
        <w:t xml:space="preserve">(No </w:t>
      </w:r>
      <w:r w:rsidR="00B2151A">
        <w:rPr>
          <w:rFonts w:ascii="Arial" w:hAnsi="Arial" w:cs="Arial"/>
          <w:i/>
          <w:iCs/>
          <w:color w:val="000000"/>
        </w:rPr>
        <w:t>1</w:t>
      </w:r>
      <w:r w:rsidR="00116603" w:rsidRPr="00FB2949">
        <w:rPr>
          <w:rFonts w:ascii="Arial" w:hAnsi="Arial" w:cs="Arial"/>
          <w:i/>
          <w:iCs/>
          <w:color w:val="000000"/>
        </w:rPr>
        <w:t>)</w:t>
      </w:r>
      <w:r w:rsidRPr="00FB2949">
        <w:rPr>
          <w:rFonts w:ascii="Arial" w:hAnsi="Arial" w:cs="Arial"/>
          <w:i/>
          <w:iCs/>
          <w:color w:val="000000"/>
        </w:rPr>
        <w:t>.</w:t>
      </w:r>
    </w:p>
    <w:p w14:paraId="3E94928B" w14:textId="687FD13F" w:rsidR="007958A2" w:rsidRDefault="007958A2" w:rsidP="00BA3236">
      <w:pPr>
        <w:pStyle w:val="NormalWeb"/>
        <w:shd w:val="clear" w:color="auto" w:fill="FFFFFF"/>
        <w:spacing w:before="240" w:beforeAutospacing="0" w:after="160" w:afterAutospacing="0"/>
        <w:rPr>
          <w:color w:val="000000"/>
        </w:rPr>
      </w:pPr>
      <w:r>
        <w:rPr>
          <w:rFonts w:ascii="Arial" w:hAnsi="Arial" w:cs="Arial"/>
          <w:b/>
          <w:bCs/>
          <w:color w:val="000000"/>
        </w:rPr>
        <w:t>Clause 2</w:t>
      </w:r>
      <w:r>
        <w:rPr>
          <w:color w:val="000000"/>
        </w:rPr>
        <w:t> </w:t>
      </w:r>
      <w:r w:rsidR="00116603">
        <w:rPr>
          <w:color w:val="000000"/>
        </w:rPr>
        <w:tab/>
      </w:r>
      <w:r>
        <w:rPr>
          <w:rFonts w:ascii="Arial" w:hAnsi="Arial" w:cs="Arial"/>
          <w:b/>
          <w:bCs/>
          <w:color w:val="000000"/>
        </w:rPr>
        <w:t>Commencement</w:t>
      </w:r>
    </w:p>
    <w:p w14:paraId="64C6C12D" w14:textId="20DFBE4C" w:rsidR="007958A2" w:rsidRDefault="007958A2" w:rsidP="00BA3236">
      <w:pPr>
        <w:pStyle w:val="NormalWeb"/>
        <w:shd w:val="clear" w:color="auto" w:fill="FFFFFF"/>
        <w:spacing w:before="0" w:beforeAutospacing="0" w:after="160" w:afterAutospacing="0" w:line="276" w:lineRule="atLeast"/>
        <w:rPr>
          <w:color w:val="000000"/>
        </w:rPr>
      </w:pPr>
      <w:r>
        <w:rPr>
          <w:rFonts w:ascii="Arial" w:hAnsi="Arial" w:cs="Arial"/>
          <w:color w:val="000000"/>
        </w:rPr>
        <w:t xml:space="preserve">This clause </w:t>
      </w:r>
      <w:r w:rsidR="00D37737">
        <w:rPr>
          <w:rFonts w:ascii="Arial" w:hAnsi="Arial" w:cs="Arial"/>
          <w:color w:val="000000"/>
        </w:rPr>
        <w:t xml:space="preserve">indicates </w:t>
      </w:r>
      <w:r>
        <w:rPr>
          <w:rFonts w:ascii="Arial" w:hAnsi="Arial" w:cs="Arial"/>
          <w:color w:val="000000"/>
        </w:rPr>
        <w:t>that the commencement date of the regulation is the day after it is notified. </w:t>
      </w:r>
    </w:p>
    <w:p w14:paraId="37EDBDA8" w14:textId="0A8B5015" w:rsidR="007958A2" w:rsidRDefault="007958A2" w:rsidP="00BA3236">
      <w:pPr>
        <w:pStyle w:val="NormalWeb"/>
        <w:shd w:val="clear" w:color="auto" w:fill="FFFFFF"/>
        <w:spacing w:before="240" w:beforeAutospacing="0" w:after="160" w:afterAutospacing="0"/>
        <w:rPr>
          <w:color w:val="000000"/>
        </w:rPr>
      </w:pPr>
      <w:r>
        <w:rPr>
          <w:rFonts w:ascii="Arial" w:hAnsi="Arial" w:cs="Arial"/>
          <w:b/>
          <w:bCs/>
          <w:color w:val="000000"/>
        </w:rPr>
        <w:t>Clause 3</w:t>
      </w:r>
      <w:r>
        <w:rPr>
          <w:color w:val="000000"/>
        </w:rPr>
        <w:t> </w:t>
      </w:r>
      <w:r w:rsidR="00116603">
        <w:rPr>
          <w:color w:val="000000"/>
        </w:rPr>
        <w:tab/>
      </w:r>
      <w:r>
        <w:rPr>
          <w:rFonts w:ascii="Arial" w:hAnsi="Arial" w:cs="Arial"/>
          <w:b/>
          <w:bCs/>
          <w:color w:val="000000"/>
        </w:rPr>
        <w:t>Legislation amended</w:t>
      </w:r>
    </w:p>
    <w:p w14:paraId="3691957F" w14:textId="0E13CA0A" w:rsidR="007958A2" w:rsidRPr="00116603" w:rsidRDefault="007958A2" w:rsidP="00BA3236">
      <w:pPr>
        <w:pStyle w:val="NormalWeb"/>
        <w:shd w:val="clear" w:color="auto" w:fill="FFFFFF"/>
        <w:spacing w:before="0" w:beforeAutospacing="0" w:after="160" w:afterAutospacing="0" w:line="276" w:lineRule="atLeast"/>
        <w:rPr>
          <w:color w:val="000000"/>
        </w:rPr>
      </w:pPr>
      <w:r>
        <w:rPr>
          <w:rFonts w:ascii="Arial" w:hAnsi="Arial" w:cs="Arial"/>
          <w:color w:val="000000"/>
        </w:rPr>
        <w:t>This clause provides that the regulation amends the </w:t>
      </w:r>
      <w:r w:rsidR="00116603">
        <w:rPr>
          <w:rFonts w:ascii="Arial" w:hAnsi="Arial" w:cs="Arial"/>
          <w:i/>
          <w:iCs/>
          <w:color w:val="000000"/>
        </w:rPr>
        <w:t xml:space="preserve">Agents Regulation 2003 </w:t>
      </w:r>
      <w:r w:rsidR="00116603">
        <w:rPr>
          <w:rFonts w:ascii="Arial" w:hAnsi="Arial" w:cs="Arial"/>
          <w:color w:val="000000"/>
        </w:rPr>
        <w:t xml:space="preserve">(the </w:t>
      </w:r>
      <w:r w:rsidR="00116603" w:rsidRPr="00FB2949">
        <w:rPr>
          <w:rFonts w:ascii="Arial" w:hAnsi="Arial" w:cs="Arial"/>
          <w:b/>
          <w:bCs/>
          <w:color w:val="000000"/>
        </w:rPr>
        <w:t>Agents Regulation</w:t>
      </w:r>
      <w:r w:rsidR="00116603">
        <w:rPr>
          <w:rFonts w:ascii="Arial" w:hAnsi="Arial" w:cs="Arial"/>
          <w:color w:val="000000"/>
        </w:rPr>
        <w:t>)</w:t>
      </w:r>
    </w:p>
    <w:p w14:paraId="0A20FD36" w14:textId="1D8BE237" w:rsidR="007958A2" w:rsidRDefault="007958A2" w:rsidP="00BA3236">
      <w:pPr>
        <w:pStyle w:val="NormalWeb"/>
        <w:shd w:val="clear" w:color="auto" w:fill="FFFFFF"/>
        <w:spacing w:before="240" w:beforeAutospacing="0" w:after="160" w:afterAutospacing="0"/>
        <w:rPr>
          <w:color w:val="000000"/>
        </w:rPr>
      </w:pPr>
      <w:r>
        <w:rPr>
          <w:rFonts w:ascii="Arial" w:hAnsi="Arial" w:cs="Arial"/>
          <w:b/>
          <w:bCs/>
          <w:color w:val="000000"/>
        </w:rPr>
        <w:t>Clause 4</w:t>
      </w:r>
      <w:r>
        <w:rPr>
          <w:color w:val="000000"/>
        </w:rPr>
        <w:t> </w:t>
      </w:r>
      <w:r w:rsidR="00116603">
        <w:rPr>
          <w:color w:val="000000"/>
        </w:rPr>
        <w:tab/>
      </w:r>
      <w:r w:rsidR="00116603">
        <w:rPr>
          <w:rFonts w:ascii="Arial" w:hAnsi="Arial" w:cs="Arial"/>
          <w:b/>
          <w:bCs/>
          <w:color w:val="000000"/>
        </w:rPr>
        <w:t>Section 5C</w:t>
      </w:r>
    </w:p>
    <w:p w14:paraId="4CDF7745" w14:textId="77777777" w:rsidR="00D37737" w:rsidRDefault="00375552" w:rsidP="00BA3236">
      <w:pPr>
        <w:spacing w:after="160"/>
        <w:rPr>
          <w:rFonts w:ascii="Arial" w:hAnsi="Arial" w:cs="Arial"/>
          <w:color w:val="000000"/>
          <w:szCs w:val="24"/>
          <w:lang w:eastAsia="en-AU"/>
        </w:rPr>
      </w:pPr>
      <w:r>
        <w:rPr>
          <w:rFonts w:ascii="Arial" w:hAnsi="Arial" w:cs="Arial"/>
          <w:color w:val="000000"/>
          <w:szCs w:val="24"/>
          <w:lang w:eastAsia="en-AU"/>
        </w:rPr>
        <w:t>This clause substitutes the existing Section 5C</w:t>
      </w:r>
      <w:r w:rsidR="004B2E41">
        <w:rPr>
          <w:rFonts w:ascii="Arial" w:hAnsi="Arial" w:cs="Arial"/>
          <w:color w:val="000000"/>
          <w:szCs w:val="24"/>
          <w:lang w:eastAsia="en-AU"/>
        </w:rPr>
        <w:t xml:space="preserve"> (Entities to which Act does not apply – Act, s 6 (l))</w:t>
      </w:r>
      <w:r>
        <w:rPr>
          <w:rFonts w:ascii="Arial" w:hAnsi="Arial" w:cs="Arial"/>
          <w:color w:val="000000"/>
          <w:szCs w:val="24"/>
          <w:lang w:eastAsia="en-AU"/>
        </w:rPr>
        <w:t xml:space="preserve">. </w:t>
      </w:r>
    </w:p>
    <w:p w14:paraId="0DE0CAF3" w14:textId="5C1FD948" w:rsidR="00D51D71" w:rsidRDefault="00375552" w:rsidP="00BA3236">
      <w:pPr>
        <w:spacing w:after="160"/>
        <w:rPr>
          <w:rFonts w:ascii="Arial" w:hAnsi="Arial" w:cs="Arial"/>
          <w:color w:val="000000"/>
          <w:szCs w:val="24"/>
          <w:lang w:eastAsia="en-AU"/>
        </w:rPr>
      </w:pPr>
      <w:r>
        <w:rPr>
          <w:rFonts w:ascii="Arial" w:hAnsi="Arial" w:cs="Arial"/>
          <w:color w:val="000000"/>
          <w:szCs w:val="24"/>
          <w:lang w:eastAsia="en-AU"/>
        </w:rPr>
        <w:t xml:space="preserve">The existing section 5C </w:t>
      </w:r>
      <w:r w:rsidR="00405342">
        <w:rPr>
          <w:rFonts w:ascii="Arial" w:hAnsi="Arial" w:cs="Arial"/>
          <w:color w:val="000000"/>
          <w:szCs w:val="24"/>
          <w:lang w:eastAsia="en-AU"/>
        </w:rPr>
        <w:t xml:space="preserve">prescribes that the </w:t>
      </w:r>
      <w:r w:rsidR="00405342" w:rsidRPr="00405342">
        <w:rPr>
          <w:rFonts w:ascii="Arial" w:hAnsi="Arial" w:cs="Arial"/>
          <w:i/>
          <w:iCs/>
          <w:color w:val="000000"/>
          <w:szCs w:val="24"/>
          <w:lang w:eastAsia="en-AU"/>
        </w:rPr>
        <w:t>Agents Act 2003</w:t>
      </w:r>
      <w:r w:rsidR="00405342">
        <w:rPr>
          <w:rFonts w:ascii="Arial" w:hAnsi="Arial" w:cs="Arial"/>
          <w:color w:val="000000"/>
          <w:szCs w:val="24"/>
          <w:lang w:eastAsia="en-AU"/>
        </w:rPr>
        <w:t xml:space="preserve"> does not apply to </w:t>
      </w:r>
      <w:r w:rsidR="00D97982">
        <w:rPr>
          <w:rFonts w:ascii="Arial" w:hAnsi="Arial" w:cs="Arial"/>
          <w:color w:val="000000"/>
          <w:szCs w:val="24"/>
          <w:lang w:eastAsia="en-AU"/>
        </w:rPr>
        <w:t>Community Housing Canberra (only when carrying on business as a real estate agent in relation to managing a community housing asset), Havelock Housing Association and YWCA Canberra</w:t>
      </w:r>
      <w:r w:rsidR="00D51D71">
        <w:rPr>
          <w:rFonts w:ascii="Arial" w:hAnsi="Arial" w:cs="Arial"/>
          <w:color w:val="000000"/>
          <w:szCs w:val="24"/>
          <w:lang w:eastAsia="en-AU"/>
        </w:rPr>
        <w:t xml:space="preserve">, and their employees. </w:t>
      </w:r>
    </w:p>
    <w:p w14:paraId="2CBD3AC7" w14:textId="02A1FB6D" w:rsidR="00E23358" w:rsidRDefault="00095DB0" w:rsidP="00BA3236">
      <w:pPr>
        <w:spacing w:after="160"/>
        <w:rPr>
          <w:rFonts w:ascii="Arial" w:hAnsi="Arial" w:cs="Arial"/>
          <w:color w:val="000000"/>
          <w:szCs w:val="24"/>
          <w:lang w:eastAsia="en-AU"/>
        </w:rPr>
      </w:pPr>
      <w:r>
        <w:rPr>
          <w:rFonts w:ascii="Arial" w:hAnsi="Arial" w:cs="Arial"/>
          <w:color w:val="000000"/>
          <w:szCs w:val="24"/>
          <w:lang w:eastAsia="en-AU"/>
        </w:rPr>
        <w:t>The new Section 5C</w:t>
      </w:r>
      <w:r w:rsidR="007A02E6">
        <w:rPr>
          <w:rFonts w:ascii="Arial" w:hAnsi="Arial" w:cs="Arial"/>
          <w:color w:val="000000"/>
          <w:szCs w:val="24"/>
          <w:lang w:eastAsia="en-AU"/>
        </w:rPr>
        <w:t xml:space="preserve"> (1) (Entities to which Act does not apply – Act, s 6 (l)) </w:t>
      </w:r>
      <w:r>
        <w:rPr>
          <w:rFonts w:ascii="Arial" w:hAnsi="Arial" w:cs="Arial"/>
          <w:color w:val="000000"/>
          <w:szCs w:val="24"/>
          <w:lang w:eastAsia="en-AU"/>
        </w:rPr>
        <w:t xml:space="preserve">prescribes </w:t>
      </w:r>
      <w:r w:rsidR="007A02E6">
        <w:rPr>
          <w:rFonts w:ascii="Arial" w:hAnsi="Arial" w:cs="Arial"/>
          <w:color w:val="000000"/>
          <w:szCs w:val="24"/>
          <w:lang w:eastAsia="en-AU"/>
        </w:rPr>
        <w:t>the Act does not apply to all registered community housing providers</w:t>
      </w:r>
      <w:r w:rsidR="00E23358">
        <w:rPr>
          <w:rFonts w:ascii="Arial" w:hAnsi="Arial" w:cs="Arial"/>
          <w:color w:val="000000"/>
          <w:szCs w:val="24"/>
          <w:lang w:eastAsia="en-AU"/>
        </w:rPr>
        <w:t>,</w:t>
      </w:r>
      <w:r w:rsidR="007A02E6">
        <w:rPr>
          <w:rFonts w:ascii="Arial" w:hAnsi="Arial" w:cs="Arial"/>
          <w:color w:val="000000"/>
          <w:szCs w:val="24"/>
          <w:lang w:eastAsia="en-AU"/>
        </w:rPr>
        <w:t xml:space="preserve"> and their employees, to the extent they are providing or offering to provide a tenancy management service. </w:t>
      </w:r>
    </w:p>
    <w:p w14:paraId="6F87E61A" w14:textId="49548DD5" w:rsidR="006771F6" w:rsidRDefault="008224A9" w:rsidP="00BA3236">
      <w:pPr>
        <w:spacing w:after="160"/>
        <w:rPr>
          <w:rFonts w:ascii="Arial" w:hAnsi="Arial" w:cs="Arial"/>
          <w:color w:val="000000"/>
          <w:szCs w:val="24"/>
          <w:lang w:eastAsia="en-AU"/>
        </w:rPr>
      </w:pPr>
      <w:r>
        <w:rPr>
          <w:rFonts w:ascii="Arial" w:hAnsi="Arial" w:cs="Arial"/>
          <w:color w:val="000000"/>
          <w:szCs w:val="24"/>
          <w:lang w:eastAsia="en-AU"/>
        </w:rPr>
        <w:t>N</w:t>
      </w:r>
      <w:r w:rsidR="00E23358">
        <w:rPr>
          <w:rFonts w:ascii="Arial" w:hAnsi="Arial" w:cs="Arial"/>
          <w:color w:val="000000"/>
          <w:szCs w:val="24"/>
          <w:lang w:eastAsia="en-AU"/>
        </w:rPr>
        <w:t>ew Section 5C (2) carries over the definition of a registered community housing provider from the previous section 5C.</w:t>
      </w:r>
      <w:r w:rsidR="00A572EB">
        <w:rPr>
          <w:rFonts w:ascii="Arial" w:hAnsi="Arial" w:cs="Arial"/>
          <w:color w:val="000000"/>
          <w:szCs w:val="24"/>
          <w:lang w:eastAsia="en-AU"/>
        </w:rPr>
        <w:t xml:space="preserve"> Section 5C (2) cross-references</w:t>
      </w:r>
      <w:r w:rsidR="006771F6">
        <w:rPr>
          <w:rFonts w:ascii="Arial" w:hAnsi="Arial" w:cs="Arial"/>
          <w:color w:val="000000"/>
          <w:szCs w:val="24"/>
          <w:lang w:eastAsia="en-AU"/>
        </w:rPr>
        <w:t xml:space="preserve"> and applies</w:t>
      </w:r>
      <w:r w:rsidR="00A572EB">
        <w:rPr>
          <w:rFonts w:ascii="Arial" w:hAnsi="Arial" w:cs="Arial"/>
          <w:color w:val="000000"/>
          <w:szCs w:val="24"/>
          <w:lang w:eastAsia="en-AU"/>
        </w:rPr>
        <w:t xml:space="preserve"> the definition of a registered community housing provider contained in the</w:t>
      </w:r>
      <w:r w:rsidR="006771F6">
        <w:rPr>
          <w:rFonts w:ascii="Arial" w:hAnsi="Arial" w:cs="Arial"/>
          <w:color w:val="000000"/>
          <w:szCs w:val="24"/>
          <w:lang w:eastAsia="en-AU"/>
        </w:rPr>
        <w:t xml:space="preserve"> section 4 (1) of the</w:t>
      </w:r>
      <w:r w:rsidR="00A572EB">
        <w:rPr>
          <w:rFonts w:ascii="Arial" w:hAnsi="Arial" w:cs="Arial"/>
          <w:color w:val="000000"/>
          <w:szCs w:val="24"/>
          <w:lang w:eastAsia="en-AU"/>
        </w:rPr>
        <w:t xml:space="preserve"> </w:t>
      </w:r>
      <w:r w:rsidR="00A572EB">
        <w:rPr>
          <w:rFonts w:ascii="Arial" w:hAnsi="Arial" w:cs="Arial"/>
          <w:i/>
          <w:iCs/>
          <w:color w:val="000000"/>
          <w:szCs w:val="24"/>
          <w:lang w:eastAsia="en-AU"/>
        </w:rPr>
        <w:t>Community Housing Provider</w:t>
      </w:r>
      <w:r w:rsidR="006771F6">
        <w:rPr>
          <w:rFonts w:ascii="Arial" w:hAnsi="Arial" w:cs="Arial"/>
          <w:i/>
          <w:iCs/>
          <w:color w:val="000000"/>
          <w:szCs w:val="24"/>
          <w:lang w:eastAsia="en-AU"/>
        </w:rPr>
        <w:t>s National Law (ACT)</w:t>
      </w:r>
      <w:r w:rsidR="006771F6">
        <w:rPr>
          <w:rFonts w:ascii="Arial" w:hAnsi="Arial" w:cs="Arial"/>
          <w:color w:val="000000"/>
          <w:szCs w:val="24"/>
          <w:lang w:eastAsia="en-AU"/>
        </w:rPr>
        <w:t>.</w:t>
      </w:r>
    </w:p>
    <w:p w14:paraId="72699D64" w14:textId="542923F6" w:rsidR="006771F6" w:rsidRDefault="008224A9" w:rsidP="00BA3236">
      <w:pPr>
        <w:spacing w:after="160"/>
        <w:rPr>
          <w:rFonts w:ascii="Arial" w:hAnsi="Arial" w:cs="Arial"/>
          <w:color w:val="000000"/>
          <w:szCs w:val="24"/>
          <w:lang w:eastAsia="en-AU"/>
        </w:rPr>
      </w:pPr>
      <w:r>
        <w:rPr>
          <w:rFonts w:ascii="Arial" w:hAnsi="Arial" w:cs="Arial"/>
          <w:color w:val="000000"/>
          <w:szCs w:val="24"/>
          <w:lang w:eastAsia="en-AU"/>
        </w:rPr>
        <w:t>N</w:t>
      </w:r>
      <w:r w:rsidR="006771F6">
        <w:rPr>
          <w:rFonts w:ascii="Arial" w:hAnsi="Arial" w:cs="Arial"/>
          <w:color w:val="000000"/>
          <w:szCs w:val="24"/>
          <w:lang w:eastAsia="en-AU"/>
        </w:rPr>
        <w:t>ew section 5C (2) also inserts a new definition of tenancy management services. The definition provides that each of the following services are taken to be a tenancy management service</w:t>
      </w:r>
      <w:r w:rsidR="005E5B63">
        <w:rPr>
          <w:rFonts w:ascii="Arial" w:hAnsi="Arial" w:cs="Arial"/>
          <w:color w:val="000000"/>
          <w:szCs w:val="24"/>
          <w:lang w:eastAsia="en-AU"/>
        </w:rPr>
        <w:t xml:space="preserve">, for the purposes of section 5C: </w:t>
      </w:r>
    </w:p>
    <w:p w14:paraId="2652E78F" w14:textId="1CAA307A" w:rsidR="005E5B63" w:rsidRDefault="005E5B63" w:rsidP="00BA3236">
      <w:pPr>
        <w:pStyle w:val="ListParagraph"/>
        <w:numPr>
          <w:ilvl w:val="0"/>
          <w:numId w:val="16"/>
        </w:numPr>
        <w:spacing w:after="160"/>
        <w:contextualSpacing w:val="0"/>
        <w:rPr>
          <w:rFonts w:ascii="Arial" w:hAnsi="Arial" w:cs="Arial"/>
          <w:color w:val="000000"/>
          <w:szCs w:val="24"/>
          <w:lang w:eastAsia="en-AU"/>
        </w:rPr>
      </w:pPr>
      <w:r>
        <w:rPr>
          <w:rFonts w:ascii="Arial" w:hAnsi="Arial" w:cs="Arial"/>
          <w:color w:val="000000"/>
          <w:szCs w:val="24"/>
          <w:lang w:eastAsia="en-AU"/>
        </w:rPr>
        <w:lastRenderedPageBreak/>
        <w:t xml:space="preserve">leasing land; </w:t>
      </w:r>
    </w:p>
    <w:p w14:paraId="05EC40B7" w14:textId="44AAB7EE" w:rsidR="005E5B63" w:rsidRDefault="005E5B63" w:rsidP="00BA3236">
      <w:pPr>
        <w:pStyle w:val="ListParagraph"/>
        <w:numPr>
          <w:ilvl w:val="0"/>
          <w:numId w:val="16"/>
        </w:numPr>
        <w:spacing w:after="160"/>
        <w:contextualSpacing w:val="0"/>
        <w:rPr>
          <w:rFonts w:ascii="Arial" w:hAnsi="Arial" w:cs="Arial"/>
          <w:color w:val="000000"/>
          <w:szCs w:val="24"/>
          <w:lang w:eastAsia="en-AU"/>
        </w:rPr>
      </w:pPr>
      <w:r>
        <w:rPr>
          <w:rFonts w:ascii="Arial" w:hAnsi="Arial" w:cs="Arial"/>
          <w:color w:val="000000"/>
          <w:szCs w:val="24"/>
          <w:lang w:eastAsia="en-AU"/>
        </w:rPr>
        <w:t xml:space="preserve">negotiating with a person to enter into, or make or accept an offer to enter into, a lease of land; </w:t>
      </w:r>
    </w:p>
    <w:p w14:paraId="2E3AFEB4" w14:textId="4B256963" w:rsidR="005E5B63" w:rsidRDefault="005E5B63" w:rsidP="00BA3236">
      <w:pPr>
        <w:pStyle w:val="ListParagraph"/>
        <w:numPr>
          <w:ilvl w:val="0"/>
          <w:numId w:val="16"/>
        </w:numPr>
        <w:spacing w:after="160"/>
        <w:contextualSpacing w:val="0"/>
        <w:rPr>
          <w:rFonts w:ascii="Arial" w:hAnsi="Arial" w:cs="Arial"/>
          <w:color w:val="000000"/>
          <w:szCs w:val="24"/>
          <w:lang w:eastAsia="en-AU"/>
        </w:rPr>
      </w:pPr>
      <w:r>
        <w:rPr>
          <w:rFonts w:ascii="Arial" w:hAnsi="Arial" w:cs="Arial"/>
          <w:color w:val="000000"/>
          <w:szCs w:val="24"/>
          <w:lang w:eastAsia="en-AU"/>
        </w:rPr>
        <w:t xml:space="preserve">collecting payments under a lease; and </w:t>
      </w:r>
    </w:p>
    <w:p w14:paraId="07D080BA" w14:textId="085D521E" w:rsidR="005E5B63" w:rsidRDefault="005E5B63" w:rsidP="00BA3236">
      <w:pPr>
        <w:pStyle w:val="ListParagraph"/>
        <w:numPr>
          <w:ilvl w:val="0"/>
          <w:numId w:val="16"/>
        </w:numPr>
        <w:spacing w:after="160"/>
        <w:contextualSpacing w:val="0"/>
        <w:rPr>
          <w:rFonts w:ascii="Arial" w:hAnsi="Arial" w:cs="Arial"/>
          <w:color w:val="000000"/>
          <w:szCs w:val="24"/>
          <w:lang w:eastAsia="en-AU"/>
        </w:rPr>
      </w:pPr>
      <w:r>
        <w:rPr>
          <w:rFonts w:ascii="Arial" w:hAnsi="Arial" w:cs="Arial"/>
          <w:color w:val="000000"/>
          <w:szCs w:val="24"/>
          <w:lang w:eastAsia="en-AU"/>
        </w:rPr>
        <w:t xml:space="preserve">managing property under a lease. </w:t>
      </w:r>
    </w:p>
    <w:p w14:paraId="266EEB50" w14:textId="7D47E143" w:rsidR="002F2EA9" w:rsidRDefault="002F2EA9" w:rsidP="00BA3236">
      <w:pPr>
        <w:spacing w:after="160"/>
        <w:rPr>
          <w:rFonts w:ascii="Arial" w:hAnsi="Arial" w:cs="Arial"/>
          <w:color w:val="000000"/>
          <w:szCs w:val="24"/>
          <w:lang w:eastAsia="en-AU"/>
        </w:rPr>
      </w:pPr>
      <w:r>
        <w:rPr>
          <w:rFonts w:ascii="Arial" w:hAnsi="Arial" w:cs="Arial"/>
          <w:color w:val="000000"/>
          <w:szCs w:val="24"/>
          <w:lang w:eastAsia="en-AU"/>
        </w:rPr>
        <w:t>Registered community housing providers</w:t>
      </w:r>
      <w:r w:rsidR="000F180B">
        <w:rPr>
          <w:rFonts w:ascii="Arial" w:hAnsi="Arial" w:cs="Arial"/>
          <w:color w:val="000000"/>
          <w:szCs w:val="24"/>
          <w:lang w:eastAsia="en-AU"/>
        </w:rPr>
        <w:t xml:space="preserve"> will only be exempt from the </w:t>
      </w:r>
      <w:r w:rsidR="000F180B" w:rsidRPr="002F2EA9">
        <w:rPr>
          <w:rFonts w:ascii="Arial" w:hAnsi="Arial" w:cs="Arial"/>
          <w:i/>
          <w:iCs/>
          <w:color w:val="000000"/>
          <w:szCs w:val="24"/>
          <w:lang w:eastAsia="en-AU"/>
        </w:rPr>
        <w:t>Agents Act 2003</w:t>
      </w:r>
      <w:r w:rsidR="000F180B">
        <w:rPr>
          <w:rFonts w:ascii="Arial" w:hAnsi="Arial" w:cs="Arial"/>
          <w:color w:val="000000"/>
          <w:szCs w:val="24"/>
          <w:lang w:eastAsia="en-AU"/>
        </w:rPr>
        <w:t xml:space="preserve"> to the extent they are engaging in </w:t>
      </w:r>
      <w:r>
        <w:rPr>
          <w:rFonts w:ascii="Arial" w:hAnsi="Arial" w:cs="Arial"/>
          <w:color w:val="000000"/>
          <w:szCs w:val="24"/>
          <w:lang w:eastAsia="en-AU"/>
        </w:rPr>
        <w:t>tenancy management services</w:t>
      </w:r>
      <w:r w:rsidR="000F180B">
        <w:rPr>
          <w:rFonts w:ascii="Arial" w:hAnsi="Arial" w:cs="Arial"/>
          <w:color w:val="000000"/>
          <w:szCs w:val="24"/>
          <w:lang w:eastAsia="en-AU"/>
        </w:rPr>
        <w:t xml:space="preserve">. If a </w:t>
      </w:r>
      <w:r>
        <w:rPr>
          <w:rFonts w:ascii="Arial" w:hAnsi="Arial" w:cs="Arial"/>
          <w:color w:val="000000"/>
          <w:szCs w:val="24"/>
          <w:lang w:eastAsia="en-AU"/>
        </w:rPr>
        <w:t>registered community housing provider</w:t>
      </w:r>
      <w:r w:rsidR="000F180B">
        <w:rPr>
          <w:rFonts w:ascii="Arial" w:hAnsi="Arial" w:cs="Arial"/>
          <w:color w:val="000000"/>
          <w:szCs w:val="24"/>
          <w:lang w:eastAsia="en-AU"/>
        </w:rPr>
        <w:t xml:space="preserve"> were to engage in real estate agent services other than tenancy management services, such as facilitating the sale and purchase or property, they would be required to comply with the </w:t>
      </w:r>
      <w:r w:rsidR="000F180B" w:rsidRPr="002F2EA9">
        <w:rPr>
          <w:rFonts w:ascii="Arial" w:hAnsi="Arial" w:cs="Arial"/>
          <w:i/>
          <w:iCs/>
          <w:color w:val="000000"/>
          <w:szCs w:val="24"/>
          <w:lang w:eastAsia="en-AU"/>
        </w:rPr>
        <w:t>Agents Act 2003</w:t>
      </w:r>
      <w:r w:rsidR="000F180B">
        <w:rPr>
          <w:rFonts w:ascii="Arial" w:hAnsi="Arial" w:cs="Arial"/>
          <w:color w:val="000000"/>
          <w:szCs w:val="24"/>
          <w:lang w:eastAsia="en-AU"/>
        </w:rPr>
        <w:t xml:space="preserve">. </w:t>
      </w:r>
      <w:r>
        <w:rPr>
          <w:rFonts w:ascii="Arial" w:hAnsi="Arial" w:cs="Arial"/>
          <w:color w:val="000000"/>
          <w:szCs w:val="24"/>
          <w:lang w:eastAsia="en-AU"/>
        </w:rPr>
        <w:t>This approach reflects the</w:t>
      </w:r>
      <w:r w:rsidR="00A14436">
        <w:rPr>
          <w:rFonts w:ascii="Arial" w:hAnsi="Arial" w:cs="Arial"/>
          <w:color w:val="000000"/>
          <w:szCs w:val="24"/>
          <w:lang w:eastAsia="en-AU"/>
        </w:rPr>
        <w:t xml:space="preserve"> purpose behind the amendment, that is, to make it easier for registered community housing providers to </w:t>
      </w:r>
      <w:r w:rsidR="00E432C2">
        <w:rPr>
          <w:rFonts w:ascii="Arial" w:hAnsi="Arial" w:cs="Arial"/>
          <w:color w:val="000000"/>
          <w:szCs w:val="24"/>
          <w:lang w:eastAsia="en-AU"/>
        </w:rPr>
        <w:t xml:space="preserve">provide affordable rental properties to households on very low, low, and moderate incomes, or for people with additional needs. </w:t>
      </w:r>
    </w:p>
    <w:p w14:paraId="47B3A732" w14:textId="77E9DD0C" w:rsidR="00BA3236" w:rsidRPr="00BA3236" w:rsidRDefault="008224A9" w:rsidP="00BA3236">
      <w:pPr>
        <w:spacing w:after="160"/>
        <w:rPr>
          <w:rFonts w:ascii="Arial" w:hAnsi="Arial" w:cs="Arial"/>
          <w:color w:val="000000"/>
          <w:szCs w:val="24"/>
          <w:lang w:eastAsia="en-AU"/>
        </w:rPr>
      </w:pPr>
      <w:r>
        <w:rPr>
          <w:rFonts w:ascii="Arial" w:hAnsi="Arial" w:cs="Arial"/>
          <w:color w:val="000000"/>
          <w:szCs w:val="24"/>
          <w:lang w:eastAsia="en-AU"/>
        </w:rPr>
        <w:t>I</w:t>
      </w:r>
      <w:r w:rsidR="000F180B">
        <w:rPr>
          <w:rFonts w:ascii="Arial" w:hAnsi="Arial" w:cs="Arial"/>
          <w:color w:val="000000"/>
          <w:szCs w:val="24"/>
          <w:lang w:eastAsia="en-AU"/>
        </w:rPr>
        <w:t xml:space="preserve">f a </w:t>
      </w:r>
      <w:r w:rsidR="00914AA6">
        <w:rPr>
          <w:rFonts w:ascii="Arial" w:hAnsi="Arial" w:cs="Arial"/>
          <w:color w:val="000000"/>
          <w:szCs w:val="24"/>
          <w:lang w:eastAsia="en-AU"/>
        </w:rPr>
        <w:t>community housing provider’s</w:t>
      </w:r>
      <w:r w:rsidR="000F180B">
        <w:rPr>
          <w:rFonts w:ascii="Arial" w:hAnsi="Arial" w:cs="Arial"/>
          <w:color w:val="000000"/>
          <w:szCs w:val="24"/>
          <w:lang w:eastAsia="en-AU"/>
        </w:rPr>
        <w:t xml:space="preserve"> registration is cancelled, </w:t>
      </w:r>
      <w:r>
        <w:rPr>
          <w:rFonts w:ascii="Arial" w:hAnsi="Arial" w:cs="Arial"/>
          <w:color w:val="000000"/>
          <w:szCs w:val="24"/>
          <w:lang w:eastAsia="en-AU"/>
        </w:rPr>
        <w:t xml:space="preserve">their exemption will cease to apply and </w:t>
      </w:r>
      <w:r w:rsidR="000F180B">
        <w:rPr>
          <w:rFonts w:ascii="Arial" w:hAnsi="Arial" w:cs="Arial"/>
          <w:color w:val="000000"/>
          <w:szCs w:val="24"/>
          <w:lang w:eastAsia="en-AU"/>
        </w:rPr>
        <w:t>they will be required to comply with the Agents Act 2003 and hold a licence</w:t>
      </w:r>
      <w:r>
        <w:rPr>
          <w:rFonts w:ascii="Arial" w:hAnsi="Arial" w:cs="Arial"/>
          <w:color w:val="000000"/>
          <w:szCs w:val="24"/>
          <w:lang w:eastAsia="en-AU"/>
        </w:rPr>
        <w:t xml:space="preserve"> if they intend to offer tenancy management services. This is because </w:t>
      </w:r>
      <w:r w:rsidR="00914AA6">
        <w:rPr>
          <w:rFonts w:ascii="Arial" w:hAnsi="Arial" w:cs="Arial"/>
          <w:color w:val="000000"/>
          <w:szCs w:val="24"/>
          <w:lang w:eastAsia="en-AU"/>
        </w:rPr>
        <w:t xml:space="preserve">they would no longer be required to comply with the NRSCH and subject to the oversight of the Registrar. </w:t>
      </w:r>
    </w:p>
    <w:p w14:paraId="25981DE4" w14:textId="77777777" w:rsidR="005E5B63" w:rsidRDefault="005E5B63" w:rsidP="00BA3236">
      <w:pPr>
        <w:spacing w:after="160"/>
        <w:rPr>
          <w:rFonts w:ascii="Arial" w:hAnsi="Arial" w:cs="Arial"/>
          <w:color w:val="000000"/>
          <w:szCs w:val="24"/>
          <w:lang w:eastAsia="en-AU"/>
        </w:rPr>
      </w:pPr>
    </w:p>
    <w:p w14:paraId="15678EEE" w14:textId="77777777" w:rsidR="005E5B63" w:rsidRPr="005E5B63" w:rsidRDefault="005E5B63" w:rsidP="005E5B63">
      <w:pPr>
        <w:rPr>
          <w:rFonts w:ascii="Arial" w:hAnsi="Arial" w:cs="Arial"/>
          <w:color w:val="000000"/>
          <w:szCs w:val="24"/>
          <w:lang w:eastAsia="en-AU"/>
        </w:rPr>
      </w:pPr>
    </w:p>
    <w:p w14:paraId="5991A828" w14:textId="77777777" w:rsidR="00D97982" w:rsidRDefault="00D97982" w:rsidP="00405342">
      <w:pPr>
        <w:rPr>
          <w:rFonts w:ascii="Arial" w:hAnsi="Arial" w:cs="Arial"/>
          <w:color w:val="000000"/>
          <w:szCs w:val="24"/>
          <w:lang w:eastAsia="en-AU"/>
        </w:rPr>
      </w:pPr>
    </w:p>
    <w:p w14:paraId="727981E5" w14:textId="77777777" w:rsidR="00D97982" w:rsidRPr="00405342" w:rsidRDefault="00D97982" w:rsidP="00405342">
      <w:pPr>
        <w:rPr>
          <w:rFonts w:ascii="Arial" w:hAnsi="Arial" w:cs="Arial"/>
          <w:color w:val="000000"/>
          <w:szCs w:val="24"/>
          <w:lang w:eastAsia="en-AU"/>
        </w:rPr>
      </w:pPr>
    </w:p>
    <w:sectPr w:rsidR="00D97982" w:rsidRPr="00405342" w:rsidSect="00C1618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3413CF" w14:textId="77777777" w:rsidR="00D77CE5" w:rsidRDefault="00D77CE5" w:rsidP="006815C9">
      <w:r>
        <w:separator/>
      </w:r>
    </w:p>
  </w:endnote>
  <w:endnote w:type="continuationSeparator" w:id="0">
    <w:p w14:paraId="5D6C1810" w14:textId="77777777" w:rsidR="00D77CE5" w:rsidRDefault="00D77CE5"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AA40D" w14:textId="77777777"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A3A7E" w14:textId="4D51CCFF" w:rsidR="00091D34" w:rsidRPr="003B0C70" w:rsidRDefault="003B0C70" w:rsidP="003B0C70">
    <w:pPr>
      <w:pStyle w:val="Footer"/>
      <w:jc w:val="center"/>
      <w:rPr>
        <w:rFonts w:cs="Arial"/>
        <w:sz w:val="14"/>
      </w:rPr>
    </w:pPr>
    <w:r w:rsidRPr="003B0C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4FE4D" w14:textId="77777777"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E4167" w14:textId="77777777" w:rsidR="00D77CE5" w:rsidRDefault="00D77CE5" w:rsidP="006815C9">
      <w:r>
        <w:separator/>
      </w:r>
    </w:p>
  </w:footnote>
  <w:footnote w:type="continuationSeparator" w:id="0">
    <w:p w14:paraId="544FBDF5" w14:textId="77777777" w:rsidR="00D77CE5" w:rsidRDefault="00D77CE5"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5E1AE" w14:textId="77777777"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4BD57" w14:textId="77777777"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C6C17" w14:textId="77777777"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0F314C6"/>
    <w:multiLevelType w:val="hybridMultilevel"/>
    <w:tmpl w:val="62526D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35872B8"/>
    <w:multiLevelType w:val="hybridMultilevel"/>
    <w:tmpl w:val="4192CBAA"/>
    <w:lvl w:ilvl="0" w:tplc="FFFFFFFF">
      <w:start w:val="1"/>
      <w:numFmt w:val="decimal"/>
      <w:pStyle w:val="CS-Paragraphnumbering"/>
      <w:lvlText w:val="%1."/>
      <w:lvlJc w:val="left"/>
      <w:pPr>
        <w:ind w:left="502" w:hanging="360"/>
      </w:pPr>
      <w:rPr>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33964456"/>
    <w:multiLevelType w:val="hybridMultilevel"/>
    <w:tmpl w:val="928CA770"/>
    <w:lvl w:ilvl="0" w:tplc="5CA244B0">
      <w:start w:val="4"/>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E625AE8"/>
    <w:multiLevelType w:val="hybridMultilevel"/>
    <w:tmpl w:val="7DD23DE8"/>
    <w:lvl w:ilvl="0" w:tplc="A86A8F6A">
      <w:numFmt w:val="bullet"/>
      <w:lvlText w:val=""/>
      <w:lvlJc w:val="left"/>
      <w:pPr>
        <w:ind w:left="720" w:hanging="360"/>
      </w:pPr>
      <w:rPr>
        <w:rFonts w:ascii="Symbol" w:eastAsia="Times New Roman" w:hAnsi="Symbol" w:cs="Arial" w:hint="default"/>
        <w:color w:val="00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31B6916"/>
    <w:multiLevelType w:val="hybridMultilevel"/>
    <w:tmpl w:val="71820470"/>
    <w:lvl w:ilvl="0" w:tplc="C5C6D5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5A496F86"/>
    <w:multiLevelType w:val="multilevel"/>
    <w:tmpl w:val="8EDAE0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81F45AC"/>
    <w:multiLevelType w:val="hybridMultilevel"/>
    <w:tmpl w:val="7BE68ADC"/>
    <w:lvl w:ilvl="0" w:tplc="65807E1C">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2130583420">
    <w:abstractNumId w:val="2"/>
  </w:num>
  <w:num w:numId="2" w16cid:durableId="1458913944">
    <w:abstractNumId w:val="0"/>
  </w:num>
  <w:num w:numId="3" w16cid:durableId="106437700">
    <w:abstractNumId w:val="3"/>
  </w:num>
  <w:num w:numId="4" w16cid:durableId="1886408061">
    <w:abstractNumId w:val="9"/>
  </w:num>
  <w:num w:numId="5" w16cid:durableId="2019623294">
    <w:abstractNumId w:val="15"/>
  </w:num>
  <w:num w:numId="6" w16cid:durableId="108011302">
    <w:abstractNumId w:val="1"/>
  </w:num>
  <w:num w:numId="7" w16cid:durableId="1337462549">
    <w:abstractNumId w:val="7"/>
  </w:num>
  <w:num w:numId="8" w16cid:durableId="445396006">
    <w:abstractNumId w:val="8"/>
  </w:num>
  <w:num w:numId="9" w16cid:durableId="804664932">
    <w:abstractNumId w:val="12"/>
  </w:num>
  <w:num w:numId="10" w16cid:durableId="454914249">
    <w:abstractNumId w:val="6"/>
  </w:num>
  <w:num w:numId="11" w16cid:durableId="1493137477">
    <w:abstractNumId w:val="11"/>
  </w:num>
  <w:num w:numId="12" w16cid:durableId="2905064">
    <w:abstractNumId w:val="4"/>
  </w:num>
  <w:num w:numId="13" w16cid:durableId="307831327">
    <w:abstractNumId w:val="13"/>
  </w:num>
  <w:num w:numId="14" w16cid:durableId="680201534">
    <w:abstractNumId w:val="5"/>
  </w:num>
  <w:num w:numId="15" w16cid:durableId="2083482509">
    <w:abstractNumId w:val="10"/>
  </w:num>
  <w:num w:numId="16" w16cid:durableId="146735613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54E4D"/>
    <w:rsid w:val="00091D34"/>
    <w:rsid w:val="00095DB0"/>
    <w:rsid w:val="000A4528"/>
    <w:rsid w:val="000A55FE"/>
    <w:rsid w:val="000D32A8"/>
    <w:rsid w:val="000F180B"/>
    <w:rsid w:val="001124A8"/>
    <w:rsid w:val="00116603"/>
    <w:rsid w:val="00181CC0"/>
    <w:rsid w:val="001848B7"/>
    <w:rsid w:val="00187C66"/>
    <w:rsid w:val="001945FF"/>
    <w:rsid w:val="001A46FD"/>
    <w:rsid w:val="001B7E5A"/>
    <w:rsid w:val="00256646"/>
    <w:rsid w:val="00284E67"/>
    <w:rsid w:val="00295AA2"/>
    <w:rsid w:val="002F2EA9"/>
    <w:rsid w:val="003114A0"/>
    <w:rsid w:val="0031482C"/>
    <w:rsid w:val="003161B5"/>
    <w:rsid w:val="003447B6"/>
    <w:rsid w:val="00360B4B"/>
    <w:rsid w:val="00375552"/>
    <w:rsid w:val="00390D0A"/>
    <w:rsid w:val="003B0C70"/>
    <w:rsid w:val="003F2F44"/>
    <w:rsid w:val="00401013"/>
    <w:rsid w:val="00405342"/>
    <w:rsid w:val="00443C77"/>
    <w:rsid w:val="00452000"/>
    <w:rsid w:val="00495C31"/>
    <w:rsid w:val="004B2E41"/>
    <w:rsid w:val="004D5F6C"/>
    <w:rsid w:val="004E3146"/>
    <w:rsid w:val="00501524"/>
    <w:rsid w:val="005071A3"/>
    <w:rsid w:val="005139DD"/>
    <w:rsid w:val="0058727B"/>
    <w:rsid w:val="005B0E4F"/>
    <w:rsid w:val="005C6D78"/>
    <w:rsid w:val="005D3707"/>
    <w:rsid w:val="005E5B63"/>
    <w:rsid w:val="00635A6E"/>
    <w:rsid w:val="006476FE"/>
    <w:rsid w:val="006477DF"/>
    <w:rsid w:val="006507A5"/>
    <w:rsid w:val="0065623B"/>
    <w:rsid w:val="006771F6"/>
    <w:rsid w:val="006815C9"/>
    <w:rsid w:val="0068204C"/>
    <w:rsid w:val="006D5ACC"/>
    <w:rsid w:val="006D63EC"/>
    <w:rsid w:val="006E7046"/>
    <w:rsid w:val="0071185D"/>
    <w:rsid w:val="00731CF7"/>
    <w:rsid w:val="00746819"/>
    <w:rsid w:val="00774426"/>
    <w:rsid w:val="007958A2"/>
    <w:rsid w:val="007A02E6"/>
    <w:rsid w:val="007B1692"/>
    <w:rsid w:val="007B6E75"/>
    <w:rsid w:val="007B6F78"/>
    <w:rsid w:val="008224A9"/>
    <w:rsid w:val="008326B5"/>
    <w:rsid w:val="008511EC"/>
    <w:rsid w:val="00876345"/>
    <w:rsid w:val="008B2DAE"/>
    <w:rsid w:val="00914AA6"/>
    <w:rsid w:val="0094127C"/>
    <w:rsid w:val="009B0662"/>
    <w:rsid w:val="009C64C5"/>
    <w:rsid w:val="009F287A"/>
    <w:rsid w:val="00A100CA"/>
    <w:rsid w:val="00A109EA"/>
    <w:rsid w:val="00A133E6"/>
    <w:rsid w:val="00A14436"/>
    <w:rsid w:val="00A50ED9"/>
    <w:rsid w:val="00A572EB"/>
    <w:rsid w:val="00A67714"/>
    <w:rsid w:val="00A71679"/>
    <w:rsid w:val="00A96471"/>
    <w:rsid w:val="00AC36D9"/>
    <w:rsid w:val="00B04C70"/>
    <w:rsid w:val="00B2151A"/>
    <w:rsid w:val="00B5058F"/>
    <w:rsid w:val="00B51992"/>
    <w:rsid w:val="00B52195"/>
    <w:rsid w:val="00B73CFE"/>
    <w:rsid w:val="00B81AB4"/>
    <w:rsid w:val="00B9134D"/>
    <w:rsid w:val="00BA3236"/>
    <w:rsid w:val="00BA4CE6"/>
    <w:rsid w:val="00C1618B"/>
    <w:rsid w:val="00CB23D0"/>
    <w:rsid w:val="00CE50DB"/>
    <w:rsid w:val="00CF6471"/>
    <w:rsid w:val="00D23CD6"/>
    <w:rsid w:val="00D31320"/>
    <w:rsid w:val="00D37737"/>
    <w:rsid w:val="00D51D71"/>
    <w:rsid w:val="00D713D7"/>
    <w:rsid w:val="00D77CE5"/>
    <w:rsid w:val="00D97982"/>
    <w:rsid w:val="00E034D8"/>
    <w:rsid w:val="00E059FE"/>
    <w:rsid w:val="00E23358"/>
    <w:rsid w:val="00E432C2"/>
    <w:rsid w:val="00EC3C76"/>
    <w:rsid w:val="00EE4443"/>
    <w:rsid w:val="00EF4D8B"/>
    <w:rsid w:val="00F356A8"/>
    <w:rsid w:val="00F5371D"/>
    <w:rsid w:val="00F637D6"/>
    <w:rsid w:val="00F733F5"/>
    <w:rsid w:val="00FA19E3"/>
    <w:rsid w:val="00FB2949"/>
    <w:rsid w:val="00FD1F0F"/>
    <w:rsid w:val="00FF1DE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40B1F8"/>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uiPriority w:val="99"/>
    <w:semiHidden/>
    <w:rsid w:val="00C1618B"/>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NormalWeb">
    <w:name w:val="Normal (Web)"/>
    <w:basedOn w:val="Normal"/>
    <w:uiPriority w:val="99"/>
    <w:semiHidden/>
    <w:unhideWhenUsed/>
    <w:rsid w:val="007958A2"/>
    <w:pPr>
      <w:spacing w:before="100" w:beforeAutospacing="1" w:after="100" w:afterAutospacing="1"/>
    </w:pPr>
    <w:rPr>
      <w:szCs w:val="24"/>
      <w:lang w:eastAsia="en-AU"/>
    </w:rPr>
  </w:style>
  <w:style w:type="character" w:customStyle="1" w:styleId="ui-provider">
    <w:name w:val="ui-provider"/>
    <w:basedOn w:val="DefaultParagraphFont"/>
    <w:rsid w:val="000D32A8"/>
  </w:style>
  <w:style w:type="paragraph" w:styleId="ListParagraph">
    <w:name w:val="List Paragraph"/>
    <w:basedOn w:val="Normal"/>
    <w:uiPriority w:val="34"/>
    <w:qFormat/>
    <w:rsid w:val="00FF1DE9"/>
    <w:pPr>
      <w:ind w:left="720"/>
      <w:contextualSpacing/>
    </w:pPr>
  </w:style>
  <w:style w:type="character" w:customStyle="1" w:styleId="FootnoteTextChar">
    <w:name w:val="Footnote Text Char"/>
    <w:basedOn w:val="DefaultParagraphFont"/>
    <w:link w:val="FootnoteText"/>
    <w:uiPriority w:val="99"/>
    <w:rsid w:val="00EF4D8B"/>
    <w:rPr>
      <w:sz w:val="24"/>
      <w:szCs w:val="24"/>
      <w:lang w:eastAsia="en-US"/>
    </w:rPr>
  </w:style>
  <w:style w:type="paragraph" w:customStyle="1" w:styleId="CS-Paragraphnumbering">
    <w:name w:val="CS - Paragraph numbering"/>
    <w:basedOn w:val="Normal"/>
    <w:rsid w:val="00F637D6"/>
    <w:pPr>
      <w:numPr>
        <w:numId w:val="14"/>
      </w:numPr>
      <w:spacing w:after="120" w:line="276" w:lineRule="auto"/>
      <w:ind w:right="-45"/>
    </w:pPr>
    <w:rPr>
      <w:rFonts w:asciiTheme="minorHAnsi" w:eastAsiaTheme="minorHAnsi" w:hAnsiTheme="minorHAnsi" w:cstheme="minorBidi"/>
      <w:szCs w:val="24"/>
    </w:rPr>
  </w:style>
  <w:style w:type="paragraph" w:styleId="Revision">
    <w:name w:val="Revision"/>
    <w:hidden/>
    <w:uiPriority w:val="99"/>
    <w:semiHidden/>
    <w:rsid w:val="00746819"/>
    <w:rPr>
      <w:sz w:val="24"/>
      <w:lang w:eastAsia="en-US"/>
    </w:rPr>
  </w:style>
  <w:style w:type="character" w:styleId="CommentReference">
    <w:name w:val="annotation reference"/>
    <w:basedOn w:val="DefaultParagraphFont"/>
    <w:uiPriority w:val="99"/>
    <w:semiHidden/>
    <w:unhideWhenUsed/>
    <w:rsid w:val="00B2151A"/>
    <w:rPr>
      <w:sz w:val="16"/>
      <w:szCs w:val="16"/>
    </w:rPr>
  </w:style>
  <w:style w:type="paragraph" w:styleId="CommentText">
    <w:name w:val="annotation text"/>
    <w:basedOn w:val="Normal"/>
    <w:link w:val="CommentTextChar"/>
    <w:uiPriority w:val="99"/>
    <w:unhideWhenUsed/>
    <w:rsid w:val="00B2151A"/>
    <w:rPr>
      <w:sz w:val="20"/>
    </w:rPr>
  </w:style>
  <w:style w:type="character" w:customStyle="1" w:styleId="CommentTextChar">
    <w:name w:val="Comment Text Char"/>
    <w:basedOn w:val="DefaultParagraphFont"/>
    <w:link w:val="CommentText"/>
    <w:uiPriority w:val="99"/>
    <w:rsid w:val="00B2151A"/>
    <w:rPr>
      <w:lang w:eastAsia="en-US"/>
    </w:rPr>
  </w:style>
  <w:style w:type="paragraph" w:styleId="CommentSubject">
    <w:name w:val="annotation subject"/>
    <w:basedOn w:val="CommentText"/>
    <w:next w:val="CommentText"/>
    <w:link w:val="CommentSubjectChar"/>
    <w:uiPriority w:val="99"/>
    <w:semiHidden/>
    <w:unhideWhenUsed/>
    <w:rsid w:val="00B2151A"/>
    <w:rPr>
      <w:b/>
      <w:bCs/>
    </w:rPr>
  </w:style>
  <w:style w:type="character" w:customStyle="1" w:styleId="CommentSubjectChar">
    <w:name w:val="Comment Subject Char"/>
    <w:basedOn w:val="CommentTextChar"/>
    <w:link w:val="CommentSubject"/>
    <w:uiPriority w:val="99"/>
    <w:semiHidden/>
    <w:rsid w:val="00B2151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7707199">
      <w:bodyDiv w:val="1"/>
      <w:marLeft w:val="0"/>
      <w:marRight w:val="0"/>
      <w:marTop w:val="0"/>
      <w:marBottom w:val="0"/>
      <w:divBdr>
        <w:top w:val="none" w:sz="0" w:space="0" w:color="auto"/>
        <w:left w:val="none" w:sz="0" w:space="0" w:color="auto"/>
        <w:bottom w:val="none" w:sz="0" w:space="0" w:color="auto"/>
        <w:right w:val="none" w:sz="0" w:space="0" w:color="auto"/>
      </w:divBdr>
    </w:div>
    <w:div w:id="1184589522">
      <w:bodyDiv w:val="1"/>
      <w:marLeft w:val="0"/>
      <w:marRight w:val="0"/>
      <w:marTop w:val="0"/>
      <w:marBottom w:val="0"/>
      <w:divBdr>
        <w:top w:val="none" w:sz="0" w:space="0" w:color="auto"/>
        <w:left w:val="none" w:sz="0" w:space="0" w:color="auto"/>
        <w:bottom w:val="none" w:sz="0" w:space="0" w:color="auto"/>
        <w:right w:val="none" w:sz="0" w:space="0" w:color="auto"/>
      </w:divBdr>
    </w:div>
    <w:div w:id="1853296489">
      <w:bodyDiv w:val="1"/>
      <w:marLeft w:val="0"/>
      <w:marRight w:val="0"/>
      <w:marTop w:val="0"/>
      <w:marBottom w:val="0"/>
      <w:divBdr>
        <w:top w:val="none" w:sz="0" w:space="0" w:color="auto"/>
        <w:left w:val="none" w:sz="0" w:space="0" w:color="auto"/>
        <w:bottom w:val="none" w:sz="0" w:space="0" w:color="auto"/>
        <w:right w:val="none" w:sz="0" w:space="0" w:color="auto"/>
      </w:divBdr>
    </w:div>
    <w:div w:id="2013095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FD1613-8023-4896-A37A-35A091437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1123</Words>
  <Characters>6132</Characters>
  <Application>Microsoft Office Word</Application>
  <DocSecurity>0</DocSecurity>
  <Lines>129</Lines>
  <Paragraphs>47</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2024-09-12T06:06:00Z</dcterms:created>
  <dcterms:modified xsi:type="dcterms:W3CDTF">2024-09-12T06:06:00Z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2024-08-08T04:11:07Z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a9a857b3-f0f8-4b52-95c2-0026c6e79ac2</vt:lpwstr>
  </property>
  <property fmtid="{D5CDD505-2E9C-101B-9397-08002B2CF9AE}" pid="8" name="MSIP_Label_69af8531-eb46-4968-8cb3-105d2f5ea87e_ContentBits">
    <vt:lpwstr>0</vt:lpwstr>
  </property>
</Properties>
</file>