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47654" w14:textId="77777777" w:rsidR="00B952FA" w:rsidRPr="000B68A1" w:rsidRDefault="00B952FA">
      <w:pPr>
        <w:spacing w:before="120"/>
        <w:rPr>
          <w:rFonts w:ascii="Arial" w:hAnsi="Arial" w:cs="Arial"/>
        </w:rPr>
      </w:pPr>
      <w:r w:rsidRPr="000B68A1">
        <w:rPr>
          <w:rFonts w:ascii="Arial" w:hAnsi="Arial" w:cs="Arial"/>
        </w:rPr>
        <w:t>Australian Capital Territory</w:t>
      </w:r>
    </w:p>
    <w:p w14:paraId="2D6B2950" w14:textId="1AAB0FB1" w:rsidR="00076CF0" w:rsidRDefault="00076CF0" w:rsidP="00DF082B">
      <w:pPr>
        <w:spacing w:before="340"/>
        <w:rPr>
          <w:rFonts w:ascii="Arial" w:hAnsi="Arial" w:cs="Arial"/>
          <w:b/>
          <w:sz w:val="40"/>
        </w:rPr>
      </w:pPr>
      <w:r w:rsidRPr="00076CF0">
        <w:rPr>
          <w:rFonts w:ascii="Arial" w:hAnsi="Arial" w:cs="Arial"/>
          <w:b/>
          <w:sz w:val="40"/>
        </w:rPr>
        <w:t xml:space="preserve">Road Transport (General) </w:t>
      </w:r>
      <w:r w:rsidR="00F50816">
        <w:rPr>
          <w:rFonts w:ascii="Arial" w:hAnsi="Arial" w:cs="Arial"/>
          <w:b/>
          <w:sz w:val="40"/>
        </w:rPr>
        <w:t xml:space="preserve">Exclusion </w:t>
      </w:r>
      <w:r w:rsidRPr="00076CF0">
        <w:rPr>
          <w:rFonts w:ascii="Arial" w:hAnsi="Arial" w:cs="Arial"/>
          <w:b/>
          <w:sz w:val="40"/>
        </w:rPr>
        <w:t xml:space="preserve">of Road Transport Legislation </w:t>
      </w:r>
      <w:r w:rsidR="00F50816">
        <w:rPr>
          <w:rFonts w:ascii="Arial" w:hAnsi="Arial" w:cs="Arial"/>
          <w:b/>
          <w:sz w:val="40"/>
        </w:rPr>
        <w:t xml:space="preserve">(Summernats) </w:t>
      </w:r>
      <w:r w:rsidRPr="00D43F07">
        <w:rPr>
          <w:rFonts w:ascii="Arial" w:hAnsi="Arial" w:cs="Arial"/>
          <w:b/>
          <w:sz w:val="40"/>
        </w:rPr>
        <w:t>Declaration 202</w:t>
      </w:r>
      <w:r w:rsidR="00553022">
        <w:rPr>
          <w:rFonts w:ascii="Arial" w:hAnsi="Arial" w:cs="Arial"/>
          <w:b/>
          <w:sz w:val="40"/>
        </w:rPr>
        <w:t>4</w:t>
      </w:r>
      <w:r w:rsidRPr="00D43F07">
        <w:rPr>
          <w:rFonts w:ascii="Arial" w:hAnsi="Arial" w:cs="Arial"/>
          <w:b/>
          <w:sz w:val="40"/>
        </w:rPr>
        <w:t xml:space="preserve"> (No </w:t>
      </w:r>
      <w:r w:rsidR="00C8452C" w:rsidRPr="00D43F07">
        <w:rPr>
          <w:rFonts w:ascii="Arial" w:hAnsi="Arial" w:cs="Arial"/>
          <w:b/>
          <w:sz w:val="40"/>
        </w:rPr>
        <w:t>1</w:t>
      </w:r>
      <w:r w:rsidRPr="00D43F07">
        <w:rPr>
          <w:rFonts w:ascii="Arial" w:hAnsi="Arial" w:cs="Arial"/>
          <w:b/>
          <w:sz w:val="40"/>
        </w:rPr>
        <w:t>)</w:t>
      </w:r>
      <w:r w:rsidRPr="00076CF0">
        <w:rPr>
          <w:rFonts w:ascii="Arial" w:hAnsi="Arial" w:cs="Arial"/>
          <w:b/>
          <w:sz w:val="40"/>
        </w:rPr>
        <w:t xml:space="preserve"> </w:t>
      </w:r>
    </w:p>
    <w:p w14:paraId="793523EE" w14:textId="1C63D45C" w:rsidR="00B952FA" w:rsidRPr="000B68A1" w:rsidRDefault="00DF082B" w:rsidP="00DF082B">
      <w:pPr>
        <w:spacing w:before="340"/>
        <w:rPr>
          <w:rFonts w:ascii="Arial" w:hAnsi="Arial" w:cs="Arial"/>
          <w:b/>
          <w:bCs/>
        </w:rPr>
      </w:pPr>
      <w:r w:rsidRPr="000B68A1">
        <w:rPr>
          <w:rFonts w:ascii="Arial" w:hAnsi="Arial" w:cs="Arial"/>
          <w:b/>
          <w:bCs/>
        </w:rPr>
        <w:t>Disallowable instrument DI20</w:t>
      </w:r>
      <w:r w:rsidR="00B04FC7" w:rsidRPr="000B68A1">
        <w:rPr>
          <w:rFonts w:ascii="Arial" w:hAnsi="Arial" w:cs="Arial"/>
          <w:b/>
          <w:bCs/>
        </w:rPr>
        <w:t>2</w:t>
      </w:r>
      <w:r w:rsidR="00553022">
        <w:rPr>
          <w:rFonts w:ascii="Arial" w:hAnsi="Arial" w:cs="Arial"/>
          <w:b/>
          <w:bCs/>
        </w:rPr>
        <w:t>4</w:t>
      </w:r>
      <w:r w:rsidRPr="000B68A1">
        <w:rPr>
          <w:rFonts w:ascii="Arial" w:hAnsi="Arial" w:cs="Arial"/>
          <w:b/>
          <w:bCs/>
        </w:rPr>
        <w:t>—</w:t>
      </w:r>
      <w:r w:rsidR="00CA2554">
        <w:rPr>
          <w:rFonts w:ascii="Arial" w:hAnsi="Arial" w:cs="Arial"/>
          <w:b/>
          <w:bCs/>
        </w:rPr>
        <w:t>320</w:t>
      </w:r>
    </w:p>
    <w:p w14:paraId="55142356" w14:textId="77777777" w:rsidR="000B68A1" w:rsidRDefault="000B68A1" w:rsidP="000B68A1">
      <w:pPr>
        <w:pStyle w:val="madeunder"/>
        <w:spacing w:before="300" w:after="0"/>
      </w:pPr>
      <w:r>
        <w:t xml:space="preserve">made under the  </w:t>
      </w:r>
    </w:p>
    <w:p w14:paraId="678BC4C7" w14:textId="77777777" w:rsidR="001C3F01" w:rsidRPr="00F169F5" w:rsidRDefault="001C3F01" w:rsidP="001C3F01">
      <w:pPr>
        <w:pStyle w:val="CoverActName"/>
        <w:spacing w:after="120"/>
        <w:rPr>
          <w:color w:val="000000"/>
          <w:sz w:val="20"/>
          <w:vertAlign w:val="superscript"/>
        </w:rPr>
      </w:pPr>
      <w:r w:rsidRPr="00F169F5">
        <w:rPr>
          <w:i/>
          <w:iCs/>
          <w:color w:val="000000"/>
          <w:sz w:val="20"/>
        </w:rPr>
        <w:t>Road Transport (General) Act 1999</w:t>
      </w:r>
      <w:r w:rsidRPr="00F169F5">
        <w:rPr>
          <w:color w:val="000000"/>
          <w:sz w:val="20"/>
        </w:rPr>
        <w:t>, section</w:t>
      </w:r>
      <w:r>
        <w:rPr>
          <w:color w:val="000000"/>
          <w:sz w:val="20"/>
        </w:rPr>
        <w:t>s 12 (</w:t>
      </w:r>
      <w:r w:rsidRPr="002305DF">
        <w:rPr>
          <w:color w:val="000000"/>
          <w:sz w:val="20"/>
        </w:rPr>
        <w:t>Power to include or exclude areas in road transport legislation</w:t>
      </w:r>
      <w:r>
        <w:rPr>
          <w:color w:val="000000"/>
          <w:sz w:val="20"/>
        </w:rPr>
        <w:t>) and</w:t>
      </w:r>
      <w:r w:rsidRPr="00F169F5">
        <w:rPr>
          <w:color w:val="000000"/>
          <w:sz w:val="20"/>
        </w:rPr>
        <w:t xml:space="preserve"> 13 (Power to exclude vehicles, persons or animals from road transport legislation)</w:t>
      </w:r>
    </w:p>
    <w:p w14:paraId="06B05887" w14:textId="542501CA" w:rsidR="00B952FA" w:rsidRPr="000B68A1" w:rsidRDefault="000B68A1" w:rsidP="000B68A1">
      <w:pPr>
        <w:spacing w:before="360"/>
        <w:ind w:right="565"/>
        <w:rPr>
          <w:rFonts w:ascii="Arial" w:hAnsi="Arial" w:cs="Arial"/>
          <w:b/>
          <w:bCs/>
          <w:sz w:val="28"/>
          <w:szCs w:val="28"/>
        </w:rPr>
      </w:pPr>
      <w:r>
        <w:rPr>
          <w:rFonts w:ascii="Arial" w:hAnsi="Arial" w:cs="Arial"/>
          <w:b/>
          <w:bCs/>
          <w:sz w:val="28"/>
          <w:szCs w:val="28"/>
        </w:rPr>
        <w:t>EXPLANATORY STATEMENT</w:t>
      </w:r>
    </w:p>
    <w:p w14:paraId="3640EF36" w14:textId="77777777" w:rsidR="007F4C56" w:rsidRPr="007F4C56" w:rsidRDefault="007F4C56" w:rsidP="00D60FA2"/>
    <w:p w14:paraId="671CB79D" w14:textId="77777777" w:rsidR="00B952FA" w:rsidRDefault="00B952FA" w:rsidP="00B04FC7">
      <w:pPr>
        <w:pStyle w:val="N-line3"/>
        <w:pBdr>
          <w:top w:val="single" w:sz="12" w:space="1" w:color="auto"/>
          <w:bottom w:val="none" w:sz="0" w:space="0" w:color="auto"/>
        </w:pBdr>
        <w:spacing w:line="276" w:lineRule="auto"/>
      </w:pPr>
    </w:p>
    <w:p w14:paraId="70BBDDE7" w14:textId="009B83F8" w:rsidR="001C3F01" w:rsidRDefault="001C3F01" w:rsidP="00B04FC7">
      <w:pPr>
        <w:spacing w:before="60" w:after="60" w:line="276" w:lineRule="auto"/>
        <w:rPr>
          <w:szCs w:val="24"/>
        </w:rPr>
      </w:pPr>
      <w:r>
        <w:rPr>
          <w:szCs w:val="24"/>
        </w:rPr>
        <w:t xml:space="preserve">Section 12 (1) (b) of the </w:t>
      </w:r>
      <w:r w:rsidRPr="005D0A67">
        <w:rPr>
          <w:i/>
          <w:iCs/>
          <w:szCs w:val="24"/>
        </w:rPr>
        <w:t>Road Transport (General) Act 1999</w:t>
      </w:r>
      <w:r w:rsidRPr="005D0A67">
        <w:rPr>
          <w:szCs w:val="24"/>
        </w:rPr>
        <w:t xml:space="preserve"> (the Act)</w:t>
      </w:r>
      <w:r>
        <w:rPr>
          <w:szCs w:val="24"/>
        </w:rPr>
        <w:t xml:space="preserve"> provides that the Minister may declare that the </w:t>
      </w:r>
      <w:r w:rsidRPr="005D0A67">
        <w:rPr>
          <w:szCs w:val="24"/>
        </w:rPr>
        <w:t>road transport legislation, or a provision of the road transport legislation, does not appl</w:t>
      </w:r>
      <w:r>
        <w:rPr>
          <w:szCs w:val="24"/>
        </w:rPr>
        <w:t>y to a road or road related area.</w:t>
      </w:r>
      <w:r w:rsidRPr="001C3F01">
        <w:rPr>
          <w:szCs w:val="24"/>
        </w:rPr>
        <w:t xml:space="preserve"> </w:t>
      </w:r>
      <w:r w:rsidRPr="005D0A67">
        <w:rPr>
          <w:szCs w:val="24"/>
        </w:rPr>
        <w:t>Subsection 1</w:t>
      </w:r>
      <w:r>
        <w:rPr>
          <w:szCs w:val="24"/>
        </w:rPr>
        <w:t>2</w:t>
      </w:r>
      <w:r w:rsidRPr="005D0A67">
        <w:rPr>
          <w:szCs w:val="24"/>
        </w:rPr>
        <w:t xml:space="preserve"> (3) of the Act makes such a declaration a disallowable instrument.</w:t>
      </w:r>
    </w:p>
    <w:p w14:paraId="78240B84" w14:textId="462275AC" w:rsidR="00B04FC7" w:rsidRPr="005D0A67" w:rsidRDefault="00B04FC7" w:rsidP="00B04FC7">
      <w:pPr>
        <w:spacing w:before="60" w:after="60" w:line="276" w:lineRule="auto"/>
        <w:rPr>
          <w:szCs w:val="24"/>
        </w:rPr>
      </w:pPr>
      <w:r w:rsidRPr="005D0A67">
        <w:rPr>
          <w:szCs w:val="24"/>
        </w:rPr>
        <w:t>Section 13 (1) of the</w:t>
      </w:r>
      <w:r w:rsidR="001C3F01">
        <w:rPr>
          <w:szCs w:val="24"/>
        </w:rPr>
        <w:t xml:space="preserve"> Act</w:t>
      </w:r>
      <w:r w:rsidRPr="005D0A67">
        <w:rPr>
          <w:szCs w:val="24"/>
        </w:rPr>
        <w:t xml:space="preserve"> provides that the Minister may declare that the road transport legislation, or a provision of the road transport legislation, does not apply to a vehicle, person or animal in a place or circumstance stated in the declaration. Subsection 13 (3) of the Act makes such a declaration a disallowable instrument.</w:t>
      </w:r>
    </w:p>
    <w:p w14:paraId="29F37428" w14:textId="0A528151" w:rsidR="005D0A67" w:rsidRPr="005D0A67" w:rsidRDefault="005D0A67" w:rsidP="005D0A67">
      <w:pPr>
        <w:spacing w:before="60" w:after="60" w:line="276" w:lineRule="auto"/>
        <w:rPr>
          <w:szCs w:val="24"/>
        </w:rPr>
      </w:pPr>
      <w:r w:rsidRPr="005D0A67">
        <w:rPr>
          <w:szCs w:val="24"/>
        </w:rPr>
        <w:t xml:space="preserve">The Summernats </w:t>
      </w:r>
      <w:r w:rsidR="009338E8">
        <w:rPr>
          <w:szCs w:val="24"/>
        </w:rPr>
        <w:t>3</w:t>
      </w:r>
      <w:r w:rsidR="00553022">
        <w:rPr>
          <w:szCs w:val="24"/>
        </w:rPr>
        <w:t>7</w:t>
      </w:r>
      <w:r w:rsidR="009338E8">
        <w:rPr>
          <w:szCs w:val="24"/>
        </w:rPr>
        <w:t>th</w:t>
      </w:r>
      <w:r w:rsidRPr="005D0A67">
        <w:rPr>
          <w:szCs w:val="24"/>
        </w:rPr>
        <w:t xml:space="preserve"> Car Festival</w:t>
      </w:r>
      <w:r w:rsidR="009338E8">
        <w:rPr>
          <w:szCs w:val="24"/>
        </w:rPr>
        <w:t xml:space="preserve"> (Summernats 3</w:t>
      </w:r>
      <w:r w:rsidR="00553022">
        <w:rPr>
          <w:szCs w:val="24"/>
        </w:rPr>
        <w:t>7</w:t>
      </w:r>
      <w:r w:rsidR="009338E8">
        <w:rPr>
          <w:szCs w:val="24"/>
        </w:rPr>
        <w:t>)</w:t>
      </w:r>
      <w:r w:rsidRPr="005D0A67">
        <w:rPr>
          <w:szCs w:val="24"/>
        </w:rPr>
        <w:t xml:space="preserve"> is to be held at Exhibition Park in Canberra </w:t>
      </w:r>
      <w:r w:rsidR="00990D66">
        <w:rPr>
          <w:szCs w:val="24"/>
        </w:rPr>
        <w:t xml:space="preserve">(EPIC) </w:t>
      </w:r>
      <w:r w:rsidRPr="005D0A67">
        <w:rPr>
          <w:szCs w:val="24"/>
        </w:rPr>
        <w:t xml:space="preserve">from </w:t>
      </w:r>
      <w:r w:rsidR="00B544FA">
        <w:rPr>
          <w:szCs w:val="24"/>
        </w:rPr>
        <w:t>2</w:t>
      </w:r>
      <w:r w:rsidRPr="00D43F07">
        <w:rPr>
          <w:szCs w:val="24"/>
        </w:rPr>
        <w:t> January 202</w:t>
      </w:r>
      <w:r w:rsidR="00B544FA">
        <w:rPr>
          <w:szCs w:val="24"/>
        </w:rPr>
        <w:t>5</w:t>
      </w:r>
      <w:r w:rsidRPr="00D43F07">
        <w:rPr>
          <w:szCs w:val="24"/>
        </w:rPr>
        <w:t xml:space="preserve"> to </w:t>
      </w:r>
      <w:r w:rsidR="00B544FA">
        <w:rPr>
          <w:szCs w:val="24"/>
        </w:rPr>
        <w:t>5</w:t>
      </w:r>
      <w:r w:rsidR="00B544FA" w:rsidRPr="00D43F07">
        <w:rPr>
          <w:szCs w:val="24"/>
        </w:rPr>
        <w:t> </w:t>
      </w:r>
      <w:r w:rsidRPr="00D43F07">
        <w:rPr>
          <w:szCs w:val="24"/>
        </w:rPr>
        <w:t>January </w:t>
      </w:r>
      <w:r w:rsidR="00B544FA" w:rsidRPr="00D43F07">
        <w:rPr>
          <w:szCs w:val="24"/>
        </w:rPr>
        <w:t>202</w:t>
      </w:r>
      <w:r w:rsidR="00B544FA">
        <w:rPr>
          <w:szCs w:val="24"/>
        </w:rPr>
        <w:t>5</w:t>
      </w:r>
      <w:r w:rsidR="00B544FA" w:rsidRPr="00D43F07">
        <w:rPr>
          <w:szCs w:val="24"/>
        </w:rPr>
        <w:t xml:space="preserve"> </w:t>
      </w:r>
      <w:r w:rsidRPr="00D43F07">
        <w:rPr>
          <w:szCs w:val="24"/>
        </w:rPr>
        <w:t>(inclusive</w:t>
      </w:r>
      <w:r w:rsidRPr="005D0A67">
        <w:rPr>
          <w:szCs w:val="24"/>
        </w:rPr>
        <w:t xml:space="preserve">). The event consists of a number of competitive motor vehicle events, including burnouts, </w:t>
      </w:r>
      <w:r w:rsidR="000E1267">
        <w:rPr>
          <w:szCs w:val="24"/>
        </w:rPr>
        <w:t xml:space="preserve">and </w:t>
      </w:r>
      <w:r w:rsidRPr="005D0A67">
        <w:rPr>
          <w:szCs w:val="24"/>
        </w:rPr>
        <w:t xml:space="preserve">horsepower performance tests. The vehicles competing in these events may be highly modified registered or unregistered vehicles which, due to their modifications, may be unable to comply with Australian Vehicle Standards or Australian Design Rules or </w:t>
      </w:r>
      <w:r w:rsidR="0035731B">
        <w:rPr>
          <w:szCs w:val="24"/>
        </w:rPr>
        <w:t xml:space="preserve">be </w:t>
      </w:r>
      <w:r w:rsidRPr="005D0A67">
        <w:rPr>
          <w:szCs w:val="24"/>
        </w:rPr>
        <w:t>operated by interstate drivers with high powered vehicle restriction</w:t>
      </w:r>
      <w:r w:rsidR="0035731B">
        <w:rPr>
          <w:szCs w:val="24"/>
        </w:rPr>
        <w:t>s</w:t>
      </w:r>
      <w:r w:rsidRPr="005D0A67">
        <w:rPr>
          <w:szCs w:val="24"/>
        </w:rPr>
        <w:t xml:space="preserve"> on their interstate driver licence.</w:t>
      </w:r>
    </w:p>
    <w:p w14:paraId="14147AF5" w14:textId="655ABB2A" w:rsidR="007A2223" w:rsidRPr="005D0A67" w:rsidRDefault="00C2385E" w:rsidP="00BC229A">
      <w:pPr>
        <w:spacing w:before="60" w:after="60" w:line="276" w:lineRule="auto"/>
        <w:rPr>
          <w:szCs w:val="24"/>
        </w:rPr>
      </w:pPr>
      <w:r w:rsidRPr="005D0A67">
        <w:rPr>
          <w:szCs w:val="24"/>
        </w:rPr>
        <w:t xml:space="preserve">This </w:t>
      </w:r>
      <w:r w:rsidR="00BC229A">
        <w:rPr>
          <w:szCs w:val="24"/>
        </w:rPr>
        <w:t>I</w:t>
      </w:r>
      <w:r w:rsidRPr="005D0A67">
        <w:rPr>
          <w:szCs w:val="24"/>
        </w:rPr>
        <w:t xml:space="preserve">nstrument contains </w:t>
      </w:r>
      <w:r w:rsidR="00F25E6A">
        <w:rPr>
          <w:szCs w:val="24"/>
        </w:rPr>
        <w:t>five</w:t>
      </w:r>
      <w:r w:rsidR="00F25E6A" w:rsidRPr="005D0A67">
        <w:rPr>
          <w:szCs w:val="24"/>
        </w:rPr>
        <w:t xml:space="preserve"> </w:t>
      </w:r>
      <w:r w:rsidRPr="005D0A67">
        <w:rPr>
          <w:szCs w:val="24"/>
        </w:rPr>
        <w:t>declarations under section</w:t>
      </w:r>
      <w:r w:rsidR="00F25E6A">
        <w:rPr>
          <w:szCs w:val="24"/>
        </w:rPr>
        <w:t xml:space="preserve"> 12 (1) and</w:t>
      </w:r>
      <w:r w:rsidRPr="005D0A67">
        <w:rPr>
          <w:szCs w:val="24"/>
        </w:rPr>
        <w:t xml:space="preserve"> 13 (1)</w:t>
      </w:r>
      <w:r w:rsidR="00B04FC7" w:rsidRPr="005D0A67">
        <w:rPr>
          <w:szCs w:val="24"/>
        </w:rPr>
        <w:t xml:space="preserve"> </w:t>
      </w:r>
      <w:r w:rsidR="00555098">
        <w:rPr>
          <w:szCs w:val="24"/>
        </w:rPr>
        <w:t xml:space="preserve">of the Act </w:t>
      </w:r>
      <w:r w:rsidR="00B04FC7" w:rsidRPr="005D0A67">
        <w:rPr>
          <w:szCs w:val="24"/>
        </w:rPr>
        <w:t xml:space="preserve">to </w:t>
      </w:r>
      <w:r w:rsidR="0035731B">
        <w:rPr>
          <w:szCs w:val="24"/>
        </w:rPr>
        <w:t xml:space="preserve">support </w:t>
      </w:r>
      <w:r w:rsidR="00B04FC7" w:rsidRPr="005D0A67">
        <w:rPr>
          <w:szCs w:val="24"/>
        </w:rPr>
        <w:t xml:space="preserve">Summernats </w:t>
      </w:r>
      <w:r w:rsidR="00B544FA">
        <w:rPr>
          <w:szCs w:val="24"/>
        </w:rPr>
        <w:t>37</w:t>
      </w:r>
      <w:r w:rsidR="005D0A67" w:rsidRPr="005D0A67">
        <w:rPr>
          <w:szCs w:val="24"/>
        </w:rPr>
        <w:t>. These are:</w:t>
      </w:r>
    </w:p>
    <w:p w14:paraId="70BDC52B" w14:textId="7E6E757F" w:rsidR="005600BF" w:rsidRPr="005D0A67" w:rsidRDefault="005600BF" w:rsidP="005D0A67">
      <w:pPr>
        <w:numPr>
          <w:ilvl w:val="0"/>
          <w:numId w:val="5"/>
        </w:numPr>
        <w:spacing w:before="20" w:after="20" w:line="276" w:lineRule="auto"/>
        <w:ind w:left="714" w:hanging="357"/>
        <w:rPr>
          <w:i/>
          <w:szCs w:val="24"/>
        </w:rPr>
      </w:pPr>
      <w:r w:rsidRPr="005D0A67">
        <w:rPr>
          <w:szCs w:val="24"/>
        </w:rPr>
        <w:t>Clause 3</w:t>
      </w:r>
      <w:r w:rsidR="00202ED8">
        <w:rPr>
          <w:szCs w:val="24"/>
        </w:rPr>
        <w:t xml:space="preserve"> </w:t>
      </w:r>
      <w:r w:rsidRPr="005D0A67">
        <w:rPr>
          <w:szCs w:val="24"/>
        </w:rPr>
        <w:t xml:space="preserve">- disapplying section 5B of the </w:t>
      </w:r>
      <w:r w:rsidRPr="005D0A67">
        <w:rPr>
          <w:i/>
          <w:szCs w:val="24"/>
        </w:rPr>
        <w:t>Road Transport (Safety and Traffic Management) Act 1999</w:t>
      </w:r>
      <w:r w:rsidR="00B04FC7" w:rsidRPr="005D0A67">
        <w:rPr>
          <w:i/>
          <w:szCs w:val="24"/>
        </w:rPr>
        <w:t>;</w:t>
      </w:r>
    </w:p>
    <w:p w14:paraId="3B41FD5B" w14:textId="2A2630EB" w:rsidR="007A2223" w:rsidRPr="0043684C" w:rsidRDefault="005600BF" w:rsidP="0043684C">
      <w:pPr>
        <w:numPr>
          <w:ilvl w:val="0"/>
          <w:numId w:val="5"/>
        </w:numPr>
        <w:spacing w:before="20" w:after="20" w:line="276" w:lineRule="auto"/>
        <w:ind w:left="714" w:hanging="357"/>
        <w:rPr>
          <w:szCs w:val="24"/>
        </w:rPr>
      </w:pPr>
      <w:r w:rsidRPr="005D0A67">
        <w:rPr>
          <w:szCs w:val="24"/>
        </w:rPr>
        <w:t>Clause 4</w:t>
      </w:r>
      <w:r w:rsidR="00202ED8">
        <w:rPr>
          <w:szCs w:val="24"/>
        </w:rPr>
        <w:t xml:space="preserve"> </w:t>
      </w:r>
      <w:r w:rsidRPr="005D0A67">
        <w:rPr>
          <w:szCs w:val="24"/>
        </w:rPr>
        <w:t xml:space="preserve">- </w:t>
      </w:r>
      <w:r w:rsidR="0043684C" w:rsidRPr="005D0A67">
        <w:rPr>
          <w:szCs w:val="24"/>
        </w:rPr>
        <w:t xml:space="preserve">disapplying provisions of the </w:t>
      </w:r>
      <w:r w:rsidR="0043684C" w:rsidRPr="005D0A67">
        <w:rPr>
          <w:i/>
          <w:szCs w:val="24"/>
        </w:rPr>
        <w:t>Road Transport (Vehicle Registration) Act 1999</w:t>
      </w:r>
      <w:r w:rsidR="0043684C" w:rsidRPr="005D0A67">
        <w:rPr>
          <w:szCs w:val="24"/>
        </w:rPr>
        <w:t xml:space="preserve"> and </w:t>
      </w:r>
      <w:r w:rsidR="0043684C" w:rsidRPr="005C647C">
        <w:rPr>
          <w:iCs/>
          <w:szCs w:val="24"/>
        </w:rPr>
        <w:t>Road Transport (Vehicle Registration) Regulation 2000;</w:t>
      </w:r>
      <w:r w:rsidR="0043684C" w:rsidRPr="005D0A67">
        <w:rPr>
          <w:szCs w:val="24"/>
        </w:rPr>
        <w:t xml:space="preserve"> </w:t>
      </w:r>
    </w:p>
    <w:p w14:paraId="6DA153EA" w14:textId="5F50C5F3" w:rsidR="007A2223" w:rsidRPr="005D0A67" w:rsidRDefault="005600BF" w:rsidP="005D0A67">
      <w:pPr>
        <w:numPr>
          <w:ilvl w:val="0"/>
          <w:numId w:val="5"/>
        </w:numPr>
        <w:spacing w:before="20" w:after="20" w:line="276" w:lineRule="auto"/>
        <w:ind w:left="714" w:hanging="357"/>
        <w:rPr>
          <w:szCs w:val="24"/>
        </w:rPr>
      </w:pPr>
      <w:r w:rsidRPr="005D0A67">
        <w:rPr>
          <w:szCs w:val="24"/>
        </w:rPr>
        <w:t>Clause 5</w:t>
      </w:r>
      <w:r w:rsidR="00202ED8">
        <w:rPr>
          <w:szCs w:val="24"/>
        </w:rPr>
        <w:t xml:space="preserve"> </w:t>
      </w:r>
      <w:r w:rsidRPr="005D0A67">
        <w:rPr>
          <w:szCs w:val="24"/>
        </w:rPr>
        <w:t>-</w:t>
      </w:r>
      <w:r w:rsidR="005D7457" w:rsidRPr="005D0A67">
        <w:rPr>
          <w:szCs w:val="24"/>
        </w:rPr>
        <w:t xml:space="preserve"> </w:t>
      </w:r>
      <w:r w:rsidR="0043684C" w:rsidRPr="005D0A67">
        <w:rPr>
          <w:szCs w:val="24"/>
        </w:rPr>
        <w:t xml:space="preserve">disapplying section 60 of the </w:t>
      </w:r>
      <w:r w:rsidR="0043684C" w:rsidRPr="005C647C">
        <w:rPr>
          <w:iCs/>
          <w:szCs w:val="24"/>
        </w:rPr>
        <w:t>Road Transport (Driver Licensing) Regulation 2000;</w:t>
      </w:r>
      <w:r w:rsidR="0043684C">
        <w:rPr>
          <w:szCs w:val="24"/>
        </w:rPr>
        <w:t xml:space="preserve"> </w:t>
      </w:r>
    </w:p>
    <w:p w14:paraId="345F16DA" w14:textId="2FED1D00" w:rsidR="00B952FA" w:rsidRDefault="005600BF" w:rsidP="005D0A67">
      <w:pPr>
        <w:numPr>
          <w:ilvl w:val="0"/>
          <w:numId w:val="5"/>
        </w:numPr>
        <w:spacing w:before="20" w:after="20" w:line="276" w:lineRule="auto"/>
        <w:ind w:left="714" w:hanging="357"/>
        <w:rPr>
          <w:szCs w:val="24"/>
        </w:rPr>
      </w:pPr>
      <w:r w:rsidRPr="005D0A67">
        <w:rPr>
          <w:szCs w:val="24"/>
        </w:rPr>
        <w:lastRenderedPageBreak/>
        <w:t>Clause 6</w:t>
      </w:r>
      <w:r w:rsidR="00202ED8">
        <w:rPr>
          <w:szCs w:val="24"/>
        </w:rPr>
        <w:t xml:space="preserve"> </w:t>
      </w:r>
      <w:r w:rsidRPr="005D0A67">
        <w:rPr>
          <w:szCs w:val="24"/>
        </w:rPr>
        <w:t xml:space="preserve">- </w:t>
      </w:r>
      <w:r w:rsidR="0043684C">
        <w:rPr>
          <w:szCs w:val="24"/>
        </w:rPr>
        <w:t xml:space="preserve">disapplying section 185 of the </w:t>
      </w:r>
      <w:r w:rsidR="0043684C" w:rsidRPr="005C647C">
        <w:rPr>
          <w:iCs/>
        </w:rPr>
        <w:t>Road Transport (Road Rules) Regulation 2017</w:t>
      </w:r>
      <w:r w:rsidR="0043684C">
        <w:rPr>
          <w:iCs/>
        </w:rPr>
        <w:t xml:space="preserve">; </w:t>
      </w:r>
      <w:r w:rsidR="00F25E6A">
        <w:rPr>
          <w:szCs w:val="24"/>
        </w:rPr>
        <w:t>and</w:t>
      </w:r>
    </w:p>
    <w:p w14:paraId="27DF5AEA" w14:textId="4BDB789D" w:rsidR="00F25E6A" w:rsidRDefault="00F25E6A" w:rsidP="005D0A67">
      <w:pPr>
        <w:numPr>
          <w:ilvl w:val="0"/>
          <w:numId w:val="5"/>
        </w:numPr>
        <w:spacing w:before="20" w:after="20" w:line="276" w:lineRule="auto"/>
        <w:ind w:left="714" w:hanging="357"/>
        <w:rPr>
          <w:szCs w:val="24"/>
        </w:rPr>
      </w:pPr>
      <w:r>
        <w:rPr>
          <w:szCs w:val="24"/>
        </w:rPr>
        <w:t xml:space="preserve">Clause 7 – </w:t>
      </w:r>
      <w:r w:rsidR="0043684C" w:rsidRPr="005D0A67">
        <w:rPr>
          <w:szCs w:val="24"/>
        </w:rPr>
        <w:t xml:space="preserve">disapplying the </w:t>
      </w:r>
      <w:r w:rsidR="0043684C" w:rsidRPr="005D0A67">
        <w:rPr>
          <w:i/>
          <w:szCs w:val="24"/>
        </w:rPr>
        <w:t>Motor Accident Injuries Act 2019</w:t>
      </w:r>
      <w:r w:rsidRPr="005C647C">
        <w:rPr>
          <w:iCs/>
        </w:rPr>
        <w:t>.</w:t>
      </w:r>
    </w:p>
    <w:p w14:paraId="36859CEA" w14:textId="016741F9" w:rsidR="0043684C" w:rsidRDefault="0043684C" w:rsidP="0034681C">
      <w:pPr>
        <w:spacing w:before="60" w:after="60" w:line="276" w:lineRule="auto"/>
        <w:rPr>
          <w:szCs w:val="24"/>
        </w:rPr>
      </w:pPr>
      <w:r>
        <w:rPr>
          <w:szCs w:val="24"/>
        </w:rPr>
        <w:t xml:space="preserve">The declarations at clauses 3-6 are the responsibility of the Minister for City and Government Services, while the declaration at clause 7 is the responsibility of the Minister for Finance. </w:t>
      </w:r>
    </w:p>
    <w:p w14:paraId="28B2ED19" w14:textId="162F7AC5" w:rsidR="0034681C" w:rsidRDefault="00BC229A" w:rsidP="0034681C">
      <w:pPr>
        <w:spacing w:before="60" w:after="60" w:line="276" w:lineRule="auto"/>
        <w:rPr>
          <w:i/>
          <w:iCs/>
          <w:szCs w:val="24"/>
        </w:rPr>
      </w:pPr>
      <w:r w:rsidRPr="00BC229A">
        <w:rPr>
          <w:szCs w:val="24"/>
        </w:rPr>
        <w:t xml:space="preserve">This Declaration is a disallowable instrument and must be presented to the Legislative Assembly within 6 sitting days after its notification pursuant to </w:t>
      </w:r>
      <w:r w:rsidR="000E1267">
        <w:rPr>
          <w:szCs w:val="24"/>
        </w:rPr>
        <w:t>s</w:t>
      </w:r>
      <w:r w:rsidRPr="00BC229A">
        <w:rPr>
          <w:szCs w:val="24"/>
        </w:rPr>
        <w:t xml:space="preserve">ection 64 of the </w:t>
      </w:r>
      <w:r w:rsidRPr="00BC229A">
        <w:rPr>
          <w:i/>
          <w:iCs/>
          <w:szCs w:val="24"/>
        </w:rPr>
        <w:t>Legislation Act 2001.</w:t>
      </w:r>
    </w:p>
    <w:p w14:paraId="20191CD0" w14:textId="24032BC5" w:rsidR="005D0A67" w:rsidRPr="00BC229A" w:rsidRDefault="005D0A67" w:rsidP="0034681C">
      <w:pPr>
        <w:spacing w:before="60" w:after="60" w:line="276" w:lineRule="auto"/>
        <w:rPr>
          <w:i/>
          <w:iCs/>
          <w:szCs w:val="24"/>
        </w:rPr>
      </w:pPr>
      <w:r>
        <w:rPr>
          <w:b/>
          <w:bCs/>
          <w:color w:val="000000"/>
          <w:sz w:val="28"/>
          <w:szCs w:val="28"/>
          <w:shd w:val="clear" w:color="auto" w:fill="FFFFFF"/>
        </w:rPr>
        <w:t>Human rights implications</w:t>
      </w:r>
    </w:p>
    <w:p w14:paraId="1602A1D9" w14:textId="71C4D2D0" w:rsidR="005D0A67" w:rsidRDefault="005D0A67" w:rsidP="005D0A67">
      <w:pPr>
        <w:pStyle w:val="NormalWeb"/>
        <w:shd w:val="clear" w:color="auto" w:fill="FFFFFF"/>
        <w:spacing w:beforeLines="60" w:before="144" w:beforeAutospacing="0" w:afterLines="60" w:after="144" w:afterAutospacing="0" w:line="276" w:lineRule="auto"/>
        <w:rPr>
          <w:color w:val="000000"/>
        </w:rPr>
      </w:pPr>
      <w:r>
        <w:rPr>
          <w:color w:val="000000"/>
        </w:rPr>
        <w:t xml:space="preserve">During the development of this Instrument, due regard was given to its effect and the operation of </w:t>
      </w:r>
      <w:r w:rsidR="0035731B">
        <w:rPr>
          <w:color w:val="000000"/>
        </w:rPr>
        <w:t xml:space="preserve">Summernats </w:t>
      </w:r>
      <w:r w:rsidR="00F25E6A">
        <w:rPr>
          <w:color w:val="000000"/>
        </w:rPr>
        <w:t xml:space="preserve">37 </w:t>
      </w:r>
      <w:r>
        <w:rPr>
          <w:color w:val="000000"/>
        </w:rPr>
        <w:t>in relation to the compatibility with human rights as set out in the </w:t>
      </w:r>
      <w:r>
        <w:rPr>
          <w:i/>
          <w:iCs/>
          <w:color w:val="000000"/>
        </w:rPr>
        <w:t>Human Rights Act 2004</w:t>
      </w:r>
      <w:r>
        <w:rPr>
          <w:color w:val="000000"/>
        </w:rPr>
        <w:t> (HRA).</w:t>
      </w:r>
    </w:p>
    <w:p w14:paraId="0CFC38BF" w14:textId="32FD0E29" w:rsidR="005D0A67" w:rsidRPr="005D0A67" w:rsidRDefault="005D0A67" w:rsidP="005D0A67">
      <w:pPr>
        <w:pStyle w:val="NormalWeb"/>
        <w:shd w:val="clear" w:color="auto" w:fill="FFFFFF"/>
        <w:spacing w:beforeLines="60" w:before="144" w:beforeAutospacing="0" w:afterLines="60" w:after="144" w:afterAutospacing="0" w:line="276" w:lineRule="auto"/>
        <w:rPr>
          <w:color w:val="000000"/>
        </w:rPr>
      </w:pPr>
      <w:r>
        <w:rPr>
          <w:color w:val="000000"/>
        </w:rPr>
        <w:t>Section 28 of the HRA provides that human rights may be subject only to reasonable limits set by laws that can be demonstrably justified in a free and democratic society.</w:t>
      </w:r>
    </w:p>
    <w:p w14:paraId="4319C1F1" w14:textId="77777777" w:rsidR="005D0A67" w:rsidRDefault="005D0A67" w:rsidP="005D0A67">
      <w:pPr>
        <w:pStyle w:val="NormalWeb"/>
        <w:shd w:val="clear" w:color="auto" w:fill="FFFFFF"/>
        <w:spacing w:beforeLines="60" w:before="144" w:beforeAutospacing="0" w:afterLines="60" w:after="144" w:afterAutospacing="0" w:line="276" w:lineRule="auto"/>
        <w:rPr>
          <w:color w:val="000000"/>
        </w:rPr>
      </w:pPr>
      <w:r>
        <w:rPr>
          <w:color w:val="000000"/>
        </w:rPr>
        <w:t>Section 28 (2) of the HRA provides that in deciding whether a limit on a human right is reasonable, all relevant factors must be considered, including:</w:t>
      </w:r>
    </w:p>
    <w:p w14:paraId="4E320A20" w14:textId="77777777" w:rsidR="005D0A67" w:rsidRDefault="005D0A67" w:rsidP="00BC229A">
      <w:pPr>
        <w:pStyle w:val="NormalWeb"/>
        <w:shd w:val="clear" w:color="auto" w:fill="FFFFFF"/>
        <w:spacing w:before="20" w:beforeAutospacing="0" w:after="20" w:afterAutospacing="0" w:line="276" w:lineRule="auto"/>
        <w:ind w:left="720"/>
        <w:rPr>
          <w:color w:val="000000"/>
        </w:rPr>
      </w:pPr>
      <w:r>
        <w:rPr>
          <w:color w:val="000000"/>
        </w:rPr>
        <w:t>a) the nature of the right affected</w:t>
      </w:r>
    </w:p>
    <w:p w14:paraId="70BB43B7" w14:textId="77777777" w:rsidR="005D0A67" w:rsidRDefault="005D0A67" w:rsidP="00BC229A">
      <w:pPr>
        <w:pStyle w:val="NormalWeb"/>
        <w:shd w:val="clear" w:color="auto" w:fill="FFFFFF"/>
        <w:spacing w:before="20" w:beforeAutospacing="0" w:after="20" w:afterAutospacing="0" w:line="276" w:lineRule="auto"/>
        <w:ind w:left="720"/>
        <w:rPr>
          <w:color w:val="000000"/>
        </w:rPr>
      </w:pPr>
      <w:r>
        <w:rPr>
          <w:color w:val="000000"/>
        </w:rPr>
        <w:t>b) the importance of the limitation</w:t>
      </w:r>
    </w:p>
    <w:p w14:paraId="5B21B85E" w14:textId="77777777" w:rsidR="005D0A67" w:rsidRDefault="005D0A67" w:rsidP="00BC229A">
      <w:pPr>
        <w:pStyle w:val="NormalWeb"/>
        <w:shd w:val="clear" w:color="auto" w:fill="FFFFFF"/>
        <w:spacing w:before="20" w:beforeAutospacing="0" w:after="20" w:afterAutospacing="0" w:line="276" w:lineRule="auto"/>
        <w:ind w:left="720"/>
        <w:rPr>
          <w:color w:val="000000"/>
        </w:rPr>
      </w:pPr>
      <w:r>
        <w:rPr>
          <w:color w:val="000000"/>
        </w:rPr>
        <w:t>c) the nature and extent of the limitation</w:t>
      </w:r>
    </w:p>
    <w:p w14:paraId="37AAD5C6" w14:textId="77777777" w:rsidR="005D0A67" w:rsidRDefault="005D0A67" w:rsidP="00BC229A">
      <w:pPr>
        <w:pStyle w:val="NormalWeb"/>
        <w:shd w:val="clear" w:color="auto" w:fill="FFFFFF"/>
        <w:spacing w:before="20" w:beforeAutospacing="0" w:after="20" w:afterAutospacing="0" w:line="276" w:lineRule="auto"/>
        <w:ind w:left="720"/>
        <w:rPr>
          <w:color w:val="000000"/>
        </w:rPr>
      </w:pPr>
      <w:r>
        <w:rPr>
          <w:color w:val="000000"/>
        </w:rPr>
        <w:t>d) the relationship between the limitation and its purpose</w:t>
      </w:r>
    </w:p>
    <w:p w14:paraId="2D207355" w14:textId="2D463E8B" w:rsidR="00BC229A" w:rsidRDefault="005D0A67" w:rsidP="00BC229A">
      <w:pPr>
        <w:pStyle w:val="NormalWeb"/>
        <w:shd w:val="clear" w:color="auto" w:fill="FFFFFF"/>
        <w:spacing w:before="20" w:beforeAutospacing="0" w:after="20" w:afterAutospacing="0" w:line="276" w:lineRule="auto"/>
        <w:ind w:left="720"/>
        <w:rPr>
          <w:color w:val="000000"/>
        </w:rPr>
      </w:pPr>
      <w:r>
        <w:rPr>
          <w:color w:val="000000"/>
        </w:rPr>
        <w:t>e) any less restrictive means reasonably available to achieve the purpose the limitation seeks to achieve.</w:t>
      </w:r>
    </w:p>
    <w:p w14:paraId="7442B036" w14:textId="3BBFD96F" w:rsidR="005D0A67" w:rsidRDefault="005D0A67" w:rsidP="00BC229A">
      <w:pPr>
        <w:spacing w:beforeLines="60" w:before="144" w:afterLines="60" w:after="144" w:line="276" w:lineRule="auto"/>
        <w:rPr>
          <w:color w:val="000000"/>
        </w:rPr>
      </w:pPr>
      <w:r w:rsidRPr="00BC229A">
        <w:rPr>
          <w:szCs w:val="24"/>
        </w:rPr>
        <w:t>Section</w:t>
      </w:r>
      <w:r>
        <w:rPr>
          <w:color w:val="000000"/>
        </w:rPr>
        <w:t xml:space="preserve"> 13 of the HRA provides a right for people to move freely within the ACT.</w:t>
      </w:r>
    </w:p>
    <w:p w14:paraId="160F7EC6" w14:textId="0B67740D" w:rsidR="005D0A67" w:rsidRDefault="005D0A67" w:rsidP="00BC229A">
      <w:pPr>
        <w:pStyle w:val="default0"/>
        <w:shd w:val="clear" w:color="auto" w:fill="FFFFFF"/>
        <w:spacing w:beforeLines="60" w:before="144" w:beforeAutospacing="0" w:afterLines="60" w:after="144" w:afterAutospacing="0" w:line="276" w:lineRule="auto"/>
        <w:rPr>
          <w:color w:val="000000"/>
          <w:shd w:val="clear" w:color="auto" w:fill="FFFFFF"/>
        </w:rPr>
      </w:pPr>
      <w:r>
        <w:rPr>
          <w:color w:val="000000"/>
          <w:shd w:val="clear" w:color="auto" w:fill="FFFFFF"/>
        </w:rPr>
        <w:t xml:space="preserve">The declarations in this </w:t>
      </w:r>
      <w:r w:rsidR="0035731B">
        <w:rPr>
          <w:color w:val="000000"/>
          <w:shd w:val="clear" w:color="auto" w:fill="FFFFFF"/>
        </w:rPr>
        <w:t>I</w:t>
      </w:r>
      <w:r>
        <w:rPr>
          <w:color w:val="000000"/>
          <w:shd w:val="clear" w:color="auto" w:fill="FFFFFF"/>
        </w:rPr>
        <w:t xml:space="preserve">nstrument do not of themselves restrict a person’s freedom of movement within the Territory, however the operation of the event in closing parts of </w:t>
      </w:r>
      <w:r w:rsidR="00990D66">
        <w:rPr>
          <w:color w:val="000000"/>
          <w:shd w:val="clear" w:color="auto" w:fill="FFFFFF"/>
        </w:rPr>
        <w:t>EPIC</w:t>
      </w:r>
      <w:r>
        <w:rPr>
          <w:color w:val="000000"/>
          <w:shd w:val="clear" w:color="auto" w:fill="FFFFFF"/>
        </w:rPr>
        <w:t xml:space="preserve"> in which Summernats </w:t>
      </w:r>
      <w:r w:rsidR="00B544FA">
        <w:rPr>
          <w:color w:val="000000"/>
          <w:shd w:val="clear" w:color="auto" w:fill="FFFFFF"/>
        </w:rPr>
        <w:t xml:space="preserve">37 </w:t>
      </w:r>
      <w:r>
        <w:rPr>
          <w:color w:val="000000"/>
          <w:shd w:val="clear" w:color="auto" w:fill="FFFFFF"/>
        </w:rPr>
        <w:t>will be conducted to members of the public will restrict the free movement of people in that area of the Territory during the event.</w:t>
      </w:r>
    </w:p>
    <w:p w14:paraId="7EDE0504" w14:textId="0995D7A5" w:rsidR="00BC229A" w:rsidRDefault="005D0A67" w:rsidP="00BC229A">
      <w:pPr>
        <w:pStyle w:val="default0"/>
        <w:shd w:val="clear" w:color="auto" w:fill="FFFFFF"/>
        <w:spacing w:beforeLines="60" w:before="144" w:beforeAutospacing="0" w:afterLines="60" w:after="144" w:afterAutospacing="0" w:line="276" w:lineRule="auto"/>
        <w:rPr>
          <w:color w:val="000000"/>
          <w:shd w:val="clear" w:color="auto" w:fill="FFFFFF"/>
        </w:rPr>
      </w:pPr>
      <w:r>
        <w:rPr>
          <w:color w:val="000000"/>
          <w:shd w:val="clear" w:color="auto" w:fill="FFFFFF"/>
        </w:rPr>
        <w:t xml:space="preserve">As parts of the road transport legislation are being disapplied for Summernats </w:t>
      </w:r>
      <w:r w:rsidR="00B544FA">
        <w:rPr>
          <w:color w:val="000000"/>
          <w:shd w:val="clear" w:color="auto" w:fill="FFFFFF"/>
        </w:rPr>
        <w:t xml:space="preserve">37 </w:t>
      </w:r>
      <w:r>
        <w:rPr>
          <w:color w:val="000000"/>
          <w:shd w:val="clear" w:color="auto" w:fill="FFFFFF"/>
        </w:rPr>
        <w:t xml:space="preserve">to operate as intended, highly modified vehicles will be travelling in parts of </w:t>
      </w:r>
      <w:r w:rsidR="00990D66">
        <w:rPr>
          <w:color w:val="000000"/>
          <w:shd w:val="clear" w:color="auto" w:fill="FFFFFF"/>
        </w:rPr>
        <w:t>EPIC</w:t>
      </w:r>
      <w:r>
        <w:rPr>
          <w:color w:val="000000"/>
          <w:shd w:val="clear" w:color="auto" w:fill="FFFFFF"/>
        </w:rPr>
        <w:t xml:space="preserve"> in a manner not consistent with the road rules. As such, the restriction on the free movement of people in parts of </w:t>
      </w:r>
      <w:r w:rsidR="00990D66">
        <w:rPr>
          <w:color w:val="000000"/>
          <w:shd w:val="clear" w:color="auto" w:fill="FFFFFF"/>
        </w:rPr>
        <w:t>EPIC</w:t>
      </w:r>
      <w:r>
        <w:rPr>
          <w:color w:val="000000"/>
          <w:shd w:val="clear" w:color="auto" w:fill="FFFFFF"/>
        </w:rPr>
        <w:t xml:space="preserve"> at those times is considered reasonable and proportionate to ensure safety of non-participants and represents the least restrictive approach that enables the event to proceed.</w:t>
      </w:r>
    </w:p>
    <w:p w14:paraId="6438949E" w14:textId="1B4D374E" w:rsidR="005D0A67" w:rsidRDefault="00BC229A" w:rsidP="00307047">
      <w:pPr>
        <w:keepNext/>
        <w:spacing w:before="60" w:after="60" w:line="276" w:lineRule="auto"/>
        <w:rPr>
          <w:b/>
          <w:bCs/>
          <w:color w:val="000000"/>
          <w:sz w:val="28"/>
          <w:szCs w:val="28"/>
          <w:shd w:val="clear" w:color="auto" w:fill="FFFFFF"/>
        </w:rPr>
      </w:pPr>
      <w:r>
        <w:rPr>
          <w:b/>
          <w:bCs/>
          <w:color w:val="000000"/>
          <w:sz w:val="28"/>
          <w:szCs w:val="28"/>
          <w:shd w:val="clear" w:color="auto" w:fill="FFFFFF"/>
        </w:rPr>
        <w:lastRenderedPageBreak/>
        <w:t>Climate change implications</w:t>
      </w:r>
    </w:p>
    <w:p w14:paraId="0EBE032A" w14:textId="2D13D1EF" w:rsidR="00BC229A" w:rsidRPr="00BC229A" w:rsidRDefault="00BC229A" w:rsidP="00BC229A">
      <w:pPr>
        <w:pStyle w:val="BodyText"/>
        <w:spacing w:before="60" w:after="60" w:line="276" w:lineRule="auto"/>
        <w:rPr>
          <w:szCs w:val="24"/>
        </w:rPr>
      </w:pPr>
      <w:r w:rsidRPr="00BC229A">
        <w:rPr>
          <w:szCs w:val="24"/>
        </w:rPr>
        <w:t xml:space="preserve">An Environmental Authorisation issued to </w:t>
      </w:r>
      <w:r w:rsidR="00990D66">
        <w:rPr>
          <w:szCs w:val="24"/>
        </w:rPr>
        <w:t>EPIC</w:t>
      </w:r>
      <w:r w:rsidRPr="00BC229A">
        <w:rPr>
          <w:szCs w:val="24"/>
        </w:rPr>
        <w:t xml:space="preserve"> by the Environment Protection Authority (EPA) will be in place for the Summernats </w:t>
      </w:r>
      <w:r w:rsidR="00B544FA">
        <w:rPr>
          <w:szCs w:val="24"/>
        </w:rPr>
        <w:t>37</w:t>
      </w:r>
      <w:r w:rsidR="006F049C">
        <w:rPr>
          <w:szCs w:val="24"/>
        </w:rPr>
        <w:t xml:space="preserve"> event</w:t>
      </w:r>
      <w:r w:rsidRPr="00BC229A">
        <w:rPr>
          <w:szCs w:val="24"/>
        </w:rPr>
        <w:t>.</w:t>
      </w:r>
    </w:p>
    <w:p w14:paraId="76DBD722" w14:textId="1771199E" w:rsidR="00295F0B" w:rsidRPr="00BC229A" w:rsidRDefault="00BC229A" w:rsidP="00307047">
      <w:pPr>
        <w:spacing w:before="240" w:after="60" w:line="276" w:lineRule="auto"/>
        <w:rPr>
          <w:b/>
          <w:bCs/>
          <w:color w:val="000000"/>
          <w:sz w:val="28"/>
          <w:szCs w:val="28"/>
          <w:shd w:val="clear" w:color="auto" w:fill="FFFFFF"/>
        </w:rPr>
      </w:pPr>
      <w:r>
        <w:rPr>
          <w:b/>
          <w:bCs/>
          <w:color w:val="000000"/>
          <w:sz w:val="28"/>
          <w:szCs w:val="28"/>
          <w:shd w:val="clear" w:color="auto" w:fill="FFFFFF"/>
        </w:rPr>
        <w:t>Clause notes</w:t>
      </w:r>
    </w:p>
    <w:p w14:paraId="28486F98" w14:textId="6DC6EE72" w:rsidR="003B7036" w:rsidRPr="00975FBC" w:rsidRDefault="003B7036" w:rsidP="00B04FC7">
      <w:pPr>
        <w:spacing w:before="60" w:after="60" w:line="276" w:lineRule="auto"/>
        <w:rPr>
          <w:color w:val="000000"/>
          <w:szCs w:val="24"/>
        </w:rPr>
      </w:pPr>
      <w:r w:rsidRPr="00975FBC">
        <w:rPr>
          <w:b/>
          <w:color w:val="000000"/>
          <w:szCs w:val="24"/>
        </w:rPr>
        <w:t>Clause 1</w:t>
      </w:r>
      <w:r w:rsidRPr="00975FBC">
        <w:rPr>
          <w:color w:val="000000"/>
          <w:szCs w:val="24"/>
        </w:rPr>
        <w:t xml:space="preserve"> is a formal provision that provides for the name of the instrument.</w:t>
      </w:r>
    </w:p>
    <w:p w14:paraId="1BAADDD2" w14:textId="77777777" w:rsidR="00975FBC" w:rsidRPr="00975FBC" w:rsidRDefault="003B7036" w:rsidP="00BC229A">
      <w:pPr>
        <w:spacing w:before="60" w:after="60" w:line="276" w:lineRule="auto"/>
        <w:rPr>
          <w:color w:val="000000"/>
          <w:szCs w:val="24"/>
        </w:rPr>
      </w:pPr>
      <w:r w:rsidRPr="00975FBC">
        <w:rPr>
          <w:b/>
          <w:color w:val="000000"/>
          <w:szCs w:val="24"/>
        </w:rPr>
        <w:t>Clause 2</w:t>
      </w:r>
      <w:r w:rsidRPr="00975FBC">
        <w:rPr>
          <w:color w:val="000000"/>
          <w:szCs w:val="24"/>
        </w:rPr>
        <w:t xml:space="preserve"> explains </w:t>
      </w:r>
      <w:r w:rsidR="00242E3E" w:rsidRPr="00975FBC">
        <w:rPr>
          <w:color w:val="000000"/>
          <w:szCs w:val="24"/>
        </w:rPr>
        <w:t xml:space="preserve">when the </w:t>
      </w:r>
      <w:r w:rsidR="005600BF" w:rsidRPr="00975FBC">
        <w:rPr>
          <w:color w:val="000000"/>
          <w:szCs w:val="24"/>
        </w:rPr>
        <w:t xml:space="preserve">specific clauses of the </w:t>
      </w:r>
      <w:r w:rsidR="00242E3E" w:rsidRPr="00975FBC">
        <w:rPr>
          <w:color w:val="000000"/>
          <w:szCs w:val="24"/>
        </w:rPr>
        <w:t>instrument commence.</w:t>
      </w:r>
      <w:r w:rsidR="00384EE5" w:rsidRPr="00975FBC">
        <w:rPr>
          <w:color w:val="000000"/>
          <w:szCs w:val="24"/>
        </w:rPr>
        <w:t xml:space="preserve"> </w:t>
      </w:r>
    </w:p>
    <w:p w14:paraId="69FC0D3D" w14:textId="3F18C8C3" w:rsidR="00BC229A" w:rsidRPr="00975FBC" w:rsidRDefault="00384EE5" w:rsidP="00BC229A">
      <w:pPr>
        <w:spacing w:before="60" w:after="60" w:line="276" w:lineRule="auto"/>
        <w:rPr>
          <w:szCs w:val="24"/>
        </w:rPr>
      </w:pPr>
      <w:r w:rsidRPr="00975FBC">
        <w:rPr>
          <w:color w:val="000000"/>
          <w:szCs w:val="24"/>
        </w:rPr>
        <w:t>Although</w:t>
      </w:r>
      <w:r w:rsidRPr="00975FBC">
        <w:rPr>
          <w:szCs w:val="24"/>
        </w:rPr>
        <w:t xml:space="preserve"> the event officially begins on </w:t>
      </w:r>
      <w:r w:rsidR="00B544FA">
        <w:rPr>
          <w:szCs w:val="24"/>
        </w:rPr>
        <w:t>2</w:t>
      </w:r>
      <w:r w:rsidR="00B544FA" w:rsidRPr="00975FBC">
        <w:rPr>
          <w:szCs w:val="24"/>
        </w:rPr>
        <w:t> </w:t>
      </w:r>
      <w:r w:rsidRPr="00975FBC">
        <w:rPr>
          <w:szCs w:val="24"/>
        </w:rPr>
        <w:t>January 20</w:t>
      </w:r>
      <w:r w:rsidR="005A4B1B" w:rsidRPr="00975FBC">
        <w:rPr>
          <w:szCs w:val="24"/>
        </w:rPr>
        <w:t>2</w:t>
      </w:r>
      <w:r w:rsidR="00B544FA">
        <w:rPr>
          <w:szCs w:val="24"/>
        </w:rPr>
        <w:t>5</w:t>
      </w:r>
      <w:r w:rsidRPr="00975FBC">
        <w:rPr>
          <w:szCs w:val="24"/>
        </w:rPr>
        <w:t xml:space="preserve">, </w:t>
      </w:r>
      <w:r w:rsidR="004F6962">
        <w:rPr>
          <w:szCs w:val="24"/>
        </w:rPr>
        <w:t>the instrument (other than clause 3</w:t>
      </w:r>
      <w:r w:rsidR="00F25E6A">
        <w:rPr>
          <w:szCs w:val="24"/>
        </w:rPr>
        <w:t xml:space="preserve"> and clause </w:t>
      </w:r>
      <w:r w:rsidR="0043684C">
        <w:rPr>
          <w:szCs w:val="24"/>
        </w:rPr>
        <w:t>6</w:t>
      </w:r>
      <w:r w:rsidR="004F6962">
        <w:rPr>
          <w:szCs w:val="24"/>
        </w:rPr>
        <w:t>)</w:t>
      </w:r>
      <w:r w:rsidR="00BC229A" w:rsidRPr="00975FBC">
        <w:rPr>
          <w:szCs w:val="24"/>
        </w:rPr>
        <w:t xml:space="preserve"> commence on </w:t>
      </w:r>
      <w:r w:rsidR="00B544FA">
        <w:rPr>
          <w:szCs w:val="24"/>
        </w:rPr>
        <w:t>1</w:t>
      </w:r>
      <w:r w:rsidR="00B544FA" w:rsidRPr="00975FBC">
        <w:rPr>
          <w:szCs w:val="24"/>
        </w:rPr>
        <w:t> </w:t>
      </w:r>
      <w:r w:rsidR="00BC229A" w:rsidRPr="00975FBC">
        <w:rPr>
          <w:szCs w:val="24"/>
        </w:rPr>
        <w:t>January 202</w:t>
      </w:r>
      <w:r w:rsidR="00B544FA">
        <w:rPr>
          <w:szCs w:val="24"/>
        </w:rPr>
        <w:t>5</w:t>
      </w:r>
      <w:r w:rsidR="00975FBC" w:rsidRPr="00975FBC">
        <w:rPr>
          <w:szCs w:val="24"/>
        </w:rPr>
        <w:t>,</w:t>
      </w:r>
      <w:r w:rsidR="00BC229A" w:rsidRPr="00975FBC">
        <w:rPr>
          <w:szCs w:val="24"/>
        </w:rPr>
        <w:t xml:space="preserve"> </w:t>
      </w:r>
      <w:r w:rsidR="000E1267">
        <w:rPr>
          <w:szCs w:val="24"/>
        </w:rPr>
        <w:t>to allow</w:t>
      </w:r>
      <w:r w:rsidR="00BC229A" w:rsidRPr="00975FBC">
        <w:rPr>
          <w:szCs w:val="24"/>
        </w:rPr>
        <w:t xml:space="preserve"> entrant</w:t>
      </w:r>
      <w:r w:rsidR="000E1267">
        <w:rPr>
          <w:szCs w:val="24"/>
        </w:rPr>
        <w:t xml:space="preserve"> vehicles to </w:t>
      </w:r>
      <w:r w:rsidR="00BC229A" w:rsidRPr="00975FBC">
        <w:rPr>
          <w:szCs w:val="24"/>
        </w:rPr>
        <w:t>arrive</w:t>
      </w:r>
      <w:r w:rsidR="000E1267">
        <w:rPr>
          <w:szCs w:val="24"/>
        </w:rPr>
        <w:t xml:space="preserve"> early. </w:t>
      </w:r>
    </w:p>
    <w:p w14:paraId="2BD87F36" w14:textId="45B9FC93" w:rsidR="00274BE0" w:rsidRPr="00975FBC" w:rsidRDefault="005600BF" w:rsidP="00B04FC7">
      <w:pPr>
        <w:spacing w:before="60" w:after="60" w:line="276" w:lineRule="auto"/>
        <w:rPr>
          <w:szCs w:val="24"/>
        </w:rPr>
      </w:pPr>
      <w:r w:rsidRPr="00975FBC">
        <w:rPr>
          <w:szCs w:val="24"/>
        </w:rPr>
        <w:t>Clause 3</w:t>
      </w:r>
      <w:r w:rsidR="00F25E6A">
        <w:rPr>
          <w:szCs w:val="24"/>
        </w:rPr>
        <w:t xml:space="preserve"> and clause </w:t>
      </w:r>
      <w:r w:rsidR="0043684C">
        <w:rPr>
          <w:szCs w:val="24"/>
        </w:rPr>
        <w:t>6</w:t>
      </w:r>
      <w:r w:rsidRPr="00975FBC">
        <w:rPr>
          <w:szCs w:val="24"/>
        </w:rPr>
        <w:t xml:space="preserve"> of the instrument commence</w:t>
      </w:r>
      <w:r w:rsidR="009255A2" w:rsidRPr="00975FBC">
        <w:rPr>
          <w:szCs w:val="24"/>
        </w:rPr>
        <w:t xml:space="preserve">s on </w:t>
      </w:r>
      <w:r w:rsidR="00B544FA">
        <w:rPr>
          <w:szCs w:val="24"/>
        </w:rPr>
        <w:t>2</w:t>
      </w:r>
      <w:r w:rsidR="00B544FA" w:rsidRPr="00D43F07">
        <w:rPr>
          <w:szCs w:val="24"/>
        </w:rPr>
        <w:t> </w:t>
      </w:r>
      <w:r w:rsidR="009255A2" w:rsidRPr="00D43F07">
        <w:rPr>
          <w:szCs w:val="24"/>
        </w:rPr>
        <w:t>January </w:t>
      </w:r>
      <w:r w:rsidR="00B544FA" w:rsidRPr="00D43F07">
        <w:rPr>
          <w:szCs w:val="24"/>
        </w:rPr>
        <w:t>202</w:t>
      </w:r>
      <w:r w:rsidR="00B544FA">
        <w:rPr>
          <w:szCs w:val="24"/>
        </w:rPr>
        <w:t>5</w:t>
      </w:r>
      <w:r w:rsidR="00975FBC" w:rsidRPr="00D43F07">
        <w:rPr>
          <w:szCs w:val="24"/>
        </w:rPr>
        <w:t>, when</w:t>
      </w:r>
      <w:r w:rsidR="00975FBC" w:rsidRPr="00975FBC">
        <w:rPr>
          <w:szCs w:val="24"/>
        </w:rPr>
        <w:t xml:space="preserve"> the event officially begins.</w:t>
      </w:r>
    </w:p>
    <w:p w14:paraId="2FB30148" w14:textId="1012EC2F" w:rsidR="001417C3" w:rsidRDefault="00975FBC" w:rsidP="001810C4">
      <w:pPr>
        <w:spacing w:before="60" w:after="60" w:line="276" w:lineRule="auto"/>
        <w:rPr>
          <w:szCs w:val="24"/>
        </w:rPr>
      </w:pPr>
      <w:r w:rsidRPr="00975FBC">
        <w:rPr>
          <w:b/>
          <w:szCs w:val="24"/>
        </w:rPr>
        <w:t xml:space="preserve">Clause </w:t>
      </w:r>
      <w:r>
        <w:rPr>
          <w:b/>
          <w:szCs w:val="24"/>
        </w:rPr>
        <w:t>3</w:t>
      </w:r>
      <w:r w:rsidR="009E511B">
        <w:rPr>
          <w:b/>
          <w:szCs w:val="24"/>
        </w:rPr>
        <w:t xml:space="preserve"> </w:t>
      </w:r>
      <w:r w:rsidR="001810C4">
        <w:rPr>
          <w:bCs/>
          <w:szCs w:val="24"/>
        </w:rPr>
        <w:t>provides that</w:t>
      </w:r>
      <w:r w:rsidR="009E511B" w:rsidRPr="00975FBC">
        <w:rPr>
          <w:szCs w:val="24"/>
        </w:rPr>
        <w:t xml:space="preserve"> section 5B of the</w:t>
      </w:r>
      <w:r w:rsidR="009E511B" w:rsidRPr="00975FBC">
        <w:rPr>
          <w:bCs/>
          <w:i/>
          <w:color w:val="000000"/>
          <w:szCs w:val="24"/>
        </w:rPr>
        <w:t xml:space="preserve"> Road Transport (Safety and Traffic Management) Act 1999</w:t>
      </w:r>
      <w:r w:rsidR="009E511B" w:rsidRPr="00975FBC">
        <w:rPr>
          <w:szCs w:val="24"/>
        </w:rPr>
        <w:t xml:space="preserve"> </w:t>
      </w:r>
      <w:r w:rsidR="001810C4">
        <w:rPr>
          <w:szCs w:val="24"/>
        </w:rPr>
        <w:t xml:space="preserve">does not apply to a </w:t>
      </w:r>
      <w:r w:rsidR="00202ED8">
        <w:rPr>
          <w:szCs w:val="24"/>
        </w:rPr>
        <w:t>relevant</w:t>
      </w:r>
      <w:r w:rsidR="009338E8">
        <w:rPr>
          <w:szCs w:val="24"/>
        </w:rPr>
        <w:t xml:space="preserve"> </w:t>
      </w:r>
      <w:r w:rsidR="001810C4">
        <w:rPr>
          <w:szCs w:val="24"/>
        </w:rPr>
        <w:t>vehicle while being used in the</w:t>
      </w:r>
      <w:r w:rsidR="009E511B" w:rsidRPr="00975FBC">
        <w:rPr>
          <w:szCs w:val="24"/>
        </w:rPr>
        <w:t xml:space="preserve"> drifting area and the power skid area</w:t>
      </w:r>
      <w:r w:rsidR="001810C4" w:rsidRPr="00975FBC">
        <w:rPr>
          <w:szCs w:val="24"/>
        </w:rPr>
        <w:t xml:space="preserve"> declared in Schedule 2 of the instrument</w:t>
      </w:r>
      <w:r w:rsidR="001810C4">
        <w:rPr>
          <w:szCs w:val="24"/>
        </w:rPr>
        <w:t xml:space="preserve"> beginning on a drifting official or power skid official declaring the drifting course or power skid course ‘active’ and ending on a drifting official or power skid official declaring the drifting course or power skid course ‘inactive’. </w:t>
      </w:r>
    </w:p>
    <w:p w14:paraId="1A4FA1A8" w14:textId="19B0A9E3" w:rsidR="001810C4" w:rsidRPr="001810C4" w:rsidRDefault="009338E8" w:rsidP="001810C4">
      <w:pPr>
        <w:spacing w:before="60" w:after="60" w:line="276" w:lineRule="auto"/>
        <w:rPr>
          <w:color w:val="000000"/>
          <w:shd w:val="clear" w:color="auto" w:fill="FFFFFF"/>
        </w:rPr>
      </w:pPr>
      <w:r>
        <w:rPr>
          <w:b/>
          <w:bCs/>
          <w:i/>
          <w:iCs/>
          <w:color w:val="000000"/>
          <w:shd w:val="clear" w:color="auto" w:fill="FFFFFF"/>
        </w:rPr>
        <w:t>Relevant</w:t>
      </w:r>
      <w:r w:rsidR="001810C4" w:rsidRPr="0035731B">
        <w:rPr>
          <w:b/>
          <w:bCs/>
          <w:i/>
          <w:iCs/>
          <w:color w:val="000000"/>
          <w:shd w:val="clear" w:color="auto" w:fill="FFFFFF"/>
        </w:rPr>
        <w:t> vehicle</w:t>
      </w:r>
      <w:r w:rsidR="001810C4">
        <w:rPr>
          <w:color w:val="000000"/>
          <w:shd w:val="clear" w:color="auto" w:fill="FFFFFF"/>
        </w:rPr>
        <w:t xml:space="preserve"> is defined in </w:t>
      </w:r>
      <w:r w:rsidR="0074697D">
        <w:rPr>
          <w:color w:val="000000"/>
          <w:shd w:val="clear" w:color="auto" w:fill="FFFFFF"/>
        </w:rPr>
        <w:t>C</w:t>
      </w:r>
      <w:r w:rsidR="001810C4">
        <w:rPr>
          <w:color w:val="000000"/>
          <w:shd w:val="clear" w:color="auto" w:fill="FFFFFF"/>
        </w:rPr>
        <w:t xml:space="preserve">lause </w:t>
      </w:r>
      <w:r w:rsidR="00F25E6A">
        <w:rPr>
          <w:color w:val="000000"/>
          <w:shd w:val="clear" w:color="auto" w:fill="FFFFFF"/>
        </w:rPr>
        <w:t>9</w:t>
      </w:r>
      <w:r>
        <w:rPr>
          <w:color w:val="000000"/>
          <w:shd w:val="clear" w:color="auto" w:fill="FFFFFF"/>
        </w:rPr>
        <w:t xml:space="preserve">. </w:t>
      </w:r>
    </w:p>
    <w:p w14:paraId="2124E6FF" w14:textId="2B935438" w:rsidR="00975FBC" w:rsidRPr="001810C4" w:rsidRDefault="001417C3" w:rsidP="00B04FC7">
      <w:pPr>
        <w:spacing w:before="60" w:after="60" w:line="276" w:lineRule="auto"/>
        <w:rPr>
          <w:szCs w:val="24"/>
        </w:rPr>
      </w:pPr>
      <w:r>
        <w:rPr>
          <w:szCs w:val="24"/>
        </w:rPr>
        <w:t xml:space="preserve">It </w:t>
      </w:r>
      <w:r w:rsidR="009E511B" w:rsidRPr="00975FBC">
        <w:rPr>
          <w:szCs w:val="24"/>
        </w:rPr>
        <w:t xml:space="preserve">remains an offence to improperly use a motor vehicle within </w:t>
      </w:r>
      <w:r w:rsidR="00990D66">
        <w:rPr>
          <w:szCs w:val="24"/>
        </w:rPr>
        <w:t>EPIC</w:t>
      </w:r>
      <w:r w:rsidR="009E511B" w:rsidRPr="00975FBC">
        <w:rPr>
          <w:szCs w:val="24"/>
        </w:rPr>
        <w:t xml:space="preserve"> outside </w:t>
      </w:r>
      <w:r>
        <w:rPr>
          <w:szCs w:val="24"/>
        </w:rPr>
        <w:t>the drifting area and the power skid area</w:t>
      </w:r>
      <w:r w:rsidR="009E511B" w:rsidRPr="00975FBC">
        <w:rPr>
          <w:szCs w:val="24"/>
        </w:rPr>
        <w:t xml:space="preserve"> declared in Schedule 2 of the </w:t>
      </w:r>
      <w:r w:rsidR="0035731B">
        <w:rPr>
          <w:szCs w:val="24"/>
        </w:rPr>
        <w:t>I</w:t>
      </w:r>
      <w:r w:rsidR="009E511B" w:rsidRPr="00975FBC">
        <w:rPr>
          <w:szCs w:val="24"/>
        </w:rPr>
        <w:t>nstrument</w:t>
      </w:r>
      <w:r>
        <w:rPr>
          <w:szCs w:val="24"/>
        </w:rPr>
        <w:t>.</w:t>
      </w:r>
      <w:r w:rsidRPr="001417C3">
        <w:rPr>
          <w:szCs w:val="24"/>
        </w:rPr>
        <w:t xml:space="preserve"> </w:t>
      </w:r>
      <w:r>
        <w:rPr>
          <w:szCs w:val="24"/>
        </w:rPr>
        <w:t>Vehicles</w:t>
      </w:r>
      <w:r w:rsidRPr="00975FBC">
        <w:rPr>
          <w:szCs w:val="24"/>
        </w:rPr>
        <w:t xml:space="preserve"> involved in the event in any other capacity (e.g. service or trader vehicles)</w:t>
      </w:r>
      <w:r>
        <w:rPr>
          <w:szCs w:val="24"/>
        </w:rPr>
        <w:t xml:space="preserve"> </w:t>
      </w:r>
      <w:r w:rsidRPr="00975FBC">
        <w:rPr>
          <w:szCs w:val="24"/>
        </w:rPr>
        <w:t>are unaffected by the declaration</w:t>
      </w:r>
      <w:r w:rsidR="00CA38F2">
        <w:rPr>
          <w:szCs w:val="24"/>
        </w:rPr>
        <w:t xml:space="preserve"> and required to comply with the road transport legislation</w:t>
      </w:r>
      <w:r>
        <w:rPr>
          <w:szCs w:val="24"/>
        </w:rPr>
        <w:t>.</w:t>
      </w:r>
    </w:p>
    <w:p w14:paraId="0E030BF3" w14:textId="622D06BE" w:rsidR="00990D66" w:rsidRDefault="00C2385E" w:rsidP="00602242">
      <w:pPr>
        <w:pStyle w:val="BodyText"/>
        <w:spacing w:before="60" w:after="60" w:line="276" w:lineRule="auto"/>
        <w:rPr>
          <w:iCs/>
        </w:rPr>
      </w:pPr>
      <w:r w:rsidRPr="00962C8D">
        <w:rPr>
          <w:b/>
        </w:rPr>
        <w:t xml:space="preserve">Clause </w:t>
      </w:r>
      <w:r w:rsidR="0043684C">
        <w:rPr>
          <w:b/>
        </w:rPr>
        <w:t>4</w:t>
      </w:r>
      <w:r>
        <w:t xml:space="preserve"> </w:t>
      </w:r>
      <w:r w:rsidR="00602242">
        <w:rPr>
          <w:color w:val="000000"/>
          <w:shd w:val="clear" w:color="auto" w:fill="FFFFFF"/>
        </w:rPr>
        <w:t xml:space="preserve">provides that </w:t>
      </w:r>
      <w:r>
        <w:t>specified provisions</w:t>
      </w:r>
      <w:r w:rsidR="00DF1A9E">
        <w:t xml:space="preserve"> of </w:t>
      </w:r>
      <w:r>
        <w:t xml:space="preserve">the </w:t>
      </w:r>
      <w:r w:rsidRPr="00DF1A9E">
        <w:rPr>
          <w:i/>
        </w:rPr>
        <w:t>Road Transport (Vehicle Registration) Act 1999</w:t>
      </w:r>
      <w:r>
        <w:t xml:space="preserve"> and the </w:t>
      </w:r>
      <w:r w:rsidRPr="006F049C">
        <w:rPr>
          <w:iCs/>
        </w:rPr>
        <w:t xml:space="preserve">Road Transport (Vehicle </w:t>
      </w:r>
      <w:r w:rsidR="00E1519D" w:rsidRPr="006F049C">
        <w:rPr>
          <w:iCs/>
        </w:rPr>
        <w:t>Registration</w:t>
      </w:r>
      <w:r w:rsidRPr="006F049C">
        <w:rPr>
          <w:iCs/>
        </w:rPr>
        <w:t>) Regulation 2000</w:t>
      </w:r>
      <w:r w:rsidR="00602242">
        <w:rPr>
          <w:i/>
        </w:rPr>
        <w:t xml:space="preserve"> </w:t>
      </w:r>
      <w:r w:rsidR="00602242">
        <w:rPr>
          <w:iCs/>
        </w:rPr>
        <w:t xml:space="preserve">will not apply to a relevant vehicle </w:t>
      </w:r>
      <w:r w:rsidR="00602242" w:rsidRPr="00602242">
        <w:rPr>
          <w:iCs/>
        </w:rPr>
        <w:t>within the declared area</w:t>
      </w:r>
      <w:r w:rsidR="00602242">
        <w:rPr>
          <w:iCs/>
        </w:rPr>
        <w:t>.</w:t>
      </w:r>
    </w:p>
    <w:p w14:paraId="32805AA4" w14:textId="6037F1DB" w:rsidR="00602242" w:rsidRDefault="00602242" w:rsidP="00602242">
      <w:pPr>
        <w:pStyle w:val="BodyText"/>
        <w:spacing w:before="60" w:after="60" w:line="276" w:lineRule="auto"/>
        <w:rPr>
          <w:iCs/>
        </w:rPr>
      </w:pPr>
      <w:r w:rsidRPr="0035731B">
        <w:rPr>
          <w:b/>
          <w:bCs/>
          <w:i/>
        </w:rPr>
        <w:t>Relevant vehicle</w:t>
      </w:r>
      <w:r>
        <w:rPr>
          <w:iCs/>
        </w:rPr>
        <w:t xml:space="preserve"> is defined by </w:t>
      </w:r>
      <w:r w:rsidR="00946828">
        <w:rPr>
          <w:iCs/>
        </w:rPr>
        <w:t>C</w:t>
      </w:r>
      <w:r>
        <w:rPr>
          <w:iCs/>
        </w:rPr>
        <w:t xml:space="preserve">lause </w:t>
      </w:r>
      <w:r w:rsidR="00F25E6A">
        <w:rPr>
          <w:iCs/>
        </w:rPr>
        <w:t>9</w:t>
      </w:r>
      <w:r w:rsidR="009338E8">
        <w:rPr>
          <w:iCs/>
        </w:rPr>
        <w:t>.</w:t>
      </w:r>
    </w:p>
    <w:p w14:paraId="66241AEA" w14:textId="69F8FAE0" w:rsidR="00BB2EDD" w:rsidRDefault="00946828" w:rsidP="00602242">
      <w:pPr>
        <w:pStyle w:val="BodyText"/>
        <w:spacing w:before="60" w:after="60" w:line="276" w:lineRule="auto"/>
      </w:pPr>
      <w:r>
        <w:t xml:space="preserve">Clause </w:t>
      </w:r>
      <w:r w:rsidR="0043684C">
        <w:t>4</w:t>
      </w:r>
      <w:r w:rsidR="00C2385E">
        <w:t xml:space="preserve"> is necessary </w:t>
      </w:r>
      <w:r w:rsidR="00DF1A9E">
        <w:t>because some</w:t>
      </w:r>
      <w:r w:rsidR="00BB2EDD">
        <w:t xml:space="preserve"> vehicles </w:t>
      </w:r>
      <w:r w:rsidR="00C2385E">
        <w:t>participating in Summernats</w:t>
      </w:r>
      <w:r w:rsidR="00076CF0">
        <w:t xml:space="preserve"> </w:t>
      </w:r>
      <w:r w:rsidR="00B544FA">
        <w:t xml:space="preserve">37 </w:t>
      </w:r>
      <w:r w:rsidR="00C2385E">
        <w:t xml:space="preserve">will </w:t>
      </w:r>
      <w:r w:rsidR="00DF1A9E">
        <w:t xml:space="preserve">not </w:t>
      </w:r>
      <w:r w:rsidR="00C2385E">
        <w:t xml:space="preserve">be </w:t>
      </w:r>
      <w:r w:rsidR="00BB2EDD">
        <w:t xml:space="preserve">registered </w:t>
      </w:r>
      <w:r w:rsidR="00DF1A9E">
        <w:t xml:space="preserve">as </w:t>
      </w:r>
      <w:r w:rsidR="00BB2EDD">
        <w:t>they cannot meet Australian Vehicle Standards or Australian Design Rules (e</w:t>
      </w:r>
      <w:r w:rsidR="00C2385E">
        <w:t>.</w:t>
      </w:r>
      <w:r w:rsidR="00BB2EDD">
        <w:t>g</w:t>
      </w:r>
      <w:r w:rsidR="00C2385E">
        <w:t>.</w:t>
      </w:r>
      <w:r w:rsidR="00BB2EDD">
        <w:t xml:space="preserve"> </w:t>
      </w:r>
      <w:r w:rsidR="00555098">
        <w:t>modified lawn mowers</w:t>
      </w:r>
      <w:r w:rsidR="00BB2EDD">
        <w:t xml:space="preserve">). Other competing vehicles, </w:t>
      </w:r>
      <w:r w:rsidR="00BB2EDD" w:rsidRPr="00D36C11">
        <w:t>although registered</w:t>
      </w:r>
      <w:r w:rsidR="00D36C11">
        <w:t xml:space="preserve"> (having complied with registration requirements at the time of registration)</w:t>
      </w:r>
      <w:r w:rsidR="00BB2EDD">
        <w:t xml:space="preserve">, have been </w:t>
      </w:r>
      <w:r w:rsidR="00D36C11">
        <w:t xml:space="preserve">subsequently </w:t>
      </w:r>
      <w:r w:rsidR="00BB2EDD">
        <w:t>modified to the point where they no longer comply with the Australian Vehicle Standards or Australian Design Rules. It is an offence to operate these non</w:t>
      </w:r>
      <w:r w:rsidR="0035731B">
        <w:noBreakHyphen/>
      </w:r>
      <w:r w:rsidR="00BB2EDD">
        <w:t>compl</w:t>
      </w:r>
      <w:r w:rsidR="006F049C">
        <w:t>iant</w:t>
      </w:r>
      <w:r w:rsidR="00BB2EDD">
        <w:t xml:space="preserve"> vehicles on a road or road related area.</w:t>
      </w:r>
      <w:r w:rsidR="00DF1A9E">
        <w:t xml:space="preserve"> </w:t>
      </w:r>
      <w:r w:rsidR="009255A2">
        <w:t xml:space="preserve">Clause </w:t>
      </w:r>
      <w:r w:rsidR="0043684C">
        <w:t>4</w:t>
      </w:r>
      <w:r w:rsidR="0030604D">
        <w:t xml:space="preserve"> therefore enables </w:t>
      </w:r>
      <w:r w:rsidR="00BB2EDD">
        <w:t xml:space="preserve">these vehicles to participate </w:t>
      </w:r>
      <w:r w:rsidR="00DF1A9E">
        <w:t xml:space="preserve">lawfully </w:t>
      </w:r>
      <w:r w:rsidR="00BB2EDD">
        <w:t xml:space="preserve">in </w:t>
      </w:r>
      <w:r w:rsidR="009B759B">
        <w:t>the event</w:t>
      </w:r>
      <w:r w:rsidR="00BB2EDD">
        <w:t xml:space="preserve"> within </w:t>
      </w:r>
      <w:r w:rsidR="00990D66">
        <w:t>EPIC</w:t>
      </w:r>
      <w:r w:rsidR="0030604D">
        <w:t>.</w:t>
      </w:r>
      <w:r w:rsidR="009255A2">
        <w:t xml:space="preserve"> </w:t>
      </w:r>
      <w:r w:rsidR="00BB2EDD">
        <w:t xml:space="preserve">All participating vehicles are subject to a vehicle safety inspection by Summernats officials prior to being permitted to enter the grounds of </w:t>
      </w:r>
      <w:r w:rsidR="00990D66">
        <w:t>EPIC</w:t>
      </w:r>
      <w:r w:rsidR="00BB2EDD">
        <w:t>.</w:t>
      </w:r>
    </w:p>
    <w:p w14:paraId="6C19A520" w14:textId="5E87F64A" w:rsidR="00946828" w:rsidRDefault="0089780B" w:rsidP="00307047">
      <w:pPr>
        <w:pStyle w:val="Header"/>
        <w:keepNext/>
        <w:tabs>
          <w:tab w:val="clear" w:pos="4153"/>
          <w:tab w:val="clear" w:pos="8306"/>
        </w:tabs>
        <w:spacing w:before="60" w:after="60" w:line="276" w:lineRule="auto"/>
        <w:rPr>
          <w:lang w:val="en-AU"/>
        </w:rPr>
      </w:pPr>
      <w:r w:rsidRPr="00962C8D">
        <w:rPr>
          <w:b/>
          <w:lang w:val="en-AU"/>
        </w:rPr>
        <w:lastRenderedPageBreak/>
        <w:t xml:space="preserve">Clause </w:t>
      </w:r>
      <w:r w:rsidR="0043684C">
        <w:rPr>
          <w:b/>
          <w:lang w:val="en-AU"/>
        </w:rPr>
        <w:t>5</w:t>
      </w:r>
      <w:r w:rsidR="008A3778">
        <w:rPr>
          <w:lang w:val="en-AU"/>
        </w:rPr>
        <w:t xml:space="preserve"> </w:t>
      </w:r>
      <w:r w:rsidR="00602242">
        <w:rPr>
          <w:lang w:val="en-AU"/>
        </w:rPr>
        <w:t>provides that</w:t>
      </w:r>
      <w:r w:rsidR="005D7457">
        <w:rPr>
          <w:lang w:val="en-AU"/>
        </w:rPr>
        <w:t xml:space="preserve"> s</w:t>
      </w:r>
      <w:r w:rsidR="001810C2">
        <w:rPr>
          <w:lang w:val="en-AU"/>
        </w:rPr>
        <w:t xml:space="preserve">ection 60 of the </w:t>
      </w:r>
      <w:r w:rsidR="001810C2" w:rsidRPr="00F67881">
        <w:rPr>
          <w:iCs/>
          <w:lang w:val="en-AU"/>
        </w:rPr>
        <w:t>Road Transport (Driver Licensing) Regulation 2000</w:t>
      </w:r>
      <w:r w:rsidR="00602242">
        <w:rPr>
          <w:i/>
          <w:lang w:val="en-AU"/>
        </w:rPr>
        <w:t xml:space="preserve"> </w:t>
      </w:r>
      <w:r w:rsidR="00602242">
        <w:rPr>
          <w:color w:val="000000"/>
          <w:shd w:val="clear" w:color="auto" w:fill="FFFFFF"/>
        </w:rPr>
        <w:t xml:space="preserve">does not apply within the </w:t>
      </w:r>
      <w:r w:rsidR="00602242" w:rsidRPr="00602242">
        <w:rPr>
          <w:color w:val="000000"/>
        </w:rPr>
        <w:t>declared are</w:t>
      </w:r>
      <w:r w:rsidR="0035731B">
        <w:rPr>
          <w:color w:val="000000"/>
        </w:rPr>
        <w:t>a</w:t>
      </w:r>
      <w:r w:rsidR="00602242" w:rsidRPr="00602242">
        <w:rPr>
          <w:color w:val="000000"/>
        </w:rPr>
        <w:t>.</w:t>
      </w:r>
      <w:r w:rsidR="00946828">
        <w:rPr>
          <w:i/>
          <w:lang w:val="en-AU"/>
        </w:rPr>
        <w:t xml:space="preserve"> </w:t>
      </w:r>
    </w:p>
    <w:p w14:paraId="12298383" w14:textId="6CA558D6" w:rsidR="0089780B" w:rsidRPr="00946828" w:rsidRDefault="0058281E" w:rsidP="00B04FC7">
      <w:pPr>
        <w:pStyle w:val="Header"/>
        <w:tabs>
          <w:tab w:val="clear" w:pos="4153"/>
          <w:tab w:val="clear" w:pos="8306"/>
        </w:tabs>
        <w:spacing w:before="60" w:after="60" w:line="276" w:lineRule="auto"/>
        <w:rPr>
          <w:i/>
          <w:lang w:val="en-AU"/>
        </w:rPr>
      </w:pPr>
      <w:r>
        <w:rPr>
          <w:lang w:val="en-AU"/>
        </w:rPr>
        <w:t xml:space="preserve">It is an offence for </w:t>
      </w:r>
      <w:r w:rsidR="00946828">
        <w:rPr>
          <w:lang w:val="en-AU"/>
        </w:rPr>
        <w:t xml:space="preserve">interstate drivers who have a high-powered vehicle restriction on their driver licence </w:t>
      </w:r>
      <w:r>
        <w:rPr>
          <w:lang w:val="en-AU"/>
        </w:rPr>
        <w:t xml:space="preserve">to operate a </w:t>
      </w:r>
      <w:r w:rsidR="00602242">
        <w:rPr>
          <w:lang w:val="en-AU"/>
        </w:rPr>
        <w:t>high-powered</w:t>
      </w:r>
      <w:r>
        <w:rPr>
          <w:lang w:val="en-AU"/>
        </w:rPr>
        <w:t xml:space="preserve"> vehicle on a road or road related area</w:t>
      </w:r>
      <w:r w:rsidR="00946828">
        <w:rPr>
          <w:lang w:val="en-AU"/>
        </w:rPr>
        <w:t xml:space="preserve"> under ACT road transport legislation</w:t>
      </w:r>
      <w:r>
        <w:rPr>
          <w:lang w:val="en-AU"/>
        </w:rPr>
        <w:t xml:space="preserve">. To enable these drivers to participate lawfully in </w:t>
      </w:r>
      <w:r w:rsidR="00946828">
        <w:rPr>
          <w:lang w:val="en-AU"/>
        </w:rPr>
        <w:t xml:space="preserve">Summernats </w:t>
      </w:r>
      <w:r w:rsidR="00950289">
        <w:rPr>
          <w:lang w:val="en-AU"/>
        </w:rPr>
        <w:t>37</w:t>
      </w:r>
      <w:r>
        <w:rPr>
          <w:lang w:val="en-AU"/>
        </w:rPr>
        <w:t xml:space="preserve">, </w:t>
      </w:r>
      <w:r w:rsidR="00946828">
        <w:rPr>
          <w:lang w:val="en-AU"/>
        </w:rPr>
        <w:t>C</w:t>
      </w:r>
      <w:r w:rsidR="005D0A67">
        <w:rPr>
          <w:lang w:val="en-AU"/>
        </w:rPr>
        <w:t xml:space="preserve">lause </w:t>
      </w:r>
      <w:r w:rsidR="0043684C">
        <w:rPr>
          <w:lang w:val="en-AU"/>
        </w:rPr>
        <w:t>5</w:t>
      </w:r>
      <w:r>
        <w:rPr>
          <w:lang w:val="en-AU"/>
        </w:rPr>
        <w:t xml:space="preserve"> has the effect of excluding </w:t>
      </w:r>
      <w:r w:rsidR="00946828">
        <w:rPr>
          <w:lang w:val="en-AU"/>
        </w:rPr>
        <w:t>the</w:t>
      </w:r>
      <w:r w:rsidR="00A44E8D">
        <w:rPr>
          <w:lang w:val="en-AU"/>
        </w:rPr>
        <w:t xml:space="preserve"> application of </w:t>
      </w:r>
      <w:r w:rsidR="00946828">
        <w:rPr>
          <w:lang w:val="en-AU"/>
        </w:rPr>
        <w:t>section 60 of the</w:t>
      </w:r>
      <w:r w:rsidR="00A44E8D">
        <w:rPr>
          <w:lang w:val="en-AU"/>
        </w:rPr>
        <w:t xml:space="preserve"> </w:t>
      </w:r>
      <w:r w:rsidR="00A44E8D" w:rsidRPr="00F67881">
        <w:rPr>
          <w:iCs/>
          <w:lang w:val="en-AU"/>
        </w:rPr>
        <w:t>Road Transport (Driver Licensing) Regulation 2000</w:t>
      </w:r>
      <w:r w:rsidR="00A44E8D">
        <w:rPr>
          <w:i/>
          <w:lang w:val="en-AU"/>
        </w:rPr>
        <w:t xml:space="preserve"> </w:t>
      </w:r>
      <w:r w:rsidR="00946828">
        <w:rPr>
          <w:lang w:val="en-AU"/>
        </w:rPr>
        <w:t xml:space="preserve">within the declared area. </w:t>
      </w:r>
    </w:p>
    <w:p w14:paraId="5DA6FFC5" w14:textId="6509C863" w:rsidR="0089780B" w:rsidRPr="00270EB8" w:rsidRDefault="00946828" w:rsidP="00270EB8">
      <w:pPr>
        <w:spacing w:before="60" w:after="60" w:line="276" w:lineRule="auto"/>
        <w:rPr>
          <w:szCs w:val="24"/>
        </w:rPr>
      </w:pPr>
      <w:r>
        <w:rPr>
          <w:szCs w:val="24"/>
        </w:rPr>
        <w:t xml:space="preserve">This Clause will not </w:t>
      </w:r>
      <w:r w:rsidR="006E062C">
        <w:rPr>
          <w:szCs w:val="24"/>
        </w:rPr>
        <w:t>disapply</w:t>
      </w:r>
      <w:r>
        <w:rPr>
          <w:szCs w:val="24"/>
        </w:rPr>
        <w:t xml:space="preserve"> section 60 of the </w:t>
      </w:r>
      <w:r w:rsidRPr="00F67881">
        <w:rPr>
          <w:iCs/>
        </w:rPr>
        <w:t>Road Transport (Driver Licensing) Regulation 2000</w:t>
      </w:r>
      <w:r>
        <w:rPr>
          <w:i/>
        </w:rPr>
        <w:t xml:space="preserve"> </w:t>
      </w:r>
      <w:r>
        <w:rPr>
          <w:iCs/>
        </w:rPr>
        <w:t>outside of the declared area</w:t>
      </w:r>
      <w:r w:rsidR="00270EB8">
        <w:rPr>
          <w:iCs/>
        </w:rPr>
        <w:t>.</w:t>
      </w:r>
    </w:p>
    <w:p w14:paraId="311C9999" w14:textId="5B4C2A65" w:rsidR="00F25E6A" w:rsidRDefault="00F25E6A" w:rsidP="00B04FC7">
      <w:pPr>
        <w:pStyle w:val="Header"/>
        <w:tabs>
          <w:tab w:val="clear" w:pos="4153"/>
          <w:tab w:val="clear" w:pos="8306"/>
        </w:tabs>
        <w:spacing w:before="60" w:after="60" w:line="276" w:lineRule="auto"/>
        <w:rPr>
          <w:iCs/>
        </w:rPr>
      </w:pPr>
      <w:r>
        <w:rPr>
          <w:b/>
          <w:lang w:val="en-AU"/>
        </w:rPr>
        <w:t xml:space="preserve">Clause </w:t>
      </w:r>
      <w:r w:rsidR="0043684C">
        <w:rPr>
          <w:b/>
          <w:lang w:val="en-AU"/>
        </w:rPr>
        <w:t>6</w:t>
      </w:r>
      <w:r w:rsidR="00950289">
        <w:rPr>
          <w:b/>
          <w:lang w:val="en-AU"/>
        </w:rPr>
        <w:t xml:space="preserve"> </w:t>
      </w:r>
      <w:r w:rsidR="00950289">
        <w:rPr>
          <w:bCs/>
          <w:lang w:val="en-AU"/>
        </w:rPr>
        <w:t xml:space="preserve">provides that section 185 of the </w:t>
      </w:r>
      <w:r w:rsidR="00950289" w:rsidRPr="00F67881">
        <w:rPr>
          <w:iCs/>
        </w:rPr>
        <w:t>Road Transport (Road Rules) Regulation 2017</w:t>
      </w:r>
      <w:r w:rsidR="00950289">
        <w:rPr>
          <w:iCs/>
        </w:rPr>
        <w:t xml:space="preserve"> does not apply within the declared area.</w:t>
      </w:r>
    </w:p>
    <w:p w14:paraId="4393ABE5" w14:textId="305C77A2" w:rsidR="00950289" w:rsidRDefault="00950289" w:rsidP="00B04FC7">
      <w:pPr>
        <w:pStyle w:val="Header"/>
        <w:tabs>
          <w:tab w:val="clear" w:pos="4153"/>
          <w:tab w:val="clear" w:pos="8306"/>
        </w:tabs>
        <w:spacing w:before="60" w:after="60" w:line="276" w:lineRule="auto"/>
        <w:rPr>
          <w:iCs/>
        </w:rPr>
      </w:pPr>
      <w:r>
        <w:rPr>
          <w:iCs/>
        </w:rPr>
        <w:t>It is an offence for a driver to stop in a permit zone unless the driver’s vehicle displays a current permit under section 64 of the</w:t>
      </w:r>
      <w:r w:rsidRPr="00F67881">
        <w:rPr>
          <w:iCs/>
        </w:rPr>
        <w:t xml:space="preserve"> </w:t>
      </w:r>
      <w:r w:rsidRPr="00F67881">
        <w:rPr>
          <w:iCs/>
          <w:lang w:val="en-AU"/>
        </w:rPr>
        <w:t>Road Transport (Safety and Traffic Management) Regulation 2017</w:t>
      </w:r>
      <w:r w:rsidRPr="00F67881">
        <w:rPr>
          <w:iCs/>
        </w:rPr>
        <w:t xml:space="preserve">. </w:t>
      </w:r>
      <w:r>
        <w:rPr>
          <w:iCs/>
        </w:rPr>
        <w:t xml:space="preserve">To enable drivers </w:t>
      </w:r>
      <w:r w:rsidR="00545955">
        <w:rPr>
          <w:iCs/>
        </w:rPr>
        <w:t xml:space="preserve">of vehicles </w:t>
      </w:r>
      <w:r>
        <w:rPr>
          <w:iCs/>
        </w:rPr>
        <w:t>to park lawfully</w:t>
      </w:r>
      <w:r w:rsidR="00AE0E13">
        <w:rPr>
          <w:iCs/>
        </w:rPr>
        <w:t xml:space="preserve"> within the declared area</w:t>
      </w:r>
      <w:r w:rsidR="00397923">
        <w:rPr>
          <w:iCs/>
        </w:rPr>
        <w:t xml:space="preserve"> without displaying a current permit</w:t>
      </w:r>
      <w:r>
        <w:rPr>
          <w:iCs/>
        </w:rPr>
        <w:t xml:space="preserve">, clause </w:t>
      </w:r>
      <w:r w:rsidR="0043684C">
        <w:rPr>
          <w:iCs/>
        </w:rPr>
        <w:t>6</w:t>
      </w:r>
      <w:r>
        <w:rPr>
          <w:iCs/>
        </w:rPr>
        <w:t xml:space="preserve"> has the effect of excluding </w:t>
      </w:r>
      <w:r w:rsidR="00397923">
        <w:rPr>
          <w:iCs/>
        </w:rPr>
        <w:t xml:space="preserve">the application of section 185 </w:t>
      </w:r>
      <w:r w:rsidR="00A370F4">
        <w:rPr>
          <w:iCs/>
        </w:rPr>
        <w:t>of</w:t>
      </w:r>
      <w:r w:rsidR="00397923">
        <w:rPr>
          <w:iCs/>
        </w:rPr>
        <w:t xml:space="preserve"> the </w:t>
      </w:r>
      <w:r w:rsidR="00397923" w:rsidRPr="00F67881">
        <w:rPr>
          <w:iCs/>
        </w:rPr>
        <w:t>Road Transport (Road Rules) Regulation 2017 within</w:t>
      </w:r>
      <w:r w:rsidR="00397923">
        <w:rPr>
          <w:iCs/>
        </w:rPr>
        <w:t xml:space="preserve"> the declared area.</w:t>
      </w:r>
    </w:p>
    <w:p w14:paraId="380F7242" w14:textId="77777777" w:rsidR="0043684C" w:rsidRPr="0074697D" w:rsidRDefault="0043684C" w:rsidP="0043684C">
      <w:pPr>
        <w:spacing w:before="60" w:after="60" w:line="276" w:lineRule="auto"/>
        <w:rPr>
          <w:rStyle w:val="CommentReference"/>
          <w:b/>
          <w:bCs/>
        </w:rPr>
      </w:pPr>
      <w:r w:rsidRPr="00975FBC">
        <w:rPr>
          <w:b/>
          <w:szCs w:val="24"/>
        </w:rPr>
        <w:t xml:space="preserve">Clause </w:t>
      </w:r>
      <w:r>
        <w:rPr>
          <w:b/>
          <w:szCs w:val="24"/>
        </w:rPr>
        <w:t>7</w:t>
      </w:r>
      <w:r w:rsidRPr="00975FBC">
        <w:rPr>
          <w:color w:val="000000"/>
          <w:shd w:val="clear" w:color="auto" w:fill="FFFFFF"/>
        </w:rPr>
        <w:t xml:space="preserve"> </w:t>
      </w:r>
      <w:r>
        <w:rPr>
          <w:color w:val="000000"/>
          <w:shd w:val="clear" w:color="auto" w:fill="FFFFFF"/>
        </w:rPr>
        <w:t>provides that the </w:t>
      </w:r>
      <w:r>
        <w:rPr>
          <w:i/>
          <w:iCs/>
          <w:color w:val="000000"/>
          <w:shd w:val="clear" w:color="auto" w:fill="FFFFFF"/>
        </w:rPr>
        <w:t>Motor Accident Injuries Act 2019</w:t>
      </w:r>
      <w:r>
        <w:rPr>
          <w:color w:val="000000"/>
          <w:shd w:val="clear" w:color="auto" w:fill="FFFFFF"/>
        </w:rPr>
        <w:t> does not apply to a designated vehicle, or a motor vehicle involved in a motor accident with a designated vehicle within the declared area</w:t>
      </w:r>
      <w:r>
        <w:rPr>
          <w:szCs w:val="24"/>
        </w:rPr>
        <w:t>.</w:t>
      </w:r>
    </w:p>
    <w:p w14:paraId="439F0CC4" w14:textId="77777777" w:rsidR="0043684C" w:rsidRDefault="0043684C" w:rsidP="0043684C">
      <w:pPr>
        <w:spacing w:before="60" w:after="60" w:line="276" w:lineRule="auto"/>
        <w:rPr>
          <w:szCs w:val="24"/>
        </w:rPr>
      </w:pPr>
      <w:r>
        <w:rPr>
          <w:color w:val="000000"/>
          <w:shd w:val="clear" w:color="auto" w:fill="FFFFFF"/>
        </w:rPr>
        <w:t>The event is held under the auspices of Motorsport Australia. The current Motorsport Australia insurance policy provides up to $100 million of general liability cover for any one occurrence, subject to the terms, conditions and limitations of their insurance policy. However, this policy does not operate where the </w:t>
      </w:r>
      <w:r>
        <w:rPr>
          <w:i/>
          <w:iCs/>
          <w:color w:val="000000"/>
          <w:shd w:val="clear" w:color="auto" w:fill="FFFFFF"/>
        </w:rPr>
        <w:t>Motor Accident Injuries Act 2019 </w:t>
      </w:r>
      <w:r>
        <w:rPr>
          <w:color w:val="000000"/>
          <w:shd w:val="clear" w:color="auto" w:fill="FFFFFF"/>
        </w:rPr>
        <w:t xml:space="preserve">is in force, except where specifically excluded by law. The Motorsport Australia liability insurance will assume responsibility for any property damage or personal injury claims result that may arise within the declared area </w:t>
      </w:r>
      <w:r>
        <w:rPr>
          <w:szCs w:val="24"/>
        </w:rPr>
        <w:t>during the event.</w:t>
      </w:r>
    </w:p>
    <w:p w14:paraId="0AD21229" w14:textId="69022F2D" w:rsidR="0043684C" w:rsidRPr="0043684C" w:rsidRDefault="0043684C" w:rsidP="0043684C">
      <w:pPr>
        <w:spacing w:before="60" w:after="60" w:line="276" w:lineRule="auto"/>
        <w:rPr>
          <w:color w:val="000000"/>
          <w:shd w:val="clear" w:color="auto" w:fill="FFFFFF"/>
        </w:rPr>
      </w:pPr>
      <w:r w:rsidRPr="0035731B">
        <w:rPr>
          <w:b/>
          <w:bCs/>
          <w:i/>
          <w:iCs/>
          <w:color w:val="000000"/>
          <w:shd w:val="clear" w:color="auto" w:fill="FFFFFF"/>
        </w:rPr>
        <w:t>Declared area</w:t>
      </w:r>
      <w:r>
        <w:rPr>
          <w:szCs w:val="24"/>
        </w:rPr>
        <w:t xml:space="preserve"> </w:t>
      </w:r>
      <w:r>
        <w:rPr>
          <w:color w:val="000000"/>
          <w:shd w:val="clear" w:color="auto" w:fill="FFFFFF"/>
        </w:rPr>
        <w:t xml:space="preserve">is defined by Clause 9 and means </w:t>
      </w:r>
      <w:r>
        <w:rPr>
          <w:color w:val="000000"/>
        </w:rPr>
        <w:t>the</w:t>
      </w:r>
      <w:r w:rsidRPr="003F6BFB">
        <w:rPr>
          <w:color w:val="000000"/>
        </w:rPr>
        <w:t xml:space="preserve"> </w:t>
      </w:r>
      <w:r>
        <w:rPr>
          <w:color w:val="000000"/>
        </w:rPr>
        <w:t>area of EPIC</w:t>
      </w:r>
      <w:r w:rsidRPr="003F6BFB">
        <w:rPr>
          <w:color w:val="000000"/>
        </w:rPr>
        <w:t xml:space="preserve"> enclosed by the fence outlined in Schedule 1.</w:t>
      </w:r>
    </w:p>
    <w:p w14:paraId="5A323C77" w14:textId="63BBFF48" w:rsidR="00C31CA1" w:rsidRDefault="002E058C" w:rsidP="00B04FC7">
      <w:pPr>
        <w:pStyle w:val="Header"/>
        <w:tabs>
          <w:tab w:val="clear" w:pos="4153"/>
          <w:tab w:val="clear" w:pos="8306"/>
        </w:tabs>
        <w:spacing w:before="60" w:after="60" w:line="276" w:lineRule="auto"/>
        <w:rPr>
          <w:lang w:val="en-AU"/>
        </w:rPr>
      </w:pPr>
      <w:r w:rsidRPr="00F514A1">
        <w:rPr>
          <w:b/>
          <w:lang w:val="en-AU"/>
        </w:rPr>
        <w:t xml:space="preserve">Clause </w:t>
      </w:r>
      <w:r w:rsidR="00F25E6A">
        <w:rPr>
          <w:b/>
          <w:lang w:val="en-AU"/>
        </w:rPr>
        <w:t>8</w:t>
      </w:r>
      <w:r w:rsidR="00F25E6A" w:rsidRPr="00F514A1">
        <w:rPr>
          <w:b/>
          <w:lang w:val="en-AU"/>
        </w:rPr>
        <w:t xml:space="preserve"> </w:t>
      </w:r>
      <w:r w:rsidR="0030604D" w:rsidRPr="00F514A1">
        <w:rPr>
          <w:lang w:val="en-AU"/>
        </w:rPr>
        <w:t xml:space="preserve">includes a note that references to an Act in this instrument includes a reference </w:t>
      </w:r>
      <w:r w:rsidR="00A14A7E" w:rsidRPr="00F514A1">
        <w:rPr>
          <w:lang w:val="en-AU"/>
        </w:rPr>
        <w:t xml:space="preserve">to the </w:t>
      </w:r>
      <w:r w:rsidR="0030604D" w:rsidRPr="00F514A1">
        <w:rPr>
          <w:lang w:val="en-AU"/>
        </w:rPr>
        <w:t>statutory instruments made or in force under the Act</w:t>
      </w:r>
      <w:r w:rsidR="00A14A7E" w:rsidRPr="00F514A1">
        <w:rPr>
          <w:lang w:val="en-AU"/>
        </w:rPr>
        <w:t xml:space="preserve"> including any regulation.</w:t>
      </w:r>
    </w:p>
    <w:p w14:paraId="307321A0" w14:textId="50CAEB72" w:rsidR="006B0716" w:rsidRDefault="006B0716" w:rsidP="00B04FC7">
      <w:pPr>
        <w:pStyle w:val="Header"/>
        <w:tabs>
          <w:tab w:val="clear" w:pos="4153"/>
          <w:tab w:val="clear" w:pos="8306"/>
        </w:tabs>
        <w:spacing w:before="60" w:after="60" w:line="276" w:lineRule="auto"/>
        <w:rPr>
          <w:lang w:val="en-AU"/>
        </w:rPr>
      </w:pPr>
      <w:r w:rsidRPr="00962C8D">
        <w:rPr>
          <w:b/>
          <w:lang w:val="en-AU"/>
        </w:rPr>
        <w:t xml:space="preserve">Clause </w:t>
      </w:r>
      <w:r w:rsidR="00F25E6A">
        <w:rPr>
          <w:b/>
          <w:lang w:val="en-AU"/>
        </w:rPr>
        <w:t>9</w:t>
      </w:r>
      <w:r w:rsidR="00F25E6A">
        <w:rPr>
          <w:lang w:val="en-AU"/>
        </w:rPr>
        <w:t xml:space="preserve"> </w:t>
      </w:r>
      <w:r>
        <w:rPr>
          <w:lang w:val="en-AU"/>
        </w:rPr>
        <w:t xml:space="preserve">contains definitions of terms used in the </w:t>
      </w:r>
      <w:r w:rsidR="0035731B">
        <w:rPr>
          <w:lang w:val="en-AU"/>
        </w:rPr>
        <w:t>I</w:t>
      </w:r>
      <w:r>
        <w:rPr>
          <w:lang w:val="en-AU"/>
        </w:rPr>
        <w:t>nstrument.</w:t>
      </w:r>
    </w:p>
    <w:p w14:paraId="50A44E4E" w14:textId="7A0E279C" w:rsidR="00270EB8" w:rsidRDefault="006B0716" w:rsidP="00B04FC7">
      <w:pPr>
        <w:pStyle w:val="BodyTextIndent2"/>
        <w:tabs>
          <w:tab w:val="clear" w:pos="5670"/>
        </w:tabs>
        <w:spacing w:before="60" w:after="60" w:line="276" w:lineRule="auto"/>
        <w:ind w:left="0" w:firstLine="0"/>
        <w:rPr>
          <w:rFonts w:ascii="Times New Roman" w:hAnsi="Times New Roman"/>
        </w:rPr>
      </w:pPr>
      <w:r w:rsidRPr="00962C8D">
        <w:rPr>
          <w:rFonts w:ascii="Times New Roman" w:hAnsi="Times New Roman"/>
          <w:b/>
        </w:rPr>
        <w:t xml:space="preserve">Clause </w:t>
      </w:r>
      <w:r w:rsidR="00F25E6A">
        <w:rPr>
          <w:rFonts w:ascii="Times New Roman" w:hAnsi="Times New Roman"/>
          <w:b/>
        </w:rPr>
        <w:t>10</w:t>
      </w:r>
      <w:r w:rsidR="00F25E6A">
        <w:rPr>
          <w:rFonts w:ascii="Times New Roman" w:hAnsi="Times New Roman"/>
        </w:rPr>
        <w:t xml:space="preserve"> </w:t>
      </w:r>
      <w:r>
        <w:rPr>
          <w:rFonts w:ascii="Times New Roman" w:hAnsi="Times New Roman"/>
        </w:rPr>
        <w:t xml:space="preserve">provides for the expiry of the </w:t>
      </w:r>
      <w:r w:rsidR="00A14A7E">
        <w:rPr>
          <w:rFonts w:ascii="Times New Roman" w:hAnsi="Times New Roman"/>
        </w:rPr>
        <w:t xml:space="preserve">specific clauses in the </w:t>
      </w:r>
      <w:r w:rsidR="0035731B">
        <w:rPr>
          <w:rFonts w:ascii="Times New Roman" w:hAnsi="Times New Roman"/>
        </w:rPr>
        <w:t>I</w:t>
      </w:r>
      <w:r w:rsidR="00A14A7E">
        <w:rPr>
          <w:rFonts w:ascii="Times New Roman" w:hAnsi="Times New Roman"/>
        </w:rPr>
        <w:t>nstrument</w:t>
      </w:r>
      <w:r>
        <w:rPr>
          <w:rFonts w:ascii="Times New Roman" w:hAnsi="Times New Roman"/>
        </w:rPr>
        <w:t>.</w:t>
      </w:r>
      <w:r w:rsidR="0074697D">
        <w:rPr>
          <w:rFonts w:ascii="Times New Roman" w:hAnsi="Times New Roman"/>
        </w:rPr>
        <w:t xml:space="preserve"> </w:t>
      </w:r>
    </w:p>
    <w:p w14:paraId="667BA241" w14:textId="48AE7FB8" w:rsidR="00270EB8" w:rsidRPr="00D43F07" w:rsidRDefault="006B0716" w:rsidP="00B04FC7">
      <w:pPr>
        <w:pStyle w:val="BodyTextIndent2"/>
        <w:tabs>
          <w:tab w:val="clear" w:pos="5670"/>
        </w:tabs>
        <w:spacing w:before="60" w:after="60" w:line="276" w:lineRule="auto"/>
        <w:ind w:left="0" w:firstLine="0"/>
        <w:rPr>
          <w:rFonts w:ascii="Times New Roman" w:hAnsi="Times New Roman"/>
        </w:rPr>
      </w:pPr>
      <w:r w:rsidRPr="00D43F07">
        <w:rPr>
          <w:rFonts w:ascii="Times New Roman" w:hAnsi="Times New Roman"/>
        </w:rPr>
        <w:t xml:space="preserve">Although </w:t>
      </w:r>
      <w:r w:rsidR="00BB2EDD" w:rsidRPr="00D43F07">
        <w:rPr>
          <w:rFonts w:ascii="Times New Roman" w:hAnsi="Times New Roman"/>
        </w:rPr>
        <w:t xml:space="preserve">Summernats </w:t>
      </w:r>
      <w:r w:rsidR="00B544FA" w:rsidRPr="00D43F07">
        <w:rPr>
          <w:rFonts w:ascii="Times New Roman" w:hAnsi="Times New Roman"/>
        </w:rPr>
        <w:t>3</w:t>
      </w:r>
      <w:r w:rsidR="00B544FA">
        <w:rPr>
          <w:rFonts w:ascii="Times New Roman" w:hAnsi="Times New Roman"/>
        </w:rPr>
        <w:t>7</w:t>
      </w:r>
      <w:r w:rsidR="00B544FA" w:rsidRPr="00D43F07">
        <w:rPr>
          <w:rFonts w:ascii="Times New Roman" w:hAnsi="Times New Roman"/>
        </w:rPr>
        <w:t xml:space="preserve"> </w:t>
      </w:r>
      <w:r w:rsidR="00BB2EDD" w:rsidRPr="00D43F07">
        <w:rPr>
          <w:rFonts w:ascii="Times New Roman" w:hAnsi="Times New Roman"/>
        </w:rPr>
        <w:t xml:space="preserve">officially </w:t>
      </w:r>
      <w:r w:rsidR="00F12ABC" w:rsidRPr="00D43F07">
        <w:rPr>
          <w:rFonts w:ascii="Times New Roman" w:hAnsi="Times New Roman"/>
        </w:rPr>
        <w:t xml:space="preserve">ends on </w:t>
      </w:r>
      <w:r w:rsidR="00B544FA">
        <w:rPr>
          <w:rFonts w:ascii="Times New Roman" w:hAnsi="Times New Roman"/>
        </w:rPr>
        <w:t xml:space="preserve">5 </w:t>
      </w:r>
      <w:r w:rsidR="00270EB8" w:rsidRPr="00D43F07">
        <w:rPr>
          <w:rFonts w:ascii="Times New Roman" w:hAnsi="Times New Roman"/>
        </w:rPr>
        <w:t xml:space="preserve">January </w:t>
      </w:r>
      <w:r w:rsidR="00F25E6A" w:rsidRPr="00D43F07">
        <w:rPr>
          <w:rFonts w:ascii="Times New Roman" w:hAnsi="Times New Roman"/>
        </w:rPr>
        <w:t>202</w:t>
      </w:r>
      <w:r w:rsidR="00F25E6A">
        <w:rPr>
          <w:rFonts w:ascii="Times New Roman" w:hAnsi="Times New Roman"/>
        </w:rPr>
        <w:t>5</w:t>
      </w:r>
      <w:r w:rsidR="00BB2EDD" w:rsidRPr="00D43F07">
        <w:rPr>
          <w:rFonts w:ascii="Times New Roman" w:hAnsi="Times New Roman"/>
        </w:rPr>
        <w:t>,</w:t>
      </w:r>
      <w:r w:rsidRPr="00D43F07">
        <w:rPr>
          <w:rFonts w:ascii="Times New Roman" w:hAnsi="Times New Roman"/>
        </w:rPr>
        <w:t xml:space="preserve"> </w:t>
      </w:r>
      <w:r w:rsidR="006E062C" w:rsidRPr="00D43F07">
        <w:rPr>
          <w:rFonts w:ascii="Times New Roman" w:hAnsi="Times New Roman"/>
        </w:rPr>
        <w:t xml:space="preserve">the </w:t>
      </w:r>
      <w:r w:rsidR="0035731B" w:rsidRPr="00D43F07">
        <w:rPr>
          <w:rFonts w:ascii="Times New Roman" w:hAnsi="Times New Roman"/>
        </w:rPr>
        <w:t>I</w:t>
      </w:r>
      <w:r w:rsidR="006E062C" w:rsidRPr="00D43F07">
        <w:rPr>
          <w:rFonts w:ascii="Times New Roman" w:hAnsi="Times New Roman"/>
        </w:rPr>
        <w:t>nstrument (other than clause 3)</w:t>
      </w:r>
      <w:r w:rsidRPr="00D43F07">
        <w:rPr>
          <w:rFonts w:ascii="Times New Roman" w:hAnsi="Times New Roman"/>
        </w:rPr>
        <w:t xml:space="preserve"> expire</w:t>
      </w:r>
      <w:r w:rsidR="004734E2" w:rsidRPr="00D43F07">
        <w:rPr>
          <w:rFonts w:ascii="Times New Roman" w:hAnsi="Times New Roman"/>
        </w:rPr>
        <w:t>s</w:t>
      </w:r>
      <w:r w:rsidRPr="00D43F07">
        <w:rPr>
          <w:rFonts w:ascii="Times New Roman" w:hAnsi="Times New Roman"/>
        </w:rPr>
        <w:t xml:space="preserve"> </w:t>
      </w:r>
      <w:r w:rsidR="00055CA5" w:rsidRPr="00D43F07">
        <w:rPr>
          <w:rFonts w:ascii="Times New Roman" w:hAnsi="Times New Roman"/>
        </w:rPr>
        <w:t>at</w:t>
      </w:r>
      <w:r w:rsidRPr="00D43F07">
        <w:rPr>
          <w:rFonts w:ascii="Times New Roman" w:hAnsi="Times New Roman"/>
        </w:rPr>
        <w:t xml:space="preserve"> </w:t>
      </w:r>
      <w:r w:rsidR="002803CF" w:rsidRPr="00D43F07">
        <w:rPr>
          <w:rFonts w:ascii="Times New Roman" w:hAnsi="Times New Roman"/>
        </w:rPr>
        <w:t>midday</w:t>
      </w:r>
      <w:r w:rsidR="00D93B86" w:rsidRPr="00D43F07">
        <w:rPr>
          <w:rFonts w:ascii="Times New Roman" w:hAnsi="Times New Roman"/>
        </w:rPr>
        <w:t xml:space="preserve"> on </w:t>
      </w:r>
      <w:r w:rsidR="00B544FA">
        <w:rPr>
          <w:rFonts w:ascii="Times New Roman" w:hAnsi="Times New Roman"/>
        </w:rPr>
        <w:t>6</w:t>
      </w:r>
      <w:r w:rsidR="00B544FA" w:rsidRPr="00D43F07">
        <w:rPr>
          <w:rFonts w:ascii="Times New Roman" w:hAnsi="Times New Roman"/>
        </w:rPr>
        <w:t> </w:t>
      </w:r>
      <w:r w:rsidR="00D93B86" w:rsidRPr="00D43F07">
        <w:rPr>
          <w:rFonts w:ascii="Times New Roman" w:hAnsi="Times New Roman"/>
        </w:rPr>
        <w:t>January</w:t>
      </w:r>
      <w:r w:rsidR="00163C7F" w:rsidRPr="00D43F07">
        <w:rPr>
          <w:rFonts w:ascii="Times New Roman" w:hAnsi="Times New Roman"/>
        </w:rPr>
        <w:t> </w:t>
      </w:r>
      <w:r w:rsidR="00B544FA" w:rsidRPr="00D43F07">
        <w:rPr>
          <w:rFonts w:ascii="Times New Roman" w:hAnsi="Times New Roman"/>
        </w:rPr>
        <w:t>202</w:t>
      </w:r>
      <w:r w:rsidR="00B544FA">
        <w:rPr>
          <w:rFonts w:ascii="Times New Roman" w:hAnsi="Times New Roman"/>
        </w:rPr>
        <w:t>5</w:t>
      </w:r>
      <w:r w:rsidR="00B544FA" w:rsidRPr="00D43F07">
        <w:rPr>
          <w:rFonts w:ascii="Times New Roman" w:hAnsi="Times New Roman"/>
        </w:rPr>
        <w:t xml:space="preserve"> </w:t>
      </w:r>
      <w:r w:rsidR="00D93B86" w:rsidRPr="00D43F07">
        <w:rPr>
          <w:rFonts w:ascii="Times New Roman" w:hAnsi="Times New Roman"/>
        </w:rPr>
        <w:t xml:space="preserve">to allow </w:t>
      </w:r>
      <w:r w:rsidRPr="00D43F07">
        <w:rPr>
          <w:rFonts w:ascii="Times New Roman" w:hAnsi="Times New Roman"/>
        </w:rPr>
        <w:t xml:space="preserve">sufficient time </w:t>
      </w:r>
      <w:r w:rsidR="00D93B86" w:rsidRPr="00D43F07">
        <w:rPr>
          <w:rFonts w:ascii="Times New Roman" w:hAnsi="Times New Roman"/>
        </w:rPr>
        <w:t>for the departure of entrant</w:t>
      </w:r>
      <w:r w:rsidR="009338E8" w:rsidRPr="00D43F07">
        <w:rPr>
          <w:rFonts w:ascii="Times New Roman" w:hAnsi="Times New Roman"/>
        </w:rPr>
        <w:t xml:space="preserve"> and promotional </w:t>
      </w:r>
      <w:r w:rsidR="00D93B86" w:rsidRPr="00D43F07">
        <w:rPr>
          <w:rFonts w:ascii="Times New Roman" w:hAnsi="Times New Roman"/>
        </w:rPr>
        <w:t xml:space="preserve">vehicles </w:t>
      </w:r>
      <w:r w:rsidR="00E01401" w:rsidRPr="00D43F07">
        <w:rPr>
          <w:rFonts w:ascii="Times New Roman" w:hAnsi="Times New Roman"/>
        </w:rPr>
        <w:t xml:space="preserve">after the </w:t>
      </w:r>
      <w:r w:rsidRPr="00D43F07">
        <w:rPr>
          <w:rFonts w:ascii="Times New Roman" w:hAnsi="Times New Roman"/>
        </w:rPr>
        <w:t xml:space="preserve">formal </w:t>
      </w:r>
      <w:r w:rsidR="00E01401" w:rsidRPr="00D43F07">
        <w:rPr>
          <w:rFonts w:ascii="Times New Roman" w:hAnsi="Times New Roman"/>
        </w:rPr>
        <w:t>end of the event</w:t>
      </w:r>
      <w:r w:rsidR="00BB2EDD" w:rsidRPr="00D43F07">
        <w:rPr>
          <w:rFonts w:ascii="Times New Roman" w:hAnsi="Times New Roman"/>
        </w:rPr>
        <w:t>.</w:t>
      </w:r>
    </w:p>
    <w:p w14:paraId="14144E88" w14:textId="7B6EB9CB" w:rsidR="00DF1A9E" w:rsidRDefault="00A14A7E" w:rsidP="00B04FC7">
      <w:pPr>
        <w:pStyle w:val="BodyTextIndent2"/>
        <w:tabs>
          <w:tab w:val="clear" w:pos="5670"/>
        </w:tabs>
        <w:spacing w:before="60" w:after="60" w:line="276" w:lineRule="auto"/>
        <w:ind w:left="0" w:firstLine="0"/>
        <w:rPr>
          <w:rFonts w:ascii="Times New Roman" w:hAnsi="Times New Roman"/>
        </w:rPr>
      </w:pPr>
      <w:r w:rsidRPr="00D43F07">
        <w:rPr>
          <w:rFonts w:ascii="Times New Roman" w:hAnsi="Times New Roman"/>
        </w:rPr>
        <w:t xml:space="preserve">Clause 3 </w:t>
      </w:r>
      <w:r w:rsidR="00F25E6A">
        <w:rPr>
          <w:rFonts w:ascii="Times New Roman" w:hAnsi="Times New Roman"/>
        </w:rPr>
        <w:t xml:space="preserve">and clause </w:t>
      </w:r>
      <w:r w:rsidR="0043684C">
        <w:rPr>
          <w:rFonts w:ascii="Times New Roman" w:hAnsi="Times New Roman"/>
        </w:rPr>
        <w:t>6</w:t>
      </w:r>
      <w:r w:rsidR="00F25E6A">
        <w:rPr>
          <w:rFonts w:ascii="Times New Roman" w:hAnsi="Times New Roman"/>
        </w:rPr>
        <w:t xml:space="preserve"> </w:t>
      </w:r>
      <w:r w:rsidRPr="00D43F07">
        <w:rPr>
          <w:rFonts w:ascii="Times New Roman" w:hAnsi="Times New Roman"/>
        </w:rPr>
        <w:t>expire at 6:00pm</w:t>
      </w:r>
      <w:r w:rsidR="00490F9B">
        <w:rPr>
          <w:rFonts w:ascii="Times New Roman" w:hAnsi="Times New Roman"/>
        </w:rPr>
        <w:t xml:space="preserve"> and 11.59pm respectively</w:t>
      </w:r>
      <w:r w:rsidRPr="00D43F07">
        <w:rPr>
          <w:rFonts w:ascii="Times New Roman" w:hAnsi="Times New Roman"/>
        </w:rPr>
        <w:t xml:space="preserve"> on </w:t>
      </w:r>
      <w:r w:rsidR="00B544FA">
        <w:rPr>
          <w:rFonts w:ascii="Times New Roman" w:hAnsi="Times New Roman"/>
        </w:rPr>
        <w:t>5</w:t>
      </w:r>
      <w:r w:rsidR="00B544FA" w:rsidRPr="00D43F07">
        <w:rPr>
          <w:rFonts w:ascii="Times New Roman" w:hAnsi="Times New Roman"/>
        </w:rPr>
        <w:t> </w:t>
      </w:r>
      <w:r w:rsidR="00163C7F" w:rsidRPr="00D43F07">
        <w:rPr>
          <w:rFonts w:ascii="Times New Roman" w:hAnsi="Times New Roman"/>
        </w:rPr>
        <w:t>January </w:t>
      </w:r>
      <w:r w:rsidR="00B544FA" w:rsidRPr="00D43F07">
        <w:rPr>
          <w:rFonts w:ascii="Times New Roman" w:hAnsi="Times New Roman"/>
        </w:rPr>
        <w:t>202</w:t>
      </w:r>
      <w:r w:rsidR="00B544FA">
        <w:rPr>
          <w:rFonts w:ascii="Times New Roman" w:hAnsi="Times New Roman"/>
        </w:rPr>
        <w:t>5</w:t>
      </w:r>
      <w:r w:rsidR="00B544FA" w:rsidRPr="00D43F07">
        <w:rPr>
          <w:rFonts w:ascii="Times New Roman" w:hAnsi="Times New Roman"/>
        </w:rPr>
        <w:t xml:space="preserve"> </w:t>
      </w:r>
      <w:r w:rsidRPr="00D43F07">
        <w:rPr>
          <w:rFonts w:ascii="Times New Roman" w:hAnsi="Times New Roman"/>
        </w:rPr>
        <w:t>when the event officially ends.</w:t>
      </w:r>
    </w:p>
    <w:p w14:paraId="6A157093" w14:textId="6595C2BE" w:rsidR="001A2713" w:rsidRDefault="00DF1A9E" w:rsidP="00B04FC7">
      <w:pPr>
        <w:pStyle w:val="BodyTextIndent2"/>
        <w:tabs>
          <w:tab w:val="clear" w:pos="5670"/>
        </w:tabs>
        <w:spacing w:before="60" w:after="60" w:line="276" w:lineRule="auto"/>
        <w:ind w:left="0" w:firstLine="0"/>
        <w:rPr>
          <w:rFonts w:ascii="Times New Roman" w:hAnsi="Times New Roman"/>
        </w:rPr>
      </w:pPr>
      <w:r w:rsidRPr="002754DD">
        <w:rPr>
          <w:rFonts w:ascii="Times New Roman" w:hAnsi="Times New Roman"/>
          <w:b/>
        </w:rPr>
        <w:lastRenderedPageBreak/>
        <w:t>Schedule</w:t>
      </w:r>
      <w:r w:rsidR="005A77A7">
        <w:rPr>
          <w:rFonts w:ascii="Times New Roman" w:hAnsi="Times New Roman"/>
        </w:rPr>
        <w:t xml:space="preserve"> </w:t>
      </w:r>
      <w:r w:rsidR="00A14A7E" w:rsidRPr="00D60FA2">
        <w:rPr>
          <w:rFonts w:ascii="Times New Roman" w:hAnsi="Times New Roman"/>
          <w:b/>
        </w:rPr>
        <w:t>1</w:t>
      </w:r>
      <w:r w:rsidR="00A14A7E">
        <w:rPr>
          <w:rFonts w:ascii="Times New Roman" w:hAnsi="Times New Roman"/>
        </w:rPr>
        <w:t xml:space="preserve"> and </w:t>
      </w:r>
      <w:r w:rsidR="00A14A7E" w:rsidRPr="00D60FA2">
        <w:rPr>
          <w:rFonts w:ascii="Times New Roman" w:hAnsi="Times New Roman"/>
          <w:b/>
        </w:rPr>
        <w:t>Schedule 2</w:t>
      </w:r>
      <w:r w:rsidR="00A14A7E">
        <w:rPr>
          <w:rFonts w:ascii="Times New Roman" w:hAnsi="Times New Roman"/>
        </w:rPr>
        <w:t xml:space="preserve"> </w:t>
      </w:r>
      <w:r w:rsidR="005A77A7">
        <w:rPr>
          <w:rFonts w:ascii="Times New Roman" w:hAnsi="Times New Roman"/>
        </w:rPr>
        <w:t>provide map</w:t>
      </w:r>
      <w:r w:rsidR="00163C7F">
        <w:rPr>
          <w:rFonts w:ascii="Times New Roman" w:hAnsi="Times New Roman"/>
        </w:rPr>
        <w:t>s</w:t>
      </w:r>
      <w:r>
        <w:rPr>
          <w:rFonts w:ascii="Times New Roman" w:hAnsi="Times New Roman"/>
        </w:rPr>
        <w:t xml:space="preserve"> that define </w:t>
      </w:r>
      <w:r w:rsidR="00A14A7E">
        <w:rPr>
          <w:rFonts w:ascii="Times New Roman" w:hAnsi="Times New Roman"/>
        </w:rPr>
        <w:t>declared areas</w:t>
      </w:r>
      <w:r w:rsidR="004F6962">
        <w:rPr>
          <w:rFonts w:ascii="Times New Roman" w:hAnsi="Times New Roman"/>
        </w:rPr>
        <w:t>,</w:t>
      </w:r>
      <w:r w:rsidR="00A14A7E">
        <w:rPr>
          <w:rFonts w:ascii="Times New Roman" w:hAnsi="Times New Roman"/>
        </w:rPr>
        <w:t xml:space="preserve"> declared drifting areas</w:t>
      </w:r>
      <w:r w:rsidR="004F6962">
        <w:rPr>
          <w:rFonts w:ascii="Times New Roman" w:hAnsi="Times New Roman"/>
        </w:rPr>
        <w:t xml:space="preserve"> and</w:t>
      </w:r>
      <w:r w:rsidR="00A14A7E">
        <w:rPr>
          <w:rFonts w:ascii="Times New Roman" w:hAnsi="Times New Roman"/>
        </w:rPr>
        <w:t xml:space="preserve"> declared power skid areas referenced in the </w:t>
      </w:r>
      <w:r w:rsidR="0035731B">
        <w:rPr>
          <w:rFonts w:ascii="Times New Roman" w:hAnsi="Times New Roman"/>
        </w:rPr>
        <w:t>I</w:t>
      </w:r>
      <w:r w:rsidR="00A14A7E">
        <w:rPr>
          <w:rFonts w:ascii="Times New Roman" w:hAnsi="Times New Roman"/>
        </w:rPr>
        <w:t xml:space="preserve">nstrument and within which the </w:t>
      </w:r>
      <w:r w:rsidR="0035731B">
        <w:rPr>
          <w:rFonts w:ascii="Times New Roman" w:hAnsi="Times New Roman"/>
        </w:rPr>
        <w:t>I</w:t>
      </w:r>
      <w:r w:rsidR="00A14A7E">
        <w:rPr>
          <w:rFonts w:ascii="Times New Roman" w:hAnsi="Times New Roman"/>
        </w:rPr>
        <w:t xml:space="preserve">nstrument has effect. </w:t>
      </w:r>
    </w:p>
    <w:p w14:paraId="2DF39154" w14:textId="1C8B2E5F" w:rsidR="00386AFB" w:rsidRPr="00386AFB" w:rsidRDefault="007535D0" w:rsidP="00C26D36">
      <w:pPr>
        <w:pStyle w:val="BodyTextIndent2"/>
        <w:tabs>
          <w:tab w:val="clear" w:pos="5670"/>
        </w:tabs>
        <w:spacing w:before="60" w:after="60" w:line="276" w:lineRule="auto"/>
        <w:ind w:left="0" w:firstLine="0"/>
      </w:pPr>
      <w:r w:rsidRPr="005D5B4A">
        <w:rPr>
          <w:rFonts w:ascii="Times New Roman" w:hAnsi="Times New Roman"/>
          <w:b/>
          <w:bCs/>
        </w:rPr>
        <w:t>Schedule 3</w:t>
      </w:r>
      <w:r>
        <w:rPr>
          <w:rFonts w:ascii="Times New Roman" w:hAnsi="Times New Roman"/>
        </w:rPr>
        <w:t xml:space="preserve"> provides a map that defines the area where clause </w:t>
      </w:r>
      <w:r w:rsidR="0043684C">
        <w:rPr>
          <w:rFonts w:ascii="Times New Roman" w:hAnsi="Times New Roman"/>
        </w:rPr>
        <w:t>6</w:t>
      </w:r>
      <w:r>
        <w:rPr>
          <w:rFonts w:ascii="Times New Roman" w:hAnsi="Times New Roman"/>
        </w:rPr>
        <w:t xml:space="preserve"> applies.</w:t>
      </w:r>
    </w:p>
    <w:sectPr w:rsidR="00386AFB" w:rsidRPr="00386AFB" w:rsidSect="000651BE">
      <w:headerReference w:type="even" r:id="rId9"/>
      <w:headerReference w:type="default" r:id="rId10"/>
      <w:footerReference w:type="even" r:id="rId11"/>
      <w:footerReference w:type="default" r:id="rId12"/>
      <w:headerReference w:type="first" r:id="rId13"/>
      <w:footerReference w:type="first" r:id="rId14"/>
      <w:pgSz w:w="11907" w:h="16840" w:code="9"/>
      <w:pgMar w:top="1298" w:right="1701" w:bottom="1247" w:left="1701" w:header="709" w:footer="51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FD80F" w14:textId="77777777" w:rsidR="002557D6" w:rsidRDefault="002557D6">
      <w:r>
        <w:separator/>
      </w:r>
    </w:p>
  </w:endnote>
  <w:endnote w:type="continuationSeparator" w:id="0">
    <w:p w14:paraId="7333E995" w14:textId="77777777" w:rsidR="002557D6" w:rsidRDefault="0025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2226F" w14:textId="77777777" w:rsidR="00D36C11" w:rsidRDefault="00D36C11" w:rsidP="00D93B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8FBD83" w14:textId="77777777" w:rsidR="00D36C11" w:rsidRDefault="00D36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58009"/>
      <w:docPartObj>
        <w:docPartGallery w:val="Page Numbers (Bottom of Page)"/>
        <w:docPartUnique/>
      </w:docPartObj>
    </w:sdtPr>
    <w:sdtEndPr>
      <w:rPr>
        <w:noProof/>
      </w:rPr>
    </w:sdtEndPr>
    <w:sdtContent>
      <w:p w14:paraId="40B89FD3" w14:textId="77777777" w:rsidR="00385BB0" w:rsidRDefault="00385B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D827B7" w14:textId="406FF5A7" w:rsidR="00D36C11" w:rsidRPr="006B3807" w:rsidRDefault="006B3807" w:rsidP="006B3807">
    <w:pPr>
      <w:pStyle w:val="Footer"/>
      <w:spacing w:before="120"/>
      <w:jc w:val="center"/>
      <w:rPr>
        <w:rFonts w:ascii="Arial" w:hAnsi="Arial" w:cs="Arial"/>
        <w:sz w:val="14"/>
      </w:rPr>
    </w:pPr>
    <w:r w:rsidRPr="006B3807">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E7927" w14:textId="1866F273" w:rsidR="00D36C11" w:rsidRPr="006B3807" w:rsidRDefault="006B3807" w:rsidP="006B3807">
    <w:pPr>
      <w:pStyle w:val="Footer"/>
      <w:jc w:val="center"/>
      <w:rPr>
        <w:rFonts w:ascii="Arial" w:hAnsi="Arial" w:cs="Arial"/>
        <w:sz w:val="14"/>
      </w:rPr>
    </w:pPr>
    <w:r w:rsidRPr="006B3807">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5BFE6" w14:textId="77777777" w:rsidR="002557D6" w:rsidRDefault="002557D6">
      <w:r>
        <w:separator/>
      </w:r>
    </w:p>
  </w:footnote>
  <w:footnote w:type="continuationSeparator" w:id="0">
    <w:p w14:paraId="17CA64D6" w14:textId="77777777" w:rsidR="002557D6" w:rsidRDefault="00255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B0715" w14:textId="77777777" w:rsidR="006B3807" w:rsidRDefault="006B3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7A069" w14:textId="77777777" w:rsidR="006B3807" w:rsidRDefault="006B38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5A2E5" w14:textId="77777777" w:rsidR="006B3807" w:rsidRDefault="006B3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352687E"/>
    <w:lvl w:ilvl="0">
      <w:numFmt w:val="decimal"/>
      <w:lvlText w:val="*"/>
      <w:lvlJc w:val="left"/>
      <w:rPr>
        <w:rFonts w:cs="Times New Roman"/>
      </w:rPr>
    </w:lvl>
  </w:abstractNum>
  <w:abstractNum w:abstractNumId="1" w15:restartNumberingAfterBreak="0">
    <w:nsid w:val="2E704CEE"/>
    <w:multiLevelType w:val="singleLevel"/>
    <w:tmpl w:val="28EEA426"/>
    <w:lvl w:ilvl="0">
      <w:start w:val="1"/>
      <w:numFmt w:val="lowerLetter"/>
      <w:lvlText w:val="(%1)"/>
      <w:legacy w:legacy="1" w:legacySpace="0" w:legacyIndent="360"/>
      <w:lvlJc w:val="left"/>
      <w:pPr>
        <w:ind w:left="360" w:hanging="360"/>
      </w:pPr>
      <w:rPr>
        <w:rFonts w:cs="Times New Roman"/>
      </w:rPr>
    </w:lvl>
  </w:abstractNum>
  <w:abstractNum w:abstractNumId="2" w15:restartNumberingAfterBreak="0">
    <w:nsid w:val="37335B35"/>
    <w:multiLevelType w:val="hybridMultilevel"/>
    <w:tmpl w:val="9C166508"/>
    <w:lvl w:ilvl="0" w:tplc="4038252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A0E89"/>
    <w:multiLevelType w:val="hybridMultilevel"/>
    <w:tmpl w:val="B9B62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F8062A"/>
    <w:multiLevelType w:val="hybridMultilevel"/>
    <w:tmpl w:val="321CB85C"/>
    <w:lvl w:ilvl="0" w:tplc="3D0C5984">
      <w:start w:val="1"/>
      <w:numFmt w:val="lowerLetter"/>
      <w:lvlText w:val="%1)"/>
      <w:lvlJc w:val="left"/>
      <w:pPr>
        <w:tabs>
          <w:tab w:val="num" w:pos="1613"/>
        </w:tabs>
        <w:ind w:left="1613" w:hanging="360"/>
      </w:pPr>
      <w:rPr>
        <w:rFonts w:cs="Times New Roman" w:hint="default"/>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num w:numId="1" w16cid:durableId="1685327258">
    <w:abstractNumId w:val="1"/>
  </w:num>
  <w:num w:numId="2" w16cid:durableId="6907125">
    <w:abstractNumId w:val="0"/>
    <w:lvlOverride w:ilvl="0">
      <w:lvl w:ilvl="0">
        <w:start w:val="1"/>
        <w:numFmt w:val="bullet"/>
        <w:lvlText w:val=""/>
        <w:legacy w:legacy="1" w:legacySpace="0" w:legacyIndent="709"/>
        <w:lvlJc w:val="left"/>
        <w:pPr>
          <w:ind w:left="709" w:hanging="709"/>
        </w:pPr>
        <w:rPr>
          <w:rFonts w:ascii="Symbol" w:hAnsi="Symbol" w:hint="default"/>
        </w:rPr>
      </w:lvl>
    </w:lvlOverride>
  </w:num>
  <w:num w:numId="3" w16cid:durableId="1499228418">
    <w:abstractNumId w:val="4"/>
  </w:num>
  <w:num w:numId="4" w16cid:durableId="853422186">
    <w:abstractNumId w:val="2"/>
  </w:num>
  <w:num w:numId="5" w16cid:durableId="883374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009"/>
    <w:rsid w:val="000013F7"/>
    <w:rsid w:val="00002F52"/>
    <w:rsid w:val="00020A79"/>
    <w:rsid w:val="0003422F"/>
    <w:rsid w:val="00034453"/>
    <w:rsid w:val="00052F29"/>
    <w:rsid w:val="00055CA5"/>
    <w:rsid w:val="00061517"/>
    <w:rsid w:val="00061B0C"/>
    <w:rsid w:val="000651BE"/>
    <w:rsid w:val="00065318"/>
    <w:rsid w:val="00070FBE"/>
    <w:rsid w:val="00076CF0"/>
    <w:rsid w:val="0008351D"/>
    <w:rsid w:val="000B130A"/>
    <w:rsid w:val="000B68A1"/>
    <w:rsid w:val="000C2CE1"/>
    <w:rsid w:val="000C3CFB"/>
    <w:rsid w:val="000C569D"/>
    <w:rsid w:val="000D1051"/>
    <w:rsid w:val="000D73BB"/>
    <w:rsid w:val="000E1267"/>
    <w:rsid w:val="000E32E3"/>
    <w:rsid w:val="000E36C8"/>
    <w:rsid w:val="00110805"/>
    <w:rsid w:val="00110A12"/>
    <w:rsid w:val="00114603"/>
    <w:rsid w:val="00137218"/>
    <w:rsid w:val="001417C3"/>
    <w:rsid w:val="001543D7"/>
    <w:rsid w:val="0016139E"/>
    <w:rsid w:val="00163C7F"/>
    <w:rsid w:val="00176A3F"/>
    <w:rsid w:val="001810C2"/>
    <w:rsid w:val="001810C4"/>
    <w:rsid w:val="00194176"/>
    <w:rsid w:val="001A2713"/>
    <w:rsid w:val="001B67E2"/>
    <w:rsid w:val="001C3F01"/>
    <w:rsid w:val="001E2421"/>
    <w:rsid w:val="001E49F5"/>
    <w:rsid w:val="001E5149"/>
    <w:rsid w:val="00202ED8"/>
    <w:rsid w:val="00213F1F"/>
    <w:rsid w:val="00242E3E"/>
    <w:rsid w:val="002458E5"/>
    <w:rsid w:val="002458FF"/>
    <w:rsid w:val="00254523"/>
    <w:rsid w:val="002557D6"/>
    <w:rsid w:val="002665FA"/>
    <w:rsid w:val="00270EB8"/>
    <w:rsid w:val="00274BE0"/>
    <w:rsid w:val="002754DD"/>
    <w:rsid w:val="002803CF"/>
    <w:rsid w:val="0028551B"/>
    <w:rsid w:val="00294BB7"/>
    <w:rsid w:val="00295F0B"/>
    <w:rsid w:val="00297D37"/>
    <w:rsid w:val="002B2483"/>
    <w:rsid w:val="002B3CAC"/>
    <w:rsid w:val="002C2CA3"/>
    <w:rsid w:val="002D2813"/>
    <w:rsid w:val="002D2DCD"/>
    <w:rsid w:val="002E058C"/>
    <w:rsid w:val="003053DA"/>
    <w:rsid w:val="0030604D"/>
    <w:rsid w:val="00307047"/>
    <w:rsid w:val="00344337"/>
    <w:rsid w:val="0034681C"/>
    <w:rsid w:val="00346BFC"/>
    <w:rsid w:val="0035731B"/>
    <w:rsid w:val="003613F6"/>
    <w:rsid w:val="00365AF4"/>
    <w:rsid w:val="00384EE5"/>
    <w:rsid w:val="00385BB0"/>
    <w:rsid w:val="00386AFB"/>
    <w:rsid w:val="00397923"/>
    <w:rsid w:val="003A0459"/>
    <w:rsid w:val="003A49A4"/>
    <w:rsid w:val="003B1CE8"/>
    <w:rsid w:val="003B4312"/>
    <w:rsid w:val="003B7036"/>
    <w:rsid w:val="003E1061"/>
    <w:rsid w:val="003E5475"/>
    <w:rsid w:val="00412840"/>
    <w:rsid w:val="004201DD"/>
    <w:rsid w:val="00434742"/>
    <w:rsid w:val="0043684C"/>
    <w:rsid w:val="004676BC"/>
    <w:rsid w:val="004734E2"/>
    <w:rsid w:val="00483BA2"/>
    <w:rsid w:val="00490F9B"/>
    <w:rsid w:val="004A7F19"/>
    <w:rsid w:val="004B4326"/>
    <w:rsid w:val="004C40BA"/>
    <w:rsid w:val="004D00B4"/>
    <w:rsid w:val="004D14D4"/>
    <w:rsid w:val="004E3A6F"/>
    <w:rsid w:val="004F15E4"/>
    <w:rsid w:val="004F6962"/>
    <w:rsid w:val="00500723"/>
    <w:rsid w:val="005142F0"/>
    <w:rsid w:val="0052129A"/>
    <w:rsid w:val="0054097D"/>
    <w:rsid w:val="00545955"/>
    <w:rsid w:val="00553022"/>
    <w:rsid w:val="00555098"/>
    <w:rsid w:val="005600BF"/>
    <w:rsid w:val="00562447"/>
    <w:rsid w:val="0058281E"/>
    <w:rsid w:val="005A4B1B"/>
    <w:rsid w:val="005A71E1"/>
    <w:rsid w:val="005A77A7"/>
    <w:rsid w:val="005B198C"/>
    <w:rsid w:val="005B19AF"/>
    <w:rsid w:val="005B286C"/>
    <w:rsid w:val="005C647C"/>
    <w:rsid w:val="005D0A67"/>
    <w:rsid w:val="005D29E1"/>
    <w:rsid w:val="005D5B4A"/>
    <w:rsid w:val="005D7457"/>
    <w:rsid w:val="005F6559"/>
    <w:rsid w:val="006006ED"/>
    <w:rsid w:val="00600F61"/>
    <w:rsid w:val="00602242"/>
    <w:rsid w:val="00606342"/>
    <w:rsid w:val="0061066C"/>
    <w:rsid w:val="00615129"/>
    <w:rsid w:val="0063440C"/>
    <w:rsid w:val="00637042"/>
    <w:rsid w:val="00637385"/>
    <w:rsid w:val="00641557"/>
    <w:rsid w:val="00656DE7"/>
    <w:rsid w:val="00665E64"/>
    <w:rsid w:val="00677D12"/>
    <w:rsid w:val="00687114"/>
    <w:rsid w:val="006952AA"/>
    <w:rsid w:val="006A5B65"/>
    <w:rsid w:val="006B0716"/>
    <w:rsid w:val="006B36D0"/>
    <w:rsid w:val="006B3807"/>
    <w:rsid w:val="006C3AEB"/>
    <w:rsid w:val="006C7921"/>
    <w:rsid w:val="006D7A03"/>
    <w:rsid w:val="006E062C"/>
    <w:rsid w:val="006E3FDC"/>
    <w:rsid w:val="006F049C"/>
    <w:rsid w:val="0070301E"/>
    <w:rsid w:val="0070705D"/>
    <w:rsid w:val="00717D45"/>
    <w:rsid w:val="007230C4"/>
    <w:rsid w:val="00730099"/>
    <w:rsid w:val="0074697D"/>
    <w:rsid w:val="0075183B"/>
    <w:rsid w:val="007535D0"/>
    <w:rsid w:val="00763E63"/>
    <w:rsid w:val="00771A43"/>
    <w:rsid w:val="00782004"/>
    <w:rsid w:val="007A2223"/>
    <w:rsid w:val="007F4C56"/>
    <w:rsid w:val="007F6F10"/>
    <w:rsid w:val="008111A9"/>
    <w:rsid w:val="00815F21"/>
    <w:rsid w:val="008227B5"/>
    <w:rsid w:val="0082533E"/>
    <w:rsid w:val="008315DB"/>
    <w:rsid w:val="00837F5B"/>
    <w:rsid w:val="00853702"/>
    <w:rsid w:val="008544AF"/>
    <w:rsid w:val="00863870"/>
    <w:rsid w:val="00865E89"/>
    <w:rsid w:val="008724A1"/>
    <w:rsid w:val="00880A3A"/>
    <w:rsid w:val="00881A1E"/>
    <w:rsid w:val="0089113F"/>
    <w:rsid w:val="0089780B"/>
    <w:rsid w:val="008A21B6"/>
    <w:rsid w:val="008A3778"/>
    <w:rsid w:val="008A56F8"/>
    <w:rsid w:val="008B1E7A"/>
    <w:rsid w:val="008B5009"/>
    <w:rsid w:val="008C0F01"/>
    <w:rsid w:val="008C36C6"/>
    <w:rsid w:val="008C58D8"/>
    <w:rsid w:val="008D387B"/>
    <w:rsid w:val="008E045D"/>
    <w:rsid w:val="00900467"/>
    <w:rsid w:val="00903BED"/>
    <w:rsid w:val="00911B06"/>
    <w:rsid w:val="00913C5C"/>
    <w:rsid w:val="00915E5C"/>
    <w:rsid w:val="009255A2"/>
    <w:rsid w:val="00932DD1"/>
    <w:rsid w:val="009338E8"/>
    <w:rsid w:val="00946828"/>
    <w:rsid w:val="00950289"/>
    <w:rsid w:val="00951E85"/>
    <w:rsid w:val="00954DD3"/>
    <w:rsid w:val="00962C8D"/>
    <w:rsid w:val="00975FBC"/>
    <w:rsid w:val="009875D3"/>
    <w:rsid w:val="00990D66"/>
    <w:rsid w:val="009945BF"/>
    <w:rsid w:val="00997760"/>
    <w:rsid w:val="009A751D"/>
    <w:rsid w:val="009B759B"/>
    <w:rsid w:val="009C0FA9"/>
    <w:rsid w:val="009C3F35"/>
    <w:rsid w:val="009C68F4"/>
    <w:rsid w:val="009D3A12"/>
    <w:rsid w:val="009E2DE8"/>
    <w:rsid w:val="009E511B"/>
    <w:rsid w:val="009F7570"/>
    <w:rsid w:val="00A01B55"/>
    <w:rsid w:val="00A062CE"/>
    <w:rsid w:val="00A14A7E"/>
    <w:rsid w:val="00A370F4"/>
    <w:rsid w:val="00A44E8D"/>
    <w:rsid w:val="00A47AE7"/>
    <w:rsid w:val="00A8135C"/>
    <w:rsid w:val="00A87D65"/>
    <w:rsid w:val="00A9716E"/>
    <w:rsid w:val="00AA42AF"/>
    <w:rsid w:val="00AA4558"/>
    <w:rsid w:val="00AB2A43"/>
    <w:rsid w:val="00AD3CE6"/>
    <w:rsid w:val="00AE0E13"/>
    <w:rsid w:val="00AE53E6"/>
    <w:rsid w:val="00B04FC7"/>
    <w:rsid w:val="00B37686"/>
    <w:rsid w:val="00B544FA"/>
    <w:rsid w:val="00B56DD9"/>
    <w:rsid w:val="00B671DB"/>
    <w:rsid w:val="00B7480D"/>
    <w:rsid w:val="00B81ED9"/>
    <w:rsid w:val="00B952FA"/>
    <w:rsid w:val="00BA3A6C"/>
    <w:rsid w:val="00BB0435"/>
    <w:rsid w:val="00BB2EDD"/>
    <w:rsid w:val="00BC229A"/>
    <w:rsid w:val="00BC32EE"/>
    <w:rsid w:val="00BC5B97"/>
    <w:rsid w:val="00BC7869"/>
    <w:rsid w:val="00BD3D3B"/>
    <w:rsid w:val="00BE3DD7"/>
    <w:rsid w:val="00BF4792"/>
    <w:rsid w:val="00C070B3"/>
    <w:rsid w:val="00C1548A"/>
    <w:rsid w:val="00C21DE2"/>
    <w:rsid w:val="00C2385E"/>
    <w:rsid w:val="00C26D36"/>
    <w:rsid w:val="00C31CA1"/>
    <w:rsid w:val="00C50DE0"/>
    <w:rsid w:val="00C5482C"/>
    <w:rsid w:val="00C71011"/>
    <w:rsid w:val="00C74DE1"/>
    <w:rsid w:val="00C8452C"/>
    <w:rsid w:val="00C862A9"/>
    <w:rsid w:val="00CA1DBA"/>
    <w:rsid w:val="00CA2554"/>
    <w:rsid w:val="00CA38F2"/>
    <w:rsid w:val="00CE0B66"/>
    <w:rsid w:val="00CF48F4"/>
    <w:rsid w:val="00D075C7"/>
    <w:rsid w:val="00D36C11"/>
    <w:rsid w:val="00D43F07"/>
    <w:rsid w:val="00D519A6"/>
    <w:rsid w:val="00D54139"/>
    <w:rsid w:val="00D60FA2"/>
    <w:rsid w:val="00D6650B"/>
    <w:rsid w:val="00D9210A"/>
    <w:rsid w:val="00D92E95"/>
    <w:rsid w:val="00D93B86"/>
    <w:rsid w:val="00D950E3"/>
    <w:rsid w:val="00DB40F5"/>
    <w:rsid w:val="00DD20E7"/>
    <w:rsid w:val="00DF082B"/>
    <w:rsid w:val="00DF1A9E"/>
    <w:rsid w:val="00E01401"/>
    <w:rsid w:val="00E11DBD"/>
    <w:rsid w:val="00E1519D"/>
    <w:rsid w:val="00E407EC"/>
    <w:rsid w:val="00E430C6"/>
    <w:rsid w:val="00E440FC"/>
    <w:rsid w:val="00E70393"/>
    <w:rsid w:val="00E84690"/>
    <w:rsid w:val="00EA192E"/>
    <w:rsid w:val="00EA30F8"/>
    <w:rsid w:val="00EA50FB"/>
    <w:rsid w:val="00EA7484"/>
    <w:rsid w:val="00EE0807"/>
    <w:rsid w:val="00EE35EB"/>
    <w:rsid w:val="00EE360B"/>
    <w:rsid w:val="00F12ABC"/>
    <w:rsid w:val="00F25E6A"/>
    <w:rsid w:val="00F34C4A"/>
    <w:rsid w:val="00F3745F"/>
    <w:rsid w:val="00F50816"/>
    <w:rsid w:val="00F514A1"/>
    <w:rsid w:val="00F604C6"/>
    <w:rsid w:val="00F62F06"/>
    <w:rsid w:val="00F67881"/>
    <w:rsid w:val="00FA377A"/>
    <w:rsid w:val="00FB3584"/>
    <w:rsid w:val="00FC60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87D43E"/>
  <w15:chartTrackingRefBased/>
  <w15:docId w15:val="{EB1196B0-FD0C-4985-910B-1187FA95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Indent 2"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spacing w:before="240" w:after="60"/>
      <w:ind w:left="720" w:hanging="720"/>
      <w:outlineLvl w:val="0"/>
    </w:pPr>
    <w:rPr>
      <w:rFonts w:ascii="Arial" w:hAnsi="Arial" w:cs="Arial"/>
      <w:b/>
      <w:bCs/>
    </w:rPr>
  </w:style>
  <w:style w:type="paragraph" w:styleId="Heading2">
    <w:name w:val="heading 2"/>
    <w:basedOn w:val="Normal"/>
    <w:next w:val="Normal"/>
    <w:link w:val="Heading2Char"/>
    <w:uiPriority w:val="9"/>
    <w:qFormat/>
    <w:pPr>
      <w:keepNext/>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x-none" w:eastAsia="en-US"/>
    </w:rPr>
  </w:style>
  <w:style w:type="paragraph" w:customStyle="1" w:styleId="01Contents">
    <w:name w:val="01Contents"/>
    <w:basedOn w:val="Normal"/>
    <w:pPr>
      <w:tabs>
        <w:tab w:val="left" w:pos="2880"/>
      </w:tabs>
      <w:overflowPunct w:val="0"/>
      <w:autoSpaceDE w:val="0"/>
      <w:autoSpaceDN w:val="0"/>
      <w:adjustRightInd w:val="0"/>
      <w:textAlignment w:val="baseline"/>
    </w:pPr>
    <w:rPr>
      <w:lang w:val="en-US"/>
    </w:rPr>
  </w:style>
  <w:style w:type="paragraph" w:styleId="Header">
    <w:name w:val="header"/>
    <w:basedOn w:val="Normal"/>
    <w:link w:val="HeaderChar"/>
    <w:uiPriority w:val="99"/>
    <w:pPr>
      <w:tabs>
        <w:tab w:val="left" w:pos="2880"/>
        <w:tab w:val="center" w:pos="4153"/>
        <w:tab w:val="right" w:pos="8306"/>
      </w:tabs>
      <w:overflowPunct w:val="0"/>
      <w:autoSpaceDE w:val="0"/>
      <w:autoSpaceDN w:val="0"/>
      <w:adjustRightInd w:val="0"/>
      <w:textAlignment w:val="baseline"/>
    </w:pPr>
    <w:rPr>
      <w:lang w:val="en-US"/>
    </w:rPr>
  </w:style>
  <w:style w:type="character" w:customStyle="1" w:styleId="HeaderChar">
    <w:name w:val="Header Char"/>
    <w:link w:val="Header"/>
    <w:uiPriority w:val="99"/>
    <w:locked/>
    <w:rPr>
      <w:rFonts w:cs="Times New Roman"/>
      <w:sz w:val="24"/>
      <w:lang w:val="x-none" w:eastAsia="en-US"/>
    </w:rPr>
  </w:style>
  <w:style w:type="paragraph" w:customStyle="1" w:styleId="Billname">
    <w:name w:val="Billname"/>
    <w:basedOn w:val="Normal"/>
    <w:pPr>
      <w:tabs>
        <w:tab w:val="left" w:pos="2400"/>
        <w:tab w:val="left" w:pos="2880"/>
      </w:tabs>
      <w:overflowPunct w:val="0"/>
      <w:autoSpaceDE w:val="0"/>
      <w:autoSpaceDN w:val="0"/>
      <w:adjustRightInd w:val="0"/>
      <w:spacing w:before="1220" w:after="100"/>
      <w:textAlignment w:val="baseline"/>
    </w:pPr>
    <w:rPr>
      <w:rFonts w:ascii="Arial" w:hAnsi="Arial"/>
      <w:b/>
      <w:sz w:val="40"/>
    </w:rPr>
  </w:style>
  <w:style w:type="paragraph" w:customStyle="1" w:styleId="N-line3">
    <w:name w:val="N-line3"/>
    <w:basedOn w:val="Normal"/>
    <w:next w:val="Normal"/>
    <w:pPr>
      <w:pBdr>
        <w:bottom w:val="single" w:sz="12" w:space="1" w:color="auto"/>
      </w:pBdr>
      <w:overflowPunct w:val="0"/>
      <w:autoSpaceDE w:val="0"/>
      <w:autoSpaceDN w:val="0"/>
      <w:adjustRightInd w:val="0"/>
      <w:jc w:val="both"/>
      <w:textAlignment w:val="baseline"/>
    </w:pPr>
  </w:style>
  <w:style w:type="paragraph" w:customStyle="1" w:styleId="madeunder">
    <w:name w:val="made under"/>
    <w:basedOn w:val="Normal"/>
    <w:pPr>
      <w:overflowPunct w:val="0"/>
      <w:autoSpaceDE w:val="0"/>
      <w:autoSpaceDN w:val="0"/>
      <w:adjustRightInd w:val="0"/>
      <w:spacing w:before="180" w:after="60"/>
      <w:jc w:val="both"/>
      <w:textAlignment w:val="baseline"/>
    </w:pPr>
  </w:style>
  <w:style w:type="paragraph" w:customStyle="1" w:styleId="CoverActName">
    <w:name w:val="CoverActName"/>
    <w:basedOn w:val="Normal"/>
    <w:pPr>
      <w:tabs>
        <w:tab w:val="left" w:pos="2600"/>
      </w:tabs>
      <w:overflowPunct w:val="0"/>
      <w:autoSpaceDE w:val="0"/>
      <w:autoSpaceDN w:val="0"/>
      <w:adjustRightInd w:val="0"/>
      <w:spacing w:before="200" w:after="60"/>
      <w:jc w:val="both"/>
      <w:textAlignment w:val="baseline"/>
    </w:pPr>
    <w:rPr>
      <w:rFonts w:ascii="Arial" w:hAnsi="Arial"/>
      <w:b/>
    </w:rPr>
  </w:style>
  <w:style w:type="paragraph" w:styleId="BodyTextIndent2">
    <w:name w:val="Body Text Indent 2"/>
    <w:basedOn w:val="Normal"/>
    <w:link w:val="BodyTextIndent2Char"/>
    <w:uiPriority w:val="99"/>
    <w:pPr>
      <w:tabs>
        <w:tab w:val="left" w:pos="5670"/>
      </w:tabs>
      <w:overflowPunct w:val="0"/>
      <w:autoSpaceDE w:val="0"/>
      <w:autoSpaceDN w:val="0"/>
      <w:adjustRightInd w:val="0"/>
      <w:ind w:left="5670" w:hanging="5670"/>
      <w:textAlignment w:val="baseline"/>
    </w:pPr>
    <w:rPr>
      <w:rFonts w:ascii="Arial" w:hAnsi="Arial"/>
    </w:rPr>
  </w:style>
  <w:style w:type="character" w:customStyle="1" w:styleId="BodyTextIndent2Char">
    <w:name w:val="Body Text Indent 2 Char"/>
    <w:link w:val="BodyTextIndent2"/>
    <w:uiPriority w:val="99"/>
    <w:locked/>
    <w:rPr>
      <w:rFonts w:cs="Times New Roman"/>
      <w:sz w:val="24"/>
      <w:lang w:val="x-none" w:eastAsia="en-US"/>
    </w:rPr>
  </w:style>
  <w:style w:type="paragraph" w:styleId="BodyTextIndent">
    <w:name w:val="Body Text Indent"/>
    <w:basedOn w:val="Normal"/>
    <w:link w:val="BodyTextIndentChar"/>
    <w:uiPriority w:val="99"/>
    <w:pPr>
      <w:spacing w:before="240" w:after="60"/>
      <w:ind w:left="720" w:hanging="720"/>
    </w:pPr>
  </w:style>
  <w:style w:type="character" w:customStyle="1" w:styleId="BodyTextIndentChar">
    <w:name w:val="Body Text Indent Char"/>
    <w:link w:val="BodyTextIndent"/>
    <w:uiPriority w:val="99"/>
    <w:semiHidden/>
    <w:locked/>
    <w:rPr>
      <w:rFonts w:cs="Times New Roman"/>
      <w:sz w:val="24"/>
      <w:lang w:val="x-none" w:eastAsia="en-US"/>
    </w:rPr>
  </w:style>
  <w:style w:type="paragraph" w:styleId="BodyText">
    <w:name w:val="Body Text"/>
    <w:basedOn w:val="Normal"/>
    <w:link w:val="BodyTextChar"/>
    <w:uiPriority w:val="99"/>
  </w:style>
  <w:style w:type="character" w:customStyle="1" w:styleId="BodyTextChar">
    <w:name w:val="Body Text Char"/>
    <w:link w:val="BodyText"/>
    <w:uiPriority w:val="99"/>
    <w:locked/>
    <w:rPr>
      <w:rFonts w:cs="Times New Roman"/>
      <w:sz w:val="24"/>
      <w:lang w:val="x-none" w:eastAsia="en-US"/>
    </w:rPr>
  </w:style>
  <w:style w:type="paragraph" w:styleId="BalloonText">
    <w:name w:val="Balloon Text"/>
    <w:basedOn w:val="Normal"/>
    <w:link w:val="BalloonTextChar"/>
    <w:uiPriority w:val="99"/>
    <w:semiHidden/>
    <w:rsid w:val="008B5009"/>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Footer">
    <w:name w:val="footer"/>
    <w:basedOn w:val="Normal"/>
    <w:link w:val="FooterChar"/>
    <w:uiPriority w:val="99"/>
    <w:rsid w:val="00D93B86"/>
    <w:pPr>
      <w:tabs>
        <w:tab w:val="center" w:pos="4153"/>
        <w:tab w:val="right" w:pos="8306"/>
      </w:tabs>
    </w:pPr>
  </w:style>
  <w:style w:type="character" w:customStyle="1" w:styleId="FooterChar">
    <w:name w:val="Footer Char"/>
    <w:link w:val="Footer"/>
    <w:uiPriority w:val="99"/>
    <w:locked/>
    <w:rPr>
      <w:rFonts w:cs="Times New Roman"/>
      <w:sz w:val="24"/>
      <w:lang w:val="x-none" w:eastAsia="en-US"/>
    </w:rPr>
  </w:style>
  <w:style w:type="character" w:styleId="PageNumber">
    <w:name w:val="page number"/>
    <w:uiPriority w:val="99"/>
    <w:rsid w:val="00D93B86"/>
    <w:rPr>
      <w:rFonts w:cs="Times New Roman"/>
    </w:rPr>
  </w:style>
  <w:style w:type="character" w:styleId="CommentReference">
    <w:name w:val="annotation reference"/>
    <w:rsid w:val="005D7457"/>
    <w:rPr>
      <w:sz w:val="16"/>
      <w:szCs w:val="16"/>
    </w:rPr>
  </w:style>
  <w:style w:type="paragraph" w:styleId="CommentText">
    <w:name w:val="annotation text"/>
    <w:basedOn w:val="Normal"/>
    <w:link w:val="CommentTextChar"/>
    <w:rsid w:val="005D7457"/>
    <w:rPr>
      <w:sz w:val="20"/>
    </w:rPr>
  </w:style>
  <w:style w:type="character" w:customStyle="1" w:styleId="CommentTextChar">
    <w:name w:val="Comment Text Char"/>
    <w:link w:val="CommentText"/>
    <w:rsid w:val="005D7457"/>
    <w:rPr>
      <w:lang w:eastAsia="en-US"/>
    </w:rPr>
  </w:style>
  <w:style w:type="paragraph" w:styleId="CommentSubject">
    <w:name w:val="annotation subject"/>
    <w:basedOn w:val="CommentText"/>
    <w:next w:val="CommentText"/>
    <w:link w:val="CommentSubjectChar"/>
    <w:rsid w:val="005D7457"/>
    <w:rPr>
      <w:b/>
      <w:bCs/>
    </w:rPr>
  </w:style>
  <w:style w:type="character" w:customStyle="1" w:styleId="CommentSubjectChar">
    <w:name w:val="Comment Subject Char"/>
    <w:link w:val="CommentSubject"/>
    <w:rsid w:val="005D7457"/>
    <w:rPr>
      <w:b/>
      <w:bCs/>
      <w:lang w:eastAsia="en-US"/>
    </w:rPr>
  </w:style>
  <w:style w:type="paragraph" w:customStyle="1" w:styleId="Default">
    <w:name w:val="Default"/>
    <w:rsid w:val="00DF082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D0A67"/>
    <w:pPr>
      <w:spacing w:before="100" w:beforeAutospacing="1" w:after="100" w:afterAutospacing="1"/>
    </w:pPr>
    <w:rPr>
      <w:szCs w:val="24"/>
      <w:lang w:eastAsia="en-AU"/>
    </w:rPr>
  </w:style>
  <w:style w:type="paragraph" w:customStyle="1" w:styleId="default0">
    <w:name w:val="default"/>
    <w:basedOn w:val="Normal"/>
    <w:rsid w:val="005D0A67"/>
    <w:pPr>
      <w:spacing w:before="100" w:beforeAutospacing="1" w:after="100" w:afterAutospacing="1"/>
    </w:pPr>
    <w:rPr>
      <w:szCs w:val="24"/>
      <w:lang w:eastAsia="en-AU"/>
    </w:rPr>
  </w:style>
  <w:style w:type="paragraph" w:styleId="Revision">
    <w:name w:val="Revision"/>
    <w:hidden/>
    <w:uiPriority w:val="99"/>
    <w:semiHidden/>
    <w:rsid w:val="00F50816"/>
    <w:rPr>
      <w:sz w:val="24"/>
      <w:lang w:eastAsia="en-US"/>
    </w:rPr>
  </w:style>
  <w:style w:type="character" w:styleId="Hyperlink">
    <w:name w:val="Hyperlink"/>
    <w:basedOn w:val="DefaultParagraphFont"/>
    <w:rsid w:val="00950289"/>
    <w:rPr>
      <w:color w:val="0563C1" w:themeColor="hyperlink"/>
      <w:u w:val="single"/>
    </w:rPr>
  </w:style>
  <w:style w:type="character" w:styleId="UnresolvedMention">
    <w:name w:val="Unresolved Mention"/>
    <w:basedOn w:val="DefaultParagraphFont"/>
    <w:uiPriority w:val="99"/>
    <w:semiHidden/>
    <w:unhideWhenUsed/>
    <w:rsid w:val="00950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0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A49277148</value>
    </field>
    <field name="Objective-Title">
      <value order="0">Attachment C - Explanatory Statement</value>
    </field>
    <field name="Objective-Description">
      <value order="0"/>
    </field>
    <field name="Objective-CreationStamp">
      <value order="0">2024-11-25T00:29:16Z</value>
    </field>
    <field name="Objective-IsApproved">
      <value order="0">false</value>
    </field>
    <field name="Objective-IsPublished">
      <value order="0">true</value>
    </field>
    <field name="Objective-DatePublished">
      <value order="0">2024-12-16T22:38:16Z</value>
    </field>
    <field name="Objective-ModificationStamp">
      <value order="0">2024-12-16T22:38:16Z</value>
    </field>
    <field name="Objective-Owner">
      <value order="0">Melanie Vote</value>
    </field>
    <field name="Objective-Path">
      <value order="0">Whole of ACT Government:TCCS STRUCTURE - Content Restriction Hierarchy:01. Assembly, Cabinet, Ministerial:03. Ministerials:02. Active:Minister Brief :TCBS - MIN C2024/01746 - Summernats 2025 disallowable instrument to be signed by two Ministers - Minister Brief</value>
    </field>
    <field name="Objective-Parent">
      <value order="0">TCBS - MIN C2024/01746 - Summernats 2025 disallowable instrument to be signed by two Ministers - Minister Brief</value>
    </field>
    <field name="Objective-State">
      <value order="0">Published</value>
    </field>
    <field name="Objective-VersionId">
      <value order="0">vA62709321</value>
    </field>
    <field name="Objective-Version">
      <value order="0">6.0</value>
    </field>
    <field name="Objective-VersionNumber">
      <value order="0">12</value>
    </field>
    <field name="Objective-VersionComment">
      <value order="0"/>
    </field>
    <field name="Objective-FileNumber">
      <value order="0">qA1171827</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Props1.xml><?xml version="1.0" encoding="utf-8"?>
<ds:datastoreItem xmlns:ds="http://schemas.openxmlformats.org/officeDocument/2006/customXml" ds:itemID="{326C6C72-9339-4D45-B645-65B0CBF1F1A6}">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1608</Words>
  <Characters>8408</Characters>
  <Application>Microsoft Office Word</Application>
  <DocSecurity>0</DocSecurity>
  <Lines>149</Lines>
  <Paragraphs>57</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DUS, Road Transport Policy</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cp:lastModifiedBy>PCODCS</cp:lastModifiedBy>
  <cp:revision>4</cp:revision>
  <cp:lastPrinted>2013-11-26T00:48:00Z</cp:lastPrinted>
  <dcterms:created xsi:type="dcterms:W3CDTF">2024-12-19T06:39:00Z</dcterms:created>
  <dcterms:modified xsi:type="dcterms:W3CDTF">2024-12-19T06:39:00Z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A49277148</vt:lpwstr>
  </property>
  <property fmtid="{D5CDD505-2E9C-101B-9397-08002B2CF9AE}" pid="4" name="Objective-Title">
    <vt:lpwstr>Attachment C - Explanatory Statement</vt:lpwstr>
  </property>
  <property fmtid="{D5CDD505-2E9C-101B-9397-08002B2CF9AE}" pid="5" name="Objective-Comment">
    <vt:lpwstr/>
  </property>
  <property fmtid="{D5CDD505-2E9C-101B-9397-08002B2CF9AE}" pid="6" name="Objective-CreationStamp">
    <vt:filetime>2024-11-25T00:29:16Z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2024-12-16T22:38:16Z</vt:filetime>
  </property>
  <property fmtid="{D5CDD505-2E9C-101B-9397-08002B2CF9AE}" pid="10" name="Objective-ModificationStamp">
    <vt:filetime>2024-12-16T22:38:16Z</vt:filetime>
  </property>
  <property fmtid="{D5CDD505-2E9C-101B-9397-08002B2CF9AE}" pid="11" name="Objective-Owner">
    <vt:lpwstr>Melanie Vote</vt:lpwstr>
  </property>
  <property fmtid="{D5CDD505-2E9C-101B-9397-08002B2CF9AE}" pid="12" name="Objective-Path">
    <vt:lpwstr>Whole of ACT Government:TCCS STRUCTURE - Content Restriction Hierarchy:01. Assembly, Cabinet, Ministerial:03. Ministerials:02. Active:Minister Brief :TCBS - MIN C2024/01746 - Summernats 2025 disallowable instrument to be signed by two Ministers - Minister Brief:</vt:lpwstr>
  </property>
  <property fmtid="{D5CDD505-2E9C-101B-9397-08002B2CF9AE}" pid="13" name="Objective-Parent">
    <vt:lpwstr>TCBS - MIN C2024/01746 - Summernats 2025 disallowable instrument to be signed by two Ministers - Minister Brief</vt:lpwstr>
  </property>
  <property fmtid="{D5CDD505-2E9C-101B-9397-08002B2CF9AE}" pid="14" name="Objective-State">
    <vt:lpwstr>Published</vt:lpwstr>
  </property>
  <property fmtid="{D5CDD505-2E9C-101B-9397-08002B2CF9AE}" pid="15" name="Objective-Version">
    <vt:lpwstr>6.0</vt:lpwstr>
  </property>
  <property fmtid="{D5CDD505-2E9C-101B-9397-08002B2CF9AE}" pid="16" name="Objective-VersionNumber">
    <vt:r8>12</vt:r8>
  </property>
  <property fmtid="{D5CDD505-2E9C-101B-9397-08002B2CF9AE}" pid="17" name="Objective-VersionComment">
    <vt:lpwstr/>
  </property>
  <property fmtid="{D5CDD505-2E9C-101B-9397-08002B2CF9AE}" pid="18" name="Objective-FileNumber">
    <vt:lpwstr>qA1171827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vt:lpwstr/>
  </property>
  <property fmtid="{D5CDD505-2E9C-101B-9397-08002B2CF9AE}" pid="22" name="Objective-OM Author Organisation">
    <vt:lpwstr/>
  </property>
  <property fmtid="{D5CDD505-2E9C-101B-9397-08002B2CF9AE}" pid="23" name="Objective-OM Author Type">
    <vt:lpwstr/>
  </property>
  <property fmtid="{D5CDD505-2E9C-101B-9397-08002B2CF9AE}" pid="24" name="Objective-OM Date Received">
    <vt:lpwstr/>
  </property>
  <property fmtid="{D5CDD505-2E9C-101B-9397-08002B2CF9AE}" pid="25" name="Objective-OM Date of Document">
    <vt:lpwstr/>
  </property>
  <property fmtid="{D5CDD505-2E9C-101B-9397-08002B2CF9AE}" pid="26" name="Objective-OM External Reference">
    <vt:lpwstr/>
  </property>
  <property fmtid="{D5CDD505-2E9C-101B-9397-08002B2CF9AE}" pid="27" name="Objective-OM Reference">
    <vt:lpwstr/>
  </property>
  <property fmtid="{D5CDD505-2E9C-101B-9397-08002B2CF9AE}" pid="28" name="Objective-OM Topic">
    <vt:lpwstr/>
  </property>
  <property fmtid="{D5CDD505-2E9C-101B-9397-08002B2CF9AE}" pid="29" name="Objective-Suburb">
    <vt:lpwstr/>
  </property>
  <property fmtid="{D5CDD505-2E9C-101B-9397-08002B2CF9AE}" pid="30" name="Objective-Description">
    <vt:lpwstr/>
  </property>
  <property fmtid="{D5CDD505-2E9C-101B-9397-08002B2CF9AE}" pid="31" name="Objective-VersionId">
    <vt:lpwstr>vA62709321</vt:lpwstr>
  </property>
  <property fmtid="{D5CDD505-2E9C-101B-9397-08002B2CF9AE}" pid="32" name="MSIP_Label_69af8531-eb46-4968-8cb3-105d2f5ea87e_Enabled">
    <vt:lpwstr>true</vt:lpwstr>
  </property>
  <property fmtid="{D5CDD505-2E9C-101B-9397-08002B2CF9AE}" pid="33" name="MSIP_Label_69af8531-eb46-4968-8cb3-105d2f5ea87e_SetDate">
    <vt:lpwstr>2024-11-25T00:11:43Z</vt:lpwstr>
  </property>
  <property fmtid="{D5CDD505-2E9C-101B-9397-08002B2CF9AE}" pid="34" name="MSIP_Label_69af8531-eb46-4968-8cb3-105d2f5ea87e_Method">
    <vt:lpwstr>Standard</vt:lpwstr>
  </property>
  <property fmtid="{D5CDD505-2E9C-101B-9397-08002B2CF9AE}" pid="35" name="MSIP_Label_69af8531-eb46-4968-8cb3-105d2f5ea87e_Name">
    <vt:lpwstr>Official - No Marking</vt:lpwstr>
  </property>
  <property fmtid="{D5CDD505-2E9C-101B-9397-08002B2CF9AE}" pid="36" name="MSIP_Label_69af8531-eb46-4968-8cb3-105d2f5ea87e_SiteId">
    <vt:lpwstr>b46c1908-0334-4236-b978-585ee88e4199</vt:lpwstr>
  </property>
  <property fmtid="{D5CDD505-2E9C-101B-9397-08002B2CF9AE}" pid="37" name="MSIP_Label_69af8531-eb46-4968-8cb3-105d2f5ea87e_ActionId">
    <vt:lpwstr>30a844ba-f322-4bf7-a7eb-b43504dfb04b</vt:lpwstr>
  </property>
  <property fmtid="{D5CDD505-2E9C-101B-9397-08002B2CF9AE}" pid="38" name="MSIP_Label_69af8531-eb46-4968-8cb3-105d2f5ea87e_ContentBits">
    <vt:lpwstr>0</vt:lpwstr>
  </property>
  <property fmtid="{D5CDD505-2E9C-101B-9397-08002B2CF9AE}" pid="39" name="Objective-Owner Agency">
    <vt:lpwstr>TCCS</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Status">
    <vt:lpwstr/>
  </property>
</Properties>
</file>