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3BDAC43D" w:rsidR="00C17FAB" w:rsidRPr="002008A3" w:rsidRDefault="00D5027A">
      <w:pPr>
        <w:pStyle w:val="Billname"/>
        <w:spacing w:before="700"/>
      </w:pPr>
      <w:r>
        <w:t>Public Place Names</w:t>
      </w:r>
      <w:r w:rsidR="00FD75CE">
        <w:t xml:space="preserve"> </w:t>
      </w:r>
      <w:r>
        <w:t>(</w:t>
      </w:r>
      <w:r w:rsidR="004C1F9F">
        <w:t>Denman Prospect</w:t>
      </w:r>
      <w:r>
        <w:t>) Determination</w:t>
      </w:r>
      <w:r w:rsidR="00FD75CE">
        <w:t xml:space="preserve"> </w:t>
      </w:r>
      <w:r w:rsidR="001602BD">
        <w:t>202</w:t>
      </w:r>
      <w:r w:rsidR="004C1F9F">
        <w:t>5</w:t>
      </w:r>
      <w:r w:rsidR="00FD75CE">
        <w:t xml:space="preserve"> (No</w:t>
      </w:r>
      <w:r w:rsidR="004C1F9F">
        <w:t xml:space="preserve"> 1</w:t>
      </w:r>
      <w:r w:rsidR="00FD75CE">
        <w:t>)</w:t>
      </w:r>
    </w:p>
    <w:p w14:paraId="4F17E92E" w14:textId="7366ACF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</w:t>
      </w:r>
      <w:r w:rsidR="00B44F66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2B7650">
        <w:rPr>
          <w:rFonts w:ascii="Arial" w:hAnsi="Arial" w:cs="Arial"/>
          <w:b/>
          <w:bCs/>
        </w:rPr>
        <w:t>21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F2B7" w14:textId="77777777" w:rsidR="00D5027A" w:rsidRPr="00D5027A" w:rsidRDefault="00D5027A" w:rsidP="00D5027A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Pr="009A2ACD" w:rsidRDefault="007436DC" w:rsidP="007436DC"/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1949770D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781647">
        <w:rPr>
          <w:i/>
        </w:rPr>
        <w:t>Denman Prospect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781647">
        <w:rPr>
          <w:i/>
        </w:rPr>
        <w:t>5 (No 1)</w:t>
      </w:r>
      <w:r>
        <w:rPr>
          <w:i/>
        </w:rPr>
        <w:t xml:space="preserve">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>) determines the names of</w:t>
      </w:r>
      <w:r w:rsidR="00781647">
        <w:t xml:space="preserve"> eight roads </w:t>
      </w:r>
      <w:r>
        <w:t xml:space="preserve">for the public places indicated in the diagram in the schedule to the determination. </w:t>
      </w:r>
    </w:p>
    <w:p w14:paraId="65DACEE0" w14:textId="77777777" w:rsidR="007436DC" w:rsidRDefault="007436DC" w:rsidP="007436DC"/>
    <w:p w14:paraId="2540798E" w14:textId="45BE3B00" w:rsidR="007436DC" w:rsidRDefault="007436DC" w:rsidP="007436DC">
      <w:r>
        <w:t xml:space="preserve">The names are consistent with the </w:t>
      </w:r>
      <w:r w:rsidRPr="00FC0568">
        <w:t>theme for</w:t>
      </w:r>
      <w:r w:rsidR="00781647">
        <w:t xml:space="preserve"> Denman Prospect</w:t>
      </w:r>
      <w:r>
        <w:t xml:space="preserve"> which is</w:t>
      </w:r>
      <w:r w:rsidR="00781647">
        <w:t xml:space="preserve"> ‘Activism and Reform</w:t>
      </w:r>
      <w:r>
        <w:t>’. The purpose of this determination is to</w:t>
      </w:r>
      <w:r w:rsidR="00781647">
        <w:t xml:space="preserve"> commemorate the names of eight people </w:t>
      </w:r>
      <w:r w:rsidR="00334F0B">
        <w:t xml:space="preserve">who sought to promote </w:t>
      </w:r>
      <w:r w:rsidR="00664E3A">
        <w:t xml:space="preserve">change in Australia in </w:t>
      </w:r>
      <w:r w:rsidR="00334F0B">
        <w:t xml:space="preserve">the </w:t>
      </w:r>
      <w:r w:rsidR="004D17CA">
        <w:t xml:space="preserve">areas of </w:t>
      </w:r>
      <w:r w:rsidR="00781647">
        <w:t>adoption</w:t>
      </w:r>
      <w:r w:rsidR="004D17CA">
        <w:t>,</w:t>
      </w:r>
      <w:r w:rsidR="00294478">
        <w:t xml:space="preserve"> air safety</w:t>
      </w:r>
      <w:r w:rsidR="004D17CA">
        <w:t>,</w:t>
      </w:r>
      <w:r w:rsidR="00781647">
        <w:t xml:space="preserve"> </w:t>
      </w:r>
      <w:r w:rsidR="00664E3A">
        <w:t xml:space="preserve">the </w:t>
      </w:r>
      <w:r w:rsidR="00781647">
        <w:t>environment</w:t>
      </w:r>
      <w:r w:rsidR="00664E3A">
        <w:t>,</w:t>
      </w:r>
      <w:r w:rsidR="004D17CA">
        <w:t xml:space="preserve"> </w:t>
      </w:r>
      <w:r w:rsidR="00781647">
        <w:t>health</w:t>
      </w:r>
      <w:r w:rsidR="004D17CA" w:rsidRPr="00645A74">
        <w:t>, or social justice</w:t>
      </w:r>
      <w:r w:rsidR="004D17CA">
        <w:t xml:space="preserve">. </w:t>
      </w:r>
      <w:r w:rsidR="004D17CA" w:rsidRPr="00645A74">
        <w:t>This includes</w:t>
      </w:r>
      <w:r w:rsidR="004D17CA">
        <w:t xml:space="preserve"> </w:t>
      </w:r>
      <w:r w:rsidR="00781647">
        <w:t>advocacy for Aboriginal and Torres Strait Islander people</w:t>
      </w:r>
      <w:r w:rsidR="00294478">
        <w:t xml:space="preserve">, </w:t>
      </w:r>
      <w:r w:rsidR="00781647">
        <w:t>reconciliation</w:t>
      </w:r>
      <w:r w:rsidR="00294478">
        <w:t xml:space="preserve"> </w:t>
      </w:r>
      <w:r w:rsidR="001E7551">
        <w:t>or</w:t>
      </w:r>
      <w:r w:rsidR="00294478">
        <w:t xml:space="preserve"> people identifying as LGBTIQA+</w:t>
      </w:r>
      <w:r w:rsidR="00781647">
        <w:t>;</w:t>
      </w:r>
      <w:r w:rsidR="00294478">
        <w:t xml:space="preserve"> conservation; the peace movement;</w:t>
      </w:r>
      <w:r w:rsidR="00781647">
        <w:t xml:space="preserve"> </w:t>
      </w:r>
      <w:r w:rsidR="004D17CA">
        <w:t xml:space="preserve">or </w:t>
      </w:r>
      <w:r w:rsidR="00781647">
        <w:t>women’s rights</w:t>
      </w:r>
      <w:r w:rsidR="004D17CA">
        <w:t>.</w:t>
      </w:r>
    </w:p>
    <w:p w14:paraId="1627F888" w14:textId="77777777" w:rsidR="007436DC" w:rsidRDefault="007436DC" w:rsidP="007436DC"/>
    <w:p w14:paraId="1DB0A1D2" w14:textId="229066B3" w:rsidR="007436DC" w:rsidRPr="005C6CCD" w:rsidRDefault="007436DC" w:rsidP="007436DC">
      <w:pPr>
        <w:pStyle w:val="Default"/>
      </w:pPr>
      <w:r w:rsidRPr="006751D3">
        <w:lastRenderedPageBreak/>
        <w:t xml:space="preserve">This determination is consistent with </w:t>
      </w:r>
      <w:r w:rsidRPr="00393620">
        <w:t xml:space="preserve">section 4 (2) </w:t>
      </w:r>
      <w:r>
        <w:t>(</w:t>
      </w:r>
      <w:r w:rsidR="00294478">
        <w:t>a</w:t>
      </w:r>
      <w:r>
        <w:t>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</w:t>
      </w:r>
      <w:r w:rsidR="00294478">
        <w:t xml:space="preserve"> the names of persons famous in Australian exploration, navigation, pioneering, reconciliation, administration, politics, education, science or letters; and section 4 (2) (b), persons who have made notable</w:t>
      </w:r>
      <w:r w:rsidR="00C94039">
        <w:t xml:space="preserve"> contributions to the existence of Australia as a nation.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5BC25C67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1559B0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 xml:space="preserve">Consultation was undertaken in this instance in accordance with the guidelines.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0554B" w14:textId="13F65B5A" w:rsidR="00F27573" w:rsidRPr="00286AD5" w:rsidRDefault="007436DC" w:rsidP="00F27573">
      <w:pPr>
        <w:rPr>
          <w:iCs/>
          <w:szCs w:val="24"/>
        </w:rPr>
      </w:pPr>
      <w:r w:rsidRPr="00286AD5">
        <w:rPr>
          <w:szCs w:val="24"/>
        </w:rPr>
        <w:t>Section 3 (2) (b) of the Act requires that the Minister (or delegate) consider whether the names of women are well-represented when making a determination about the naming of a public place.</w:t>
      </w:r>
      <w:r w:rsidR="00F27573" w:rsidRPr="00286AD5">
        <w:rPr>
          <w:szCs w:val="24"/>
        </w:rPr>
        <w:t xml:space="preserve"> Since 2015, 23</w:t>
      </w:r>
      <w:r w:rsidR="001559B0">
        <w:rPr>
          <w:szCs w:val="24"/>
        </w:rPr>
        <w:t>1</w:t>
      </w:r>
      <w:r w:rsidR="00F27573" w:rsidRPr="00286AD5">
        <w:rPr>
          <w:szCs w:val="24"/>
        </w:rPr>
        <w:t xml:space="preserve"> women and 23</w:t>
      </w:r>
      <w:r w:rsidR="001559B0">
        <w:rPr>
          <w:szCs w:val="24"/>
        </w:rPr>
        <w:t>7</w:t>
      </w:r>
      <w:r w:rsidR="00F27573" w:rsidRPr="00286AD5">
        <w:rPr>
          <w:szCs w:val="24"/>
        </w:rPr>
        <w:t xml:space="preserve"> men have been commemorated under the Act across the ACT. In the Division of Denman Prospect, the names of 53 women and 31 men have been commemorated. </w:t>
      </w:r>
      <w:r w:rsidRPr="00286AD5">
        <w:rPr>
          <w:iCs/>
          <w:szCs w:val="24"/>
        </w:rPr>
        <w:t xml:space="preserve">This instrument commemorates the names of </w:t>
      </w:r>
      <w:r w:rsidR="00F27573" w:rsidRPr="00286AD5">
        <w:rPr>
          <w:iCs/>
          <w:szCs w:val="24"/>
        </w:rPr>
        <w:t>four</w:t>
      </w:r>
      <w:r w:rsidRPr="00286AD5">
        <w:rPr>
          <w:iCs/>
          <w:szCs w:val="24"/>
        </w:rPr>
        <w:t xml:space="preserve"> women and </w:t>
      </w:r>
      <w:r w:rsidR="00F27573" w:rsidRPr="00286AD5">
        <w:rPr>
          <w:iCs/>
          <w:szCs w:val="24"/>
        </w:rPr>
        <w:t xml:space="preserve">four </w:t>
      </w:r>
      <w:r w:rsidRPr="00286AD5">
        <w:rPr>
          <w:iCs/>
          <w:szCs w:val="24"/>
        </w:rPr>
        <w:t>men.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3D4126A2" w:rsidR="007436DC" w:rsidRDefault="007436DC" w:rsidP="007436DC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 xml:space="preserve">. </w:t>
      </w:r>
    </w:p>
    <w:p w14:paraId="0338EA0D" w14:textId="77777777" w:rsidR="00286AD5" w:rsidRDefault="00286AD5" w:rsidP="007436DC"/>
    <w:p w14:paraId="3F261692" w14:textId="77777777" w:rsidR="00286AD5" w:rsidRPr="009A2ACD" w:rsidRDefault="00286AD5" w:rsidP="007436DC"/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lastRenderedPageBreak/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5813D735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C94039">
        <w:rPr>
          <w:i/>
        </w:rPr>
        <w:t>Denman Prospect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C94039">
        <w:rPr>
          <w:i/>
        </w:rPr>
        <w:t>5(No 1)</w:t>
      </w:r>
      <w:r>
        <w:rPr>
          <w:i/>
        </w:rPr>
        <w:t xml:space="preserve">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6729319C" w14:textId="77777777" w:rsidR="007436DC" w:rsidRDefault="007436DC" w:rsidP="007436DC">
      <w:r>
        <w:t>This clause determines the names of public places as specified in the schedule.</w:t>
      </w:r>
    </w:p>
    <w:p w14:paraId="1A327EF7" w14:textId="77777777" w:rsidR="00500AB6" w:rsidRDefault="00500AB6" w:rsidP="007436DC"/>
    <w:p w14:paraId="3C4BDA23" w14:textId="710AC5C1" w:rsidR="00500AB6" w:rsidRDefault="00500AB6" w:rsidP="007436DC"/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AFDE" w14:textId="77777777" w:rsidR="00D36C81" w:rsidRDefault="00D36C81" w:rsidP="00C17FAB">
      <w:r>
        <w:separator/>
      </w:r>
    </w:p>
  </w:endnote>
  <w:endnote w:type="continuationSeparator" w:id="0">
    <w:p w14:paraId="59FB6720" w14:textId="77777777" w:rsidR="00D36C81" w:rsidRDefault="00D36C8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18B0" w14:textId="6DBC607D" w:rsidR="00B31356" w:rsidRPr="00A55AFA" w:rsidRDefault="00A55AFA" w:rsidP="00A55AFA">
    <w:pPr>
      <w:pStyle w:val="Footer"/>
      <w:jc w:val="center"/>
      <w:rPr>
        <w:rFonts w:cs="Arial"/>
        <w:sz w:val="14"/>
      </w:rPr>
    </w:pPr>
    <w:r w:rsidRPr="00A55A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748B" w14:textId="77777777" w:rsidR="00D36C81" w:rsidRDefault="00D36C81" w:rsidP="00C17FAB">
      <w:r>
        <w:separator/>
      </w:r>
    </w:p>
  </w:footnote>
  <w:footnote w:type="continuationSeparator" w:id="0">
    <w:p w14:paraId="2187109E" w14:textId="77777777" w:rsidR="00D36C81" w:rsidRDefault="00D36C8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52E11"/>
    <w:rsid w:val="000531BA"/>
    <w:rsid w:val="00062001"/>
    <w:rsid w:val="00070613"/>
    <w:rsid w:val="00082DFD"/>
    <w:rsid w:val="000A2A80"/>
    <w:rsid w:val="00130BE5"/>
    <w:rsid w:val="00143042"/>
    <w:rsid w:val="001559B0"/>
    <w:rsid w:val="001602BD"/>
    <w:rsid w:val="00170FCE"/>
    <w:rsid w:val="00177B91"/>
    <w:rsid w:val="001B7F63"/>
    <w:rsid w:val="001D4CA4"/>
    <w:rsid w:val="001E7551"/>
    <w:rsid w:val="001F1B3C"/>
    <w:rsid w:val="002008A3"/>
    <w:rsid w:val="00222B1F"/>
    <w:rsid w:val="00241E75"/>
    <w:rsid w:val="00246261"/>
    <w:rsid w:val="0026084F"/>
    <w:rsid w:val="00272D5F"/>
    <w:rsid w:val="0028556B"/>
    <w:rsid w:val="00286AD5"/>
    <w:rsid w:val="00291E2D"/>
    <w:rsid w:val="00294478"/>
    <w:rsid w:val="002B7650"/>
    <w:rsid w:val="002B77E6"/>
    <w:rsid w:val="002D7C60"/>
    <w:rsid w:val="00304641"/>
    <w:rsid w:val="00311AF0"/>
    <w:rsid w:val="0033350C"/>
    <w:rsid w:val="00334F0B"/>
    <w:rsid w:val="00340E53"/>
    <w:rsid w:val="00343D8A"/>
    <w:rsid w:val="00350119"/>
    <w:rsid w:val="00354741"/>
    <w:rsid w:val="00364EA3"/>
    <w:rsid w:val="00412D82"/>
    <w:rsid w:val="004216E5"/>
    <w:rsid w:val="004334A9"/>
    <w:rsid w:val="00471512"/>
    <w:rsid w:val="004836D0"/>
    <w:rsid w:val="004A24DA"/>
    <w:rsid w:val="004B5984"/>
    <w:rsid w:val="004C1F9F"/>
    <w:rsid w:val="004C2E1C"/>
    <w:rsid w:val="004C47D5"/>
    <w:rsid w:val="004D17CA"/>
    <w:rsid w:val="004D45C6"/>
    <w:rsid w:val="00500AB6"/>
    <w:rsid w:val="00503F3C"/>
    <w:rsid w:val="00505FF6"/>
    <w:rsid w:val="0051433B"/>
    <w:rsid w:val="00515C02"/>
    <w:rsid w:val="005411DB"/>
    <w:rsid w:val="005501B0"/>
    <w:rsid w:val="00562673"/>
    <w:rsid w:val="0057431A"/>
    <w:rsid w:val="005E4258"/>
    <w:rsid w:val="005F0B6B"/>
    <w:rsid w:val="005F2247"/>
    <w:rsid w:val="005F74DF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5A74"/>
    <w:rsid w:val="006473AF"/>
    <w:rsid w:val="00650D19"/>
    <w:rsid w:val="00664DB8"/>
    <w:rsid w:val="00664E3A"/>
    <w:rsid w:val="00664FB5"/>
    <w:rsid w:val="006A0758"/>
    <w:rsid w:val="006A47F3"/>
    <w:rsid w:val="006B4DA2"/>
    <w:rsid w:val="006B5E26"/>
    <w:rsid w:val="006B6949"/>
    <w:rsid w:val="006E6989"/>
    <w:rsid w:val="00703DC8"/>
    <w:rsid w:val="00725340"/>
    <w:rsid w:val="00731FE4"/>
    <w:rsid w:val="007346AC"/>
    <w:rsid w:val="00735204"/>
    <w:rsid w:val="007436DC"/>
    <w:rsid w:val="0074623E"/>
    <w:rsid w:val="007476EC"/>
    <w:rsid w:val="00762EC8"/>
    <w:rsid w:val="0076712B"/>
    <w:rsid w:val="007711DB"/>
    <w:rsid w:val="00774C20"/>
    <w:rsid w:val="007805A5"/>
    <w:rsid w:val="00781647"/>
    <w:rsid w:val="00787F14"/>
    <w:rsid w:val="007979D3"/>
    <w:rsid w:val="007A1613"/>
    <w:rsid w:val="007B267A"/>
    <w:rsid w:val="007B76AC"/>
    <w:rsid w:val="007C53A4"/>
    <w:rsid w:val="007D7AB1"/>
    <w:rsid w:val="00814559"/>
    <w:rsid w:val="008227D2"/>
    <w:rsid w:val="00835042"/>
    <w:rsid w:val="00836A6B"/>
    <w:rsid w:val="00845FDB"/>
    <w:rsid w:val="00876C92"/>
    <w:rsid w:val="0088618D"/>
    <w:rsid w:val="00891926"/>
    <w:rsid w:val="008B66BC"/>
    <w:rsid w:val="008C523C"/>
    <w:rsid w:val="008E335B"/>
    <w:rsid w:val="009357D5"/>
    <w:rsid w:val="00960893"/>
    <w:rsid w:val="00964DCA"/>
    <w:rsid w:val="00975BBF"/>
    <w:rsid w:val="0098742E"/>
    <w:rsid w:val="009A2ACD"/>
    <w:rsid w:val="009B1BB3"/>
    <w:rsid w:val="009E302A"/>
    <w:rsid w:val="009F107C"/>
    <w:rsid w:val="00A14446"/>
    <w:rsid w:val="00A264B1"/>
    <w:rsid w:val="00A3208B"/>
    <w:rsid w:val="00A55AFA"/>
    <w:rsid w:val="00A72661"/>
    <w:rsid w:val="00A749F0"/>
    <w:rsid w:val="00A81FB9"/>
    <w:rsid w:val="00A9090C"/>
    <w:rsid w:val="00AD7166"/>
    <w:rsid w:val="00AF5E26"/>
    <w:rsid w:val="00B01433"/>
    <w:rsid w:val="00B31356"/>
    <w:rsid w:val="00B32837"/>
    <w:rsid w:val="00B44F66"/>
    <w:rsid w:val="00B65A5A"/>
    <w:rsid w:val="00B67744"/>
    <w:rsid w:val="00B83C2F"/>
    <w:rsid w:val="00B907FE"/>
    <w:rsid w:val="00B93FF1"/>
    <w:rsid w:val="00BA5975"/>
    <w:rsid w:val="00BA6992"/>
    <w:rsid w:val="00BB3E87"/>
    <w:rsid w:val="00BB744F"/>
    <w:rsid w:val="00BF0BE1"/>
    <w:rsid w:val="00C00700"/>
    <w:rsid w:val="00C05EC4"/>
    <w:rsid w:val="00C17FAB"/>
    <w:rsid w:val="00C233D3"/>
    <w:rsid w:val="00C24469"/>
    <w:rsid w:val="00C27619"/>
    <w:rsid w:val="00C34AAC"/>
    <w:rsid w:val="00C539AC"/>
    <w:rsid w:val="00C6303E"/>
    <w:rsid w:val="00C74081"/>
    <w:rsid w:val="00C76666"/>
    <w:rsid w:val="00C91CAF"/>
    <w:rsid w:val="00C94039"/>
    <w:rsid w:val="00CC56FA"/>
    <w:rsid w:val="00CC7D1B"/>
    <w:rsid w:val="00CE261C"/>
    <w:rsid w:val="00CE599C"/>
    <w:rsid w:val="00D0094D"/>
    <w:rsid w:val="00D10A4C"/>
    <w:rsid w:val="00D36C81"/>
    <w:rsid w:val="00D41A89"/>
    <w:rsid w:val="00D43C16"/>
    <w:rsid w:val="00D5027A"/>
    <w:rsid w:val="00D52A5D"/>
    <w:rsid w:val="00D5735B"/>
    <w:rsid w:val="00D61AAF"/>
    <w:rsid w:val="00D62CDB"/>
    <w:rsid w:val="00D82060"/>
    <w:rsid w:val="00D86C8F"/>
    <w:rsid w:val="00DA3B00"/>
    <w:rsid w:val="00DB5F86"/>
    <w:rsid w:val="00DD37D7"/>
    <w:rsid w:val="00DE2CDE"/>
    <w:rsid w:val="00DF60B5"/>
    <w:rsid w:val="00DF6BA7"/>
    <w:rsid w:val="00E15078"/>
    <w:rsid w:val="00E171C6"/>
    <w:rsid w:val="00E83E1B"/>
    <w:rsid w:val="00E919C0"/>
    <w:rsid w:val="00E9262C"/>
    <w:rsid w:val="00EA4A93"/>
    <w:rsid w:val="00EC3D6E"/>
    <w:rsid w:val="00ED247C"/>
    <w:rsid w:val="00ED34FF"/>
    <w:rsid w:val="00ED7CCA"/>
    <w:rsid w:val="00EE5A16"/>
    <w:rsid w:val="00F07B24"/>
    <w:rsid w:val="00F12FAF"/>
    <w:rsid w:val="00F27573"/>
    <w:rsid w:val="00F721AA"/>
    <w:rsid w:val="00F76DC2"/>
    <w:rsid w:val="00F87706"/>
    <w:rsid w:val="00FA6762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559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A49900912</value>
    </field>
    <field name="Objective-Title">
      <value order="0">20250218 - Public Place Names (Denman Prospect No 1) Explanatory Statement 2025</value>
    </field>
    <field name="Objective-Description">
      <value order="0"/>
    </field>
    <field name="Objective-CreationStamp">
      <value order="0">2025-01-12T23:37:46Z</value>
    </field>
    <field name="Objective-IsApproved">
      <value order="0">false</value>
    </field>
    <field name="Objective-IsPublished">
      <value order="0">true</value>
    </field>
    <field name="Objective-DatePublished">
      <value order="0">2025-03-05T02:01:09Z</value>
    </field>
    <field name="Objective-ModificationStamp">
      <value order="0">2025-03-05T02:01:09Z</value>
    </field>
    <field name="Objective-Owner">
      <value order="0">Genevieve Palm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Briefs:25/0005357 Public Place Names (Denman Prospect) Determination 2025</value>
    </field>
    <field name="Objective-Parent">
      <value order="0">25/0005357 Public Place Names (Denman Prospect) Determination 2025</value>
    </field>
    <field name="Objective-State">
      <value order="0">Published</value>
    </field>
    <field name="Objective-VersionId">
      <value order="0">vA63913195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1-2025/0005357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4608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2025-03-05T05:55:00Z</dcterms:created>
  <dcterms:modified xsi:type="dcterms:W3CDTF">2025-03-05T05:55:00Z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A49900912</vt:lpwstr>
  </property>
  <property fmtid="{D5CDD505-2E9C-101B-9397-08002B2CF9AE}" pid="4" name="Objective-Title">
    <vt:lpwstr>20250218 - Public Place Names (Denman Prospect No 1) Explanatory Statement 2025</vt:lpwstr>
  </property>
  <property fmtid="{D5CDD505-2E9C-101B-9397-08002B2CF9AE}" pid="5" name="Objective-Comment">
    <vt:lpwstr/>
  </property>
  <property fmtid="{D5CDD505-2E9C-101B-9397-08002B2CF9AE}" pid="6" name="Objective-CreationStamp">
    <vt:filetime>2025-01-12T23:37:46Z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2025-03-05T02:01:09Z</vt:filetime>
  </property>
  <property fmtid="{D5CDD505-2E9C-101B-9397-08002B2CF9AE}" pid="10" name="Objective-ModificationStamp">
    <vt:filetime>2025-03-05T02:01:09Z</vt:filetime>
  </property>
  <property fmtid="{D5CDD505-2E9C-101B-9397-08002B2CF9AE}" pid="11" name="Objective-Owner">
    <vt:lpwstr>Genevieve Palm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Briefs:25/0005357 Public Place Names (Denman Prospect) Determination 2025:</vt:lpwstr>
  </property>
  <property fmtid="{D5CDD505-2E9C-101B-9397-08002B2CF9AE}" pid="13" name="Objective-Parent">
    <vt:lpwstr>25/0005357 Public Place Names (Denman Prospect) Determination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18.0</vt:lpwstr>
  </property>
  <property fmtid="{D5CDD505-2E9C-101B-9397-08002B2CF9AE}" pid="16" name="Objective-VersionNumber">
    <vt:r8>18</vt:r8>
  </property>
  <property fmtid="{D5CDD505-2E9C-101B-9397-08002B2CF9AE}" pid="17" name="Objective-VersionComment">
    <vt:lpwstr/>
  </property>
  <property fmtid="{D5CDD505-2E9C-101B-9397-08002B2CF9AE}" pid="18" name="Objective-FileNumber">
    <vt:lpwstr>1-2025/0005357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vA63913195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