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030A" w14:textId="77777777" w:rsidR="00D36DE7" w:rsidRDefault="00D36DE7" w:rsidP="00D36DE7">
      <w:pPr>
        <w:spacing w:before="120"/>
        <w:rPr>
          <w:rFonts w:ascii="Arial" w:hAnsi="Arial" w:cs="Arial"/>
        </w:rPr>
      </w:pPr>
      <w:r>
        <w:rPr>
          <w:rFonts w:ascii="Arial" w:hAnsi="Arial" w:cs="Arial"/>
        </w:rPr>
        <w:t>Australian Capital Territory</w:t>
      </w:r>
    </w:p>
    <w:p w14:paraId="22CB7C8A" w14:textId="628BB54C" w:rsidR="00D36DE7" w:rsidRDefault="00D36DE7" w:rsidP="00D36DE7">
      <w:pPr>
        <w:pStyle w:val="Billname"/>
        <w:spacing w:before="700"/>
      </w:pPr>
      <w:r>
        <w:t xml:space="preserve">Medicines, Poisons and Therapeutic Goods Amendment Regulation 2025 (No </w:t>
      </w:r>
      <w:r w:rsidR="00976D32">
        <w:t>1</w:t>
      </w:r>
      <w:r>
        <w:t>)</w:t>
      </w:r>
    </w:p>
    <w:p w14:paraId="0BACAAA8" w14:textId="3E72A675" w:rsidR="00D36DE7" w:rsidRDefault="00D36DE7" w:rsidP="00D36DE7">
      <w:pPr>
        <w:spacing w:before="340"/>
        <w:rPr>
          <w:rFonts w:ascii="Arial" w:hAnsi="Arial" w:cs="Arial"/>
          <w:b/>
          <w:bCs/>
        </w:rPr>
      </w:pPr>
      <w:r>
        <w:rPr>
          <w:rFonts w:ascii="Arial" w:hAnsi="Arial" w:cs="Arial"/>
          <w:b/>
          <w:bCs/>
        </w:rPr>
        <w:t>Subordinate law SL2025–</w:t>
      </w:r>
      <w:r w:rsidR="00BE6BC0">
        <w:rPr>
          <w:rFonts w:ascii="Arial" w:hAnsi="Arial" w:cs="Arial"/>
          <w:b/>
          <w:bCs/>
        </w:rPr>
        <w:t>7</w:t>
      </w:r>
    </w:p>
    <w:p w14:paraId="7A1B9504" w14:textId="77777777" w:rsidR="00D36DE7" w:rsidRDefault="00D36DE7" w:rsidP="00D36DE7">
      <w:pPr>
        <w:pStyle w:val="madeunder"/>
        <w:spacing w:before="300" w:after="0"/>
      </w:pPr>
      <w:r>
        <w:t xml:space="preserve">made under the  </w:t>
      </w:r>
    </w:p>
    <w:p w14:paraId="7307C101" w14:textId="3AE33F8B" w:rsidR="00D36DE7" w:rsidRDefault="00D36DE7" w:rsidP="00D36DE7">
      <w:pPr>
        <w:pStyle w:val="CoverActName"/>
        <w:spacing w:before="320" w:after="0"/>
        <w:rPr>
          <w:rFonts w:cs="Arial"/>
          <w:sz w:val="20"/>
        </w:rPr>
      </w:pPr>
      <w:r w:rsidRPr="00FD779B">
        <w:rPr>
          <w:rFonts w:cs="Arial"/>
          <w:sz w:val="20"/>
        </w:rPr>
        <w:t>Medicines, Poisons and Therapeutic Goods Act 2008, Section 184 (Regulation-making power)</w:t>
      </w:r>
    </w:p>
    <w:p w14:paraId="5BFCAAC6" w14:textId="77777777" w:rsidR="00D36DE7" w:rsidRDefault="00D36DE7" w:rsidP="00D36DE7">
      <w:pPr>
        <w:spacing w:before="360"/>
        <w:ind w:right="565"/>
        <w:rPr>
          <w:rFonts w:ascii="Arial" w:hAnsi="Arial" w:cs="Arial"/>
          <w:b/>
          <w:bCs/>
          <w:sz w:val="28"/>
          <w:szCs w:val="28"/>
        </w:rPr>
      </w:pPr>
      <w:r>
        <w:rPr>
          <w:rFonts w:ascii="Arial" w:hAnsi="Arial" w:cs="Arial"/>
          <w:b/>
          <w:bCs/>
          <w:sz w:val="28"/>
          <w:szCs w:val="28"/>
        </w:rPr>
        <w:t>EXPLANATORY STATEMENT</w:t>
      </w:r>
    </w:p>
    <w:p w14:paraId="07305363" w14:textId="77777777" w:rsidR="00D36DE7" w:rsidRDefault="00D36DE7" w:rsidP="00D36DE7">
      <w:pPr>
        <w:pStyle w:val="N-line3"/>
        <w:pBdr>
          <w:bottom w:val="none" w:sz="0" w:space="0" w:color="auto"/>
        </w:pBdr>
      </w:pPr>
    </w:p>
    <w:p w14:paraId="63FBAE31" w14:textId="77777777" w:rsidR="00D36DE7" w:rsidRDefault="00D36DE7" w:rsidP="00D36DE7">
      <w:pPr>
        <w:pStyle w:val="N-line3"/>
        <w:pBdr>
          <w:top w:val="single" w:sz="12" w:space="1" w:color="auto"/>
          <w:bottom w:val="none" w:sz="0" w:space="0" w:color="auto"/>
        </w:pBdr>
      </w:pPr>
    </w:p>
    <w:p w14:paraId="0C30C288" w14:textId="4EABCF83" w:rsidR="00BC16E0" w:rsidRPr="00BC16E0" w:rsidRDefault="00BC16E0" w:rsidP="00BC16E0">
      <w:pPr>
        <w:pStyle w:val="Heading2"/>
      </w:pPr>
      <w:r w:rsidRPr="00BC16E0">
        <w:t>PURPOSE AND OUTLINE </w:t>
      </w:r>
    </w:p>
    <w:p w14:paraId="312B6910" w14:textId="181AB1A9" w:rsidR="00BC16E0" w:rsidRPr="00BC16E0" w:rsidRDefault="00BC16E0" w:rsidP="00BC16E0">
      <w:r w:rsidRPr="00BC16E0">
        <w:t>The objective of the </w:t>
      </w:r>
      <w:r w:rsidRPr="00132482">
        <w:rPr>
          <w:i/>
          <w:iCs/>
        </w:rPr>
        <w:t>Medicines, Poisons and Therapeutic Goods Act 2008</w:t>
      </w:r>
      <w:r w:rsidRPr="00BC16E0">
        <w:t> (MPTG Act) is to promote and protect public health and safety by minimising medicinal misadventure with, and diversion of, regulated substances, and the manufacture of regulated substances that are subject to abuse. The MPTG Act outlines the appropriate prescription and supply of medicines and defines the concepts of deal, supply, prescribe and administer in relation to medications.</w:t>
      </w:r>
    </w:p>
    <w:p w14:paraId="5099CBED" w14:textId="14D098CD" w:rsidR="00132482" w:rsidRDefault="00BC16E0" w:rsidP="00BC16E0">
      <w:r w:rsidRPr="00BC16E0">
        <w:t>The Medicines, Poisons and Therapeutic Goods Regulation 2008 (MPTG Regulation) provides the detail for the regulatory framework established by the MPTG Act</w:t>
      </w:r>
      <w:r w:rsidR="00132482">
        <w:t xml:space="preserve">. </w:t>
      </w:r>
      <w:r w:rsidR="008E762C">
        <w:t>T</w:t>
      </w:r>
      <w:r w:rsidRPr="00BC16E0">
        <w:t>he MPTG Regulation sets out which health professionals </w:t>
      </w:r>
      <w:r w:rsidR="0007373C">
        <w:t>are able to</w:t>
      </w:r>
      <w:r w:rsidRPr="00BC16E0">
        <w:t> deal with a medicine and the conditions for such dealings.</w:t>
      </w:r>
    </w:p>
    <w:p w14:paraId="13B7E518" w14:textId="4F3DDDD0" w:rsidR="006E4577" w:rsidRDefault="002F38FD" w:rsidP="006E4577">
      <w:pPr>
        <w:rPr>
          <w:i/>
          <w:iCs/>
        </w:rPr>
      </w:pPr>
      <w:r>
        <w:t xml:space="preserve">The MPTG Act enables the Chief Health Officer (CHO) to approve dealings under a regulation. The MPTG Regulation provides details for authorisations to deal with medicines. </w:t>
      </w:r>
    </w:p>
    <w:p w14:paraId="03ABDE1E" w14:textId="4BABAB60" w:rsidR="00BC16E0" w:rsidRPr="00BC16E0" w:rsidRDefault="00BC16E0" w:rsidP="00BC16E0">
      <w:pPr>
        <w:pStyle w:val="Heading2"/>
      </w:pPr>
      <w:r>
        <w:t xml:space="preserve">OVERVIEW OF AMENDMENTS </w:t>
      </w:r>
    </w:p>
    <w:p w14:paraId="3D7595E7" w14:textId="5DF4E5CC" w:rsidR="00AE3AF9" w:rsidRDefault="00AE3AF9" w:rsidP="004F2A32">
      <w:pPr>
        <w:jc w:val="both"/>
      </w:pPr>
      <w:r>
        <w:t xml:space="preserve">Section 20 of the MPTG Act outlines authorisations to deal with regulated substances. Regulated substances include medicines, low harm poisons and moderate harm poisons. Under section 20 (1) (c) of the MPTG Act, a person is authorised to deal with a regulated substance if the CHO approves the dealing under a regulation. </w:t>
      </w:r>
    </w:p>
    <w:p w14:paraId="4BD45B59" w14:textId="30958988" w:rsidR="00F11CB7" w:rsidRDefault="00AE3AF9" w:rsidP="004F2A32">
      <w:pPr>
        <w:jc w:val="both"/>
      </w:pPr>
      <w:r>
        <w:t>Currently health professionals are authorised to deal with medicines under Schedule 1 of the MPTG Regulation and section 490 of the MPTG Regulation.</w:t>
      </w:r>
      <w:r w:rsidR="00991D0F">
        <w:t xml:space="preserve"> </w:t>
      </w:r>
      <w:r>
        <w:t xml:space="preserve">Schedule 1 of the MPTG Regulation lists health related occupations and their specific authorisations. </w:t>
      </w:r>
    </w:p>
    <w:p w14:paraId="3E24661E" w14:textId="707529EF" w:rsidR="00AE3AF9" w:rsidRDefault="00F11CB7" w:rsidP="004F2A32">
      <w:pPr>
        <w:jc w:val="both"/>
      </w:pPr>
      <w:r>
        <w:t xml:space="preserve">Section 490 of the MPTG Regulation authorises endorsed health practitioners to deal with medicine. Section 490 applies to a health practitioner whose registration is endorsed under the </w:t>
      </w:r>
      <w:r>
        <w:rPr>
          <w:i/>
          <w:iCs/>
        </w:rPr>
        <w:t xml:space="preserve">Health Practitioner Regulation National Law (ACT). </w:t>
      </w:r>
      <w:r>
        <w:t xml:space="preserve">Endorsed health practitioners are only authorised to deal with a medicine in accordance with their endorsement. Currently nurse </w:t>
      </w:r>
      <w:r>
        <w:lastRenderedPageBreak/>
        <w:t>practitioners, endorsed midwives, endorsed podiatrists and endorsed optometrists are authorised under section 490.</w:t>
      </w:r>
    </w:p>
    <w:p w14:paraId="253384E3" w14:textId="529C9157" w:rsidR="00F11CB7" w:rsidRPr="00F11CB7" w:rsidRDefault="00F11CB7" w:rsidP="004F2A32">
      <w:pPr>
        <w:jc w:val="both"/>
      </w:pPr>
      <w:r>
        <w:t xml:space="preserve">Health professional expanded scope of practice (ESOP) is increasing across Australia. While some health professional groups such as registered nurses are working with their national board to seek formal endorsement under the </w:t>
      </w:r>
      <w:r>
        <w:rPr>
          <w:i/>
          <w:iCs/>
        </w:rPr>
        <w:t>Health Practitioner Regulation National Law,</w:t>
      </w:r>
      <w:r>
        <w:t xml:space="preserve"> other health professional groups are undertaking ESOP work at a state and territory level. For health professionals whose profession has not sought endorsement, such as pharmacists and Aboriginal and Torres Strait Islander Health Workers, </w:t>
      </w:r>
      <w:r w:rsidR="00D43FB5">
        <w:t xml:space="preserve">states and territories may consider local legislative </w:t>
      </w:r>
      <w:r>
        <w:t>mechanism</w:t>
      </w:r>
      <w:r w:rsidR="00D43FB5">
        <w:t>s</w:t>
      </w:r>
      <w:r>
        <w:t xml:space="preserve"> to enable these health professions to deal with medicines. </w:t>
      </w:r>
    </w:p>
    <w:p w14:paraId="15E824B7" w14:textId="372DD380" w:rsidR="00364C52" w:rsidRDefault="00991D0F" w:rsidP="00991D0F">
      <w:pPr>
        <w:jc w:val="both"/>
      </w:pPr>
      <w:r>
        <w:t xml:space="preserve">The Amendment Regulation creates a mechanism to </w:t>
      </w:r>
      <w:r w:rsidR="00A676F7">
        <w:t>allow the CHO</w:t>
      </w:r>
      <w:r w:rsidR="007C70AF">
        <w:t>, if satisfied that it is appropriate, to authorise a health practitioner or class of health practitioner to deal with medicine</w:t>
      </w:r>
      <w:r w:rsidR="00F20550">
        <w:t xml:space="preserve"> or class of medicines to which the authorisation relates to, subject to conditions, through a notifiable instrument (NI). </w:t>
      </w:r>
      <w:r w:rsidR="007C70AF">
        <w:t>The NI must provide the following:</w:t>
      </w:r>
    </w:p>
    <w:p w14:paraId="042939D7" w14:textId="0BF0526C" w:rsidR="007C70AF" w:rsidRDefault="007C70AF" w:rsidP="007C70AF">
      <w:pPr>
        <w:pStyle w:val="ListParagraph"/>
        <w:numPr>
          <w:ilvl w:val="0"/>
          <w:numId w:val="4"/>
        </w:numPr>
      </w:pPr>
      <w:r>
        <w:t xml:space="preserve">The approved health practitioner or class of health practitioners, </w:t>
      </w:r>
    </w:p>
    <w:p w14:paraId="13F239D8" w14:textId="0C50C976" w:rsidR="007C70AF" w:rsidRDefault="007C70AF" w:rsidP="007C70AF">
      <w:pPr>
        <w:pStyle w:val="ListParagraph"/>
        <w:numPr>
          <w:ilvl w:val="0"/>
          <w:numId w:val="4"/>
        </w:numPr>
      </w:pPr>
      <w:r>
        <w:t xml:space="preserve">The </w:t>
      </w:r>
      <w:r w:rsidR="006F4EDA">
        <w:t xml:space="preserve">dealings that the approval authorises, </w:t>
      </w:r>
    </w:p>
    <w:p w14:paraId="69AE231D" w14:textId="77777777" w:rsidR="00965D14" w:rsidRDefault="006F4EDA" w:rsidP="00B22072">
      <w:pPr>
        <w:pStyle w:val="ListParagraph"/>
        <w:numPr>
          <w:ilvl w:val="0"/>
          <w:numId w:val="4"/>
        </w:numPr>
      </w:pPr>
      <w:r>
        <w:t>The medicines that the approval relates to</w:t>
      </w:r>
      <w:r w:rsidR="00965D14">
        <w:t>,</w:t>
      </w:r>
    </w:p>
    <w:p w14:paraId="3C563D7B" w14:textId="75B4B5B4" w:rsidR="006F4EDA" w:rsidRDefault="003D16AD" w:rsidP="00B22072">
      <w:pPr>
        <w:pStyle w:val="ListParagraph"/>
        <w:numPr>
          <w:ilvl w:val="0"/>
          <w:numId w:val="4"/>
        </w:numPr>
      </w:pPr>
      <w:r>
        <w:t xml:space="preserve"> </w:t>
      </w:r>
      <w:r w:rsidR="0048761B">
        <w:t xml:space="preserve">The conditions to which the approval is subject, </w:t>
      </w:r>
    </w:p>
    <w:p w14:paraId="07859CFD" w14:textId="72E3D672" w:rsidR="0048761B" w:rsidRDefault="0048761B" w:rsidP="00B22072">
      <w:pPr>
        <w:pStyle w:val="ListParagraph"/>
        <w:numPr>
          <w:ilvl w:val="0"/>
          <w:numId w:val="4"/>
        </w:numPr>
      </w:pPr>
      <w:r>
        <w:t>The unique identifying number for the approval,</w:t>
      </w:r>
    </w:p>
    <w:p w14:paraId="114A0A25" w14:textId="4D0AECFF" w:rsidR="0048761B" w:rsidRDefault="0048761B" w:rsidP="00B22072">
      <w:pPr>
        <w:pStyle w:val="ListParagraph"/>
        <w:numPr>
          <w:ilvl w:val="0"/>
          <w:numId w:val="4"/>
        </w:numPr>
      </w:pPr>
      <w:r>
        <w:t xml:space="preserve">The date the approval starts, </w:t>
      </w:r>
    </w:p>
    <w:p w14:paraId="1F28A959" w14:textId="4BFDA889" w:rsidR="0048761B" w:rsidRDefault="0048761B" w:rsidP="00B22072">
      <w:pPr>
        <w:pStyle w:val="ListParagraph"/>
        <w:numPr>
          <w:ilvl w:val="0"/>
          <w:numId w:val="4"/>
        </w:numPr>
      </w:pPr>
      <w:r>
        <w:t xml:space="preserve">If the approval is for a period, the date the period ends. </w:t>
      </w:r>
    </w:p>
    <w:p w14:paraId="68D0ACC9" w14:textId="7F3090A8" w:rsidR="006F4EDA" w:rsidRDefault="006F4EDA" w:rsidP="00BC16E0">
      <w:r>
        <w:t xml:space="preserve">The intent is for the NI to provide conditions that </w:t>
      </w:r>
      <w:r w:rsidR="00991D0F">
        <w:t xml:space="preserve">outline </w:t>
      </w:r>
      <w:r w:rsidR="002C67DE">
        <w:t xml:space="preserve">what services can be provided as part of the ESOP, where acting outside of these conditions is outside of the </w:t>
      </w:r>
      <w:r w:rsidR="00991D0F">
        <w:t>authorisation</w:t>
      </w:r>
      <w:r w:rsidR="002C67DE">
        <w:t>. This limitation is to ensure that all services provided as part of the ESOP are provided safely and correctly</w:t>
      </w:r>
      <w:r w:rsidR="00F20550">
        <w:t>, for the benefit of the wider community</w:t>
      </w:r>
      <w:r w:rsidR="002C67DE">
        <w:t xml:space="preserve">. </w:t>
      </w:r>
      <w:r>
        <w:t xml:space="preserve"> </w:t>
      </w:r>
    </w:p>
    <w:p w14:paraId="017A15C4" w14:textId="2182A932" w:rsidR="0007373C" w:rsidRDefault="007C70AF" w:rsidP="00BC16E0">
      <w:r>
        <w:t>“Health practitioner” is use</w:t>
      </w:r>
      <w:r w:rsidR="006F4EDA">
        <w:t xml:space="preserve">d, per its definition in the </w:t>
      </w:r>
      <w:r w:rsidR="006F4EDA" w:rsidRPr="00B22072">
        <w:rPr>
          <w:i/>
          <w:iCs/>
        </w:rPr>
        <w:t>Legislation Act</w:t>
      </w:r>
      <w:r w:rsidR="006F4EDA">
        <w:t xml:space="preserve"> </w:t>
      </w:r>
      <w:r w:rsidR="006F4EDA" w:rsidRPr="00B22072">
        <w:rPr>
          <w:i/>
          <w:iCs/>
        </w:rPr>
        <w:t>2001</w:t>
      </w:r>
      <w:r w:rsidR="006F4EDA">
        <w:t xml:space="preserve"> to apply to any person registered under the </w:t>
      </w:r>
      <w:r w:rsidR="006F4EDA">
        <w:rPr>
          <w:i/>
          <w:iCs/>
        </w:rPr>
        <w:t xml:space="preserve">Health Practitioner Regulation National Law (ACT) </w:t>
      </w:r>
      <w:r w:rsidR="006F4EDA">
        <w:t xml:space="preserve">to practice a health profession, except for students. </w:t>
      </w:r>
      <w:r w:rsidR="002C67DE">
        <w:t xml:space="preserve">This mechanism is designed to be available to </w:t>
      </w:r>
      <w:r w:rsidR="00877534">
        <w:t xml:space="preserve">any </w:t>
      </w:r>
      <w:r w:rsidR="003D16AD">
        <w:t xml:space="preserve">regulated </w:t>
      </w:r>
      <w:r w:rsidR="00877534">
        <w:t xml:space="preserve">health profession that the CHO </w:t>
      </w:r>
      <w:r w:rsidR="0007373C">
        <w:t>considers</w:t>
      </w:r>
      <w:r w:rsidR="00877534">
        <w:t xml:space="preserve"> appropriate</w:t>
      </w:r>
      <w:r w:rsidR="00991D0F">
        <w:t>.</w:t>
      </w:r>
    </w:p>
    <w:p w14:paraId="62CD7969" w14:textId="434F4FD9" w:rsidR="008E762C" w:rsidRDefault="00F0428E" w:rsidP="00BC16E0">
      <w:r>
        <w:t xml:space="preserve">This mechanism </w:t>
      </w:r>
      <w:r w:rsidR="0007373C">
        <w:t xml:space="preserve">affords a degree of flexibility with respect to the circumstances and conditions that may be provided including where the use section 490 is not considered appropriate, where </w:t>
      </w:r>
      <w:r w:rsidR="007361FF">
        <w:t>health system need</w:t>
      </w:r>
      <w:r w:rsidR="006E4B15">
        <w:t>s</w:t>
      </w:r>
      <w:r>
        <w:t xml:space="preserve"> </w:t>
      </w:r>
      <w:r w:rsidR="0007373C">
        <w:t xml:space="preserve">are identified </w:t>
      </w:r>
      <w:r>
        <w:t xml:space="preserve">or updates </w:t>
      </w:r>
      <w:r w:rsidR="0007373C">
        <w:t xml:space="preserve">to analogous authorisations are made in </w:t>
      </w:r>
      <w:r>
        <w:t xml:space="preserve">other jurisdictions. </w:t>
      </w:r>
      <w:r w:rsidR="00877534">
        <w:t xml:space="preserve">                                                                                                                                                                                                                                                                                                                                                                                                                                                                                                                                                                           </w:t>
      </w:r>
    </w:p>
    <w:p w14:paraId="39CE1DA3" w14:textId="77777777" w:rsidR="00BC16E0" w:rsidRDefault="00BC16E0" w:rsidP="006E4577"/>
    <w:p w14:paraId="77A448C2" w14:textId="1E895811" w:rsidR="00BC16E0" w:rsidRPr="00BC16E0" w:rsidRDefault="00BC16E0" w:rsidP="00BC16E0">
      <w:pPr>
        <w:pStyle w:val="Heading2"/>
      </w:pPr>
      <w:r>
        <w:t>REGULATORY IMPACT STATEMENT</w:t>
      </w:r>
    </w:p>
    <w:p w14:paraId="080FBA94" w14:textId="77777777" w:rsidR="00BC16E0" w:rsidRPr="00BC16E0" w:rsidRDefault="00BC16E0" w:rsidP="00BC16E0">
      <w:r w:rsidRPr="00BC16E0">
        <w:t>In accordance with the </w:t>
      </w:r>
      <w:r w:rsidRPr="00BC16E0">
        <w:rPr>
          <w:i/>
          <w:iCs/>
        </w:rPr>
        <w:t>Legislation Act 2001, </w:t>
      </w:r>
      <w:r w:rsidRPr="00BC16E0">
        <w:t>a regulatory impact statement was not required to be presented with the Amendment Regulation as the amendments do not impose appreciable costs or regulatory burden on the community. These amendments do not operate to the disadvantage of anyone or impose additional liabilities on a person.</w:t>
      </w:r>
    </w:p>
    <w:p w14:paraId="5509E508" w14:textId="77777777" w:rsidR="00BC16E0" w:rsidRDefault="00BC16E0" w:rsidP="006E4577"/>
    <w:p w14:paraId="7F9A7031" w14:textId="77777777" w:rsidR="0007373C" w:rsidRDefault="0007373C">
      <w:pPr>
        <w:rPr>
          <w:b/>
          <w:bCs/>
          <w:sz w:val="28"/>
          <w:szCs w:val="28"/>
        </w:rPr>
      </w:pPr>
      <w:r>
        <w:br w:type="page"/>
      </w:r>
    </w:p>
    <w:p w14:paraId="490A0706" w14:textId="71B67459" w:rsidR="00BC16E0" w:rsidRPr="00BC16E0" w:rsidRDefault="008E762C" w:rsidP="0088209D">
      <w:pPr>
        <w:pStyle w:val="Heading2"/>
      </w:pPr>
      <w:r>
        <w:lastRenderedPageBreak/>
        <w:t>HUMAN RIGHTS CONSIDERATIONS</w:t>
      </w:r>
    </w:p>
    <w:p w14:paraId="20BC452D" w14:textId="3BC1C0B3" w:rsidR="00BC16E0" w:rsidRDefault="00BC16E0" w:rsidP="00BC16E0">
      <w:r w:rsidRPr="00BC16E0">
        <w:t>During the development of the Amendment Regulation, due regard was given to its compatibility with the </w:t>
      </w:r>
      <w:r w:rsidRPr="00BC16E0">
        <w:rPr>
          <w:i/>
          <w:iCs/>
        </w:rPr>
        <w:t>Human Rights Act 2004</w:t>
      </w:r>
      <w:r w:rsidRPr="00BC16E0">
        <w:t> (HR Act).</w:t>
      </w:r>
      <w:r w:rsidR="0088209D">
        <w:t xml:space="preserve"> As the Amendment Regulation creates a regulatory mechanism but does not explicitly authorise a group of health professionals to deal with a medicine, the Amendment Regulation is considered to not engage any human rights. </w:t>
      </w:r>
    </w:p>
    <w:p w14:paraId="1421C648" w14:textId="599EA11C" w:rsidR="0088209D" w:rsidRPr="00BC16E0" w:rsidRDefault="00844E17" w:rsidP="00BC16E0">
      <w:r>
        <w:t xml:space="preserve">It is acknowledged that authorisations made under the MPTG Regulation by the CHO are likely to promote the right to life as these authorisations will improve patient access to certain medicines. </w:t>
      </w:r>
      <w:r w:rsidR="006B49C2">
        <w:t xml:space="preserve">Consistent with Part 5A of the HR Act, the CHO must consider and act consistently with human rights when exercising any statutory functions, including authorising health professions to deal with medicines as part of their scope of practice and employment.   </w:t>
      </w:r>
    </w:p>
    <w:p w14:paraId="7D4CE9E3" w14:textId="77777777" w:rsidR="00BC16E0" w:rsidRPr="00BC16E0" w:rsidRDefault="00BC16E0" w:rsidP="00BC16E0">
      <w:bookmarkStart w:id="0" w:name="_Hlk84317861"/>
      <w:r w:rsidRPr="00BC16E0">
        <w:t> </w:t>
      </w:r>
      <w:bookmarkEnd w:id="0"/>
    </w:p>
    <w:p w14:paraId="0AB5A673" w14:textId="77777777" w:rsidR="00BC16E0" w:rsidRPr="00BC16E0" w:rsidRDefault="00BC16E0" w:rsidP="008E762C">
      <w:pPr>
        <w:pStyle w:val="Heading2"/>
      </w:pPr>
      <w:r w:rsidRPr="00BC16E0">
        <w:t>CLAUSE NOTES</w:t>
      </w:r>
    </w:p>
    <w:p w14:paraId="75BF3C5A" w14:textId="2A10CB53" w:rsidR="00BC16E0" w:rsidRPr="00BC16E0" w:rsidRDefault="00BC16E0" w:rsidP="00BC16E0"/>
    <w:p w14:paraId="4666AB5F" w14:textId="54FB1EAE" w:rsidR="00BC16E0" w:rsidRPr="00BC16E0" w:rsidRDefault="00BC16E0" w:rsidP="00BC16E0">
      <w:r w:rsidRPr="00BC16E0">
        <w:rPr>
          <w:b/>
          <w:bCs/>
        </w:rPr>
        <w:t xml:space="preserve">Clause </w:t>
      </w:r>
      <w:r w:rsidR="001C6D24" w:rsidRPr="00BC16E0">
        <w:rPr>
          <w:b/>
          <w:bCs/>
        </w:rPr>
        <w:t xml:space="preserve">1 </w:t>
      </w:r>
      <w:r w:rsidR="006B49C2">
        <w:rPr>
          <w:b/>
          <w:bCs/>
        </w:rPr>
        <w:tab/>
      </w:r>
      <w:r w:rsidR="001C6D24" w:rsidRPr="00BC16E0">
        <w:rPr>
          <w:b/>
          <w:bCs/>
        </w:rPr>
        <w:t>Name</w:t>
      </w:r>
      <w:r w:rsidRPr="00BC16E0">
        <w:rPr>
          <w:b/>
          <w:bCs/>
        </w:rPr>
        <w:t xml:space="preserve"> of Regulation</w:t>
      </w:r>
    </w:p>
    <w:p w14:paraId="6BC9332D" w14:textId="1CAE6882" w:rsidR="00BC16E0" w:rsidRPr="00BC16E0" w:rsidRDefault="00BC16E0" w:rsidP="00BC16E0">
      <w:r w:rsidRPr="00BC16E0">
        <w:t xml:space="preserve">This clause declares the name of the Amendment Regulation to be the Medicines, Poisons and Therapeutic Goods Amendment Regulation </w:t>
      </w:r>
      <w:r w:rsidR="001C6D24" w:rsidRPr="00BC16E0">
        <w:t>202</w:t>
      </w:r>
      <w:r w:rsidR="001C6D24">
        <w:t>5</w:t>
      </w:r>
      <w:r w:rsidR="001C6D24" w:rsidRPr="00BC16E0">
        <w:t> </w:t>
      </w:r>
      <w:r w:rsidRPr="00BC16E0">
        <w:t>(No </w:t>
      </w:r>
      <w:r w:rsidR="00976D32">
        <w:t>1</w:t>
      </w:r>
      <w:r w:rsidRPr="00BC16E0">
        <w:t>).</w:t>
      </w:r>
    </w:p>
    <w:p w14:paraId="74556058" w14:textId="01502B73" w:rsidR="00BC16E0" w:rsidRPr="00BC16E0" w:rsidRDefault="00BC16E0" w:rsidP="00BC16E0">
      <w:r w:rsidRPr="00BC16E0">
        <w:rPr>
          <w:b/>
          <w:bCs/>
        </w:rPr>
        <w:t>Clause 2</w:t>
      </w:r>
      <w:r w:rsidRPr="00BC16E0">
        <w:t> </w:t>
      </w:r>
      <w:r w:rsidR="006B49C2">
        <w:tab/>
      </w:r>
      <w:r w:rsidRPr="00BC16E0">
        <w:rPr>
          <w:b/>
          <w:bCs/>
        </w:rPr>
        <w:t>Commencement</w:t>
      </w:r>
    </w:p>
    <w:p w14:paraId="0A5E175E" w14:textId="77777777" w:rsidR="00BC16E0" w:rsidRPr="00BC16E0" w:rsidRDefault="00BC16E0" w:rsidP="00BC16E0">
      <w:r w:rsidRPr="00BC16E0">
        <w:t>Under this provision, the Regulation commences the day after notification.</w:t>
      </w:r>
    </w:p>
    <w:p w14:paraId="15CE69D2" w14:textId="3B2CB63D" w:rsidR="00BC16E0" w:rsidRPr="00BC16E0" w:rsidRDefault="00BC16E0" w:rsidP="00BC16E0">
      <w:r w:rsidRPr="00BC16E0">
        <w:t> </w:t>
      </w:r>
      <w:r w:rsidRPr="00BC16E0">
        <w:rPr>
          <w:b/>
          <w:bCs/>
        </w:rPr>
        <w:t>Clause 3</w:t>
      </w:r>
      <w:r w:rsidRPr="00BC16E0">
        <w:t> </w:t>
      </w:r>
      <w:r w:rsidR="006B49C2">
        <w:tab/>
      </w:r>
      <w:r w:rsidRPr="00BC16E0">
        <w:rPr>
          <w:b/>
          <w:bCs/>
        </w:rPr>
        <w:t>Legislation amended</w:t>
      </w:r>
    </w:p>
    <w:p w14:paraId="2ABE4A3F" w14:textId="6FE1C39C" w:rsidR="00BC16E0" w:rsidRPr="00BC16E0" w:rsidRDefault="00BC16E0" w:rsidP="001C6D24">
      <w:r w:rsidRPr="00BC16E0">
        <w:t>This clause advises that this Amendment Regulation amends the MPTG Regulation. Upon commencement, this Amendment Regulation will alter the MPTG Regulation in accordance with the provisions that this Amendment Regulation contains. Consequentially, from the date that this Amendment Regulation commences, a republication of the MPTG Regulation will be available. The new republication will feature the amendments made by</w:t>
      </w:r>
      <w:r w:rsidR="001C6D24">
        <w:t xml:space="preserve"> this Amendment Regulation. </w:t>
      </w:r>
    </w:p>
    <w:p w14:paraId="7D9AADC9" w14:textId="48005DB1" w:rsidR="00BC16E0" w:rsidRPr="00BC16E0" w:rsidRDefault="00BC16E0" w:rsidP="00BC16E0">
      <w:r w:rsidRPr="00BC16E0">
        <w:rPr>
          <w:b/>
          <w:bCs/>
        </w:rPr>
        <w:t>Clause 4</w:t>
      </w:r>
      <w:r w:rsidR="006B49C2">
        <w:rPr>
          <w:b/>
          <w:bCs/>
        </w:rPr>
        <w:tab/>
      </w:r>
      <w:r w:rsidRPr="00BC16E0">
        <w:t> </w:t>
      </w:r>
      <w:r w:rsidRPr="00BC16E0">
        <w:rPr>
          <w:b/>
          <w:bCs/>
        </w:rPr>
        <w:t xml:space="preserve">New section </w:t>
      </w:r>
      <w:r w:rsidR="001C6D24">
        <w:rPr>
          <w:b/>
          <w:bCs/>
        </w:rPr>
        <w:t>11</w:t>
      </w:r>
      <w:r w:rsidR="00055DF1">
        <w:rPr>
          <w:b/>
          <w:bCs/>
        </w:rPr>
        <w:t xml:space="preserve"> </w:t>
      </w:r>
      <w:r w:rsidR="001C6D24">
        <w:rPr>
          <w:b/>
          <w:bCs/>
        </w:rPr>
        <w:t>(2)</w:t>
      </w:r>
      <w:r w:rsidR="00055DF1">
        <w:rPr>
          <w:b/>
          <w:bCs/>
        </w:rPr>
        <w:t xml:space="preserve"> </w:t>
      </w:r>
      <w:r w:rsidR="001C6D24">
        <w:rPr>
          <w:b/>
          <w:bCs/>
        </w:rPr>
        <w:t>(w)</w:t>
      </w:r>
      <w:r w:rsidR="00055DF1">
        <w:rPr>
          <w:b/>
          <w:bCs/>
        </w:rPr>
        <w:t xml:space="preserve"> </w:t>
      </w:r>
    </w:p>
    <w:p w14:paraId="3209E99D" w14:textId="1EBBBD87" w:rsidR="00BC16E0" w:rsidRDefault="00062264" w:rsidP="00BC16E0">
      <w:r>
        <w:t xml:space="preserve">Section 11 of the MPTG Regulation provides an overview of medicine authorisations made under the regulation. </w:t>
      </w:r>
      <w:r w:rsidR="00BC16E0" w:rsidRPr="00BC16E0">
        <w:t xml:space="preserve">This clause </w:t>
      </w:r>
      <w:r>
        <w:t>adds the</w:t>
      </w:r>
      <w:r w:rsidR="001C6D24">
        <w:t xml:space="preserve"> authorisation under the new section 490A to the section 11 list of authorisations available under the MPTG Regulation. </w:t>
      </w:r>
    </w:p>
    <w:p w14:paraId="7B6DD798" w14:textId="0C4FDE53" w:rsidR="001C6D24" w:rsidRDefault="001C6D24" w:rsidP="00BC16E0">
      <w:pPr>
        <w:rPr>
          <w:b/>
          <w:bCs/>
        </w:rPr>
      </w:pPr>
      <w:r w:rsidRPr="00B22072">
        <w:rPr>
          <w:b/>
          <w:bCs/>
        </w:rPr>
        <w:t xml:space="preserve">Clause 5 </w:t>
      </w:r>
      <w:r w:rsidR="006B49C2">
        <w:rPr>
          <w:b/>
          <w:bCs/>
        </w:rPr>
        <w:tab/>
      </w:r>
      <w:r w:rsidRPr="00B22072">
        <w:rPr>
          <w:b/>
          <w:bCs/>
        </w:rPr>
        <w:t xml:space="preserve">Part 9.6 heading </w:t>
      </w:r>
    </w:p>
    <w:p w14:paraId="06AE23F3" w14:textId="010FBCEA" w:rsidR="001C6D24" w:rsidRDefault="001C6D24" w:rsidP="00BC16E0">
      <w:r>
        <w:t xml:space="preserve">This clause renames Part 9.6 “Authorisations for endorsed health practitioners” to “Other medicines authorisations for health practitioners” to reflect the addition of section 490A. </w:t>
      </w:r>
    </w:p>
    <w:p w14:paraId="0C0677FA" w14:textId="087AC890" w:rsidR="00055DF1" w:rsidRDefault="00055DF1" w:rsidP="00055DF1">
      <w:pPr>
        <w:rPr>
          <w:b/>
          <w:bCs/>
        </w:rPr>
      </w:pPr>
      <w:r w:rsidRPr="00224A75">
        <w:rPr>
          <w:b/>
          <w:bCs/>
        </w:rPr>
        <w:t xml:space="preserve">Clause </w:t>
      </w:r>
      <w:r>
        <w:rPr>
          <w:b/>
          <w:bCs/>
        </w:rPr>
        <w:t>6</w:t>
      </w:r>
      <w:r w:rsidRPr="00224A75">
        <w:rPr>
          <w:b/>
          <w:bCs/>
        </w:rPr>
        <w:t xml:space="preserve"> </w:t>
      </w:r>
      <w:r w:rsidR="006B49C2">
        <w:rPr>
          <w:b/>
          <w:bCs/>
        </w:rPr>
        <w:tab/>
      </w:r>
      <w:r>
        <w:rPr>
          <w:b/>
          <w:bCs/>
        </w:rPr>
        <w:t xml:space="preserve">New section 490A </w:t>
      </w:r>
    </w:p>
    <w:p w14:paraId="3D8B4943" w14:textId="77777777" w:rsidR="00181068" w:rsidRDefault="00055DF1" w:rsidP="00055DF1">
      <w:r w:rsidRPr="00BC16E0">
        <w:t xml:space="preserve">This clause </w:t>
      </w:r>
      <w:r>
        <w:t>inserts new section 490A</w:t>
      </w:r>
      <w:r w:rsidR="00181068">
        <w:t xml:space="preserve">- ‘Authorisations for health practitioners to deal with medicines with CHO approval- Act, s 20 (1) (c). </w:t>
      </w:r>
    </w:p>
    <w:p w14:paraId="1E3D964B" w14:textId="0FE8DAD7" w:rsidR="00BC16E0" w:rsidRPr="00916BD1" w:rsidRDefault="00181068" w:rsidP="006E4577">
      <w:r>
        <w:t xml:space="preserve">Section 490A enables the CHO to </w:t>
      </w:r>
      <w:r w:rsidR="00E42D7B">
        <w:t>authorise</w:t>
      </w:r>
      <w:r>
        <w:t xml:space="preserve"> a</w:t>
      </w:r>
      <w:r w:rsidR="00E42D7B">
        <w:t xml:space="preserve"> health practitioner or a class of health practitioners to deal with a medicine if the CHO is satisfied the approval is appropriate in the </w:t>
      </w:r>
      <w:r w:rsidR="00E42D7B">
        <w:lastRenderedPageBreak/>
        <w:t xml:space="preserve">circumstances. The approval must be in writing by </w:t>
      </w:r>
      <w:r w:rsidR="00991D0F">
        <w:t>NI</w:t>
      </w:r>
      <w:r w:rsidR="00E42D7B">
        <w:t xml:space="preserve"> and include the health practitioner or class of health practitioners approved, the dealings and medicines to which the approval relates, any conditions to which the approval is subject to, a unique identifying number for the approval, the date approval starts and if the period is for a period, then the date </w:t>
      </w:r>
      <w:r w:rsidR="006B49C2">
        <w:t xml:space="preserve">of the </w:t>
      </w:r>
      <w:r w:rsidR="00E42D7B">
        <w:t>period</w:t>
      </w:r>
      <w:r w:rsidR="006B49C2">
        <w:t>.</w:t>
      </w:r>
    </w:p>
    <w:sectPr w:rsidR="00BC16E0" w:rsidRPr="00916BD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E521" w14:textId="77777777" w:rsidR="002C7D70" w:rsidRDefault="002C7D70" w:rsidP="00D36DE7">
      <w:pPr>
        <w:spacing w:after="0" w:line="240" w:lineRule="auto"/>
      </w:pPr>
      <w:r>
        <w:separator/>
      </w:r>
    </w:p>
  </w:endnote>
  <w:endnote w:type="continuationSeparator" w:id="0">
    <w:p w14:paraId="77DF1A3E" w14:textId="77777777" w:rsidR="002C7D70" w:rsidRDefault="002C7D70" w:rsidP="00D3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696F" w14:textId="77777777" w:rsidR="00C8107C" w:rsidRDefault="00C8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9091" w14:textId="572EB18B" w:rsidR="00C8107C" w:rsidRPr="00FD01D1" w:rsidRDefault="00FD01D1" w:rsidP="00FD01D1">
    <w:pPr>
      <w:pStyle w:val="Footer"/>
      <w:jc w:val="center"/>
      <w:rPr>
        <w:rFonts w:ascii="Arial" w:hAnsi="Arial" w:cs="Arial"/>
        <w:sz w:val="14"/>
      </w:rPr>
    </w:pPr>
    <w:r w:rsidRPr="00FD01D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AB78" w14:textId="77777777" w:rsidR="00C8107C" w:rsidRDefault="00C8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3654" w14:textId="77777777" w:rsidR="002C7D70" w:rsidRDefault="002C7D70" w:rsidP="00D36DE7">
      <w:pPr>
        <w:spacing w:after="0" w:line="240" w:lineRule="auto"/>
      </w:pPr>
      <w:r>
        <w:separator/>
      </w:r>
    </w:p>
  </w:footnote>
  <w:footnote w:type="continuationSeparator" w:id="0">
    <w:p w14:paraId="6E584DC3" w14:textId="77777777" w:rsidR="002C7D70" w:rsidRDefault="002C7D70" w:rsidP="00D36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89B0" w14:textId="77777777" w:rsidR="00C8107C" w:rsidRDefault="00C8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156A" w14:textId="77777777" w:rsidR="00C8107C" w:rsidRDefault="00C81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3DCF" w14:textId="77777777" w:rsidR="00C8107C" w:rsidRDefault="00C8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7D"/>
    <w:multiLevelType w:val="hybridMultilevel"/>
    <w:tmpl w:val="0908BA3A"/>
    <w:lvl w:ilvl="0" w:tplc="022E10BA">
      <w:start w:val="1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B4143C"/>
    <w:multiLevelType w:val="multilevel"/>
    <w:tmpl w:val="E2EC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53022"/>
    <w:multiLevelType w:val="multilevel"/>
    <w:tmpl w:val="6E04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00AD5"/>
    <w:multiLevelType w:val="multilevel"/>
    <w:tmpl w:val="644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7531EA"/>
    <w:multiLevelType w:val="hybridMultilevel"/>
    <w:tmpl w:val="3A98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540032">
    <w:abstractNumId w:val="1"/>
  </w:num>
  <w:num w:numId="2" w16cid:durableId="1753548033">
    <w:abstractNumId w:val="2"/>
  </w:num>
  <w:num w:numId="3" w16cid:durableId="1255936013">
    <w:abstractNumId w:val="3"/>
  </w:num>
  <w:num w:numId="4" w16cid:durableId="20514878">
    <w:abstractNumId w:val="4"/>
  </w:num>
  <w:num w:numId="5" w16cid:durableId="5656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1"/>
    <w:rsid w:val="00055DF1"/>
    <w:rsid w:val="00056001"/>
    <w:rsid w:val="00062264"/>
    <w:rsid w:val="0007373C"/>
    <w:rsid w:val="000F544B"/>
    <w:rsid w:val="00132482"/>
    <w:rsid w:val="00137110"/>
    <w:rsid w:val="00181068"/>
    <w:rsid w:val="00183C98"/>
    <w:rsid w:val="001B036A"/>
    <w:rsid w:val="001C6D24"/>
    <w:rsid w:val="00281F64"/>
    <w:rsid w:val="002C67DE"/>
    <w:rsid w:val="002C7D70"/>
    <w:rsid w:val="002D0D2C"/>
    <w:rsid w:val="002F38FD"/>
    <w:rsid w:val="0035573E"/>
    <w:rsid w:val="00364C52"/>
    <w:rsid w:val="0036663A"/>
    <w:rsid w:val="003A2FE8"/>
    <w:rsid w:val="003D16AD"/>
    <w:rsid w:val="004313BF"/>
    <w:rsid w:val="0046504A"/>
    <w:rsid w:val="0048761B"/>
    <w:rsid w:val="004E58A1"/>
    <w:rsid w:val="004F2A32"/>
    <w:rsid w:val="00527D0A"/>
    <w:rsid w:val="00605F74"/>
    <w:rsid w:val="00686E69"/>
    <w:rsid w:val="006B49C2"/>
    <w:rsid w:val="006C5BA0"/>
    <w:rsid w:val="006E4577"/>
    <w:rsid w:val="006E4B15"/>
    <w:rsid w:val="006F4EDA"/>
    <w:rsid w:val="00733370"/>
    <w:rsid w:val="007361FF"/>
    <w:rsid w:val="007C70AF"/>
    <w:rsid w:val="00844E17"/>
    <w:rsid w:val="00877534"/>
    <w:rsid w:val="0088209D"/>
    <w:rsid w:val="00887E14"/>
    <w:rsid w:val="008E762C"/>
    <w:rsid w:val="00903816"/>
    <w:rsid w:val="00916BD1"/>
    <w:rsid w:val="00965D14"/>
    <w:rsid w:val="00976D32"/>
    <w:rsid w:val="00991B28"/>
    <w:rsid w:val="00991D0F"/>
    <w:rsid w:val="009E64B8"/>
    <w:rsid w:val="00A24BD7"/>
    <w:rsid w:val="00A676F7"/>
    <w:rsid w:val="00AD648E"/>
    <w:rsid w:val="00AE3AF9"/>
    <w:rsid w:val="00B01A39"/>
    <w:rsid w:val="00B12802"/>
    <w:rsid w:val="00B22072"/>
    <w:rsid w:val="00B24480"/>
    <w:rsid w:val="00B60DAC"/>
    <w:rsid w:val="00B837A1"/>
    <w:rsid w:val="00BA27B2"/>
    <w:rsid w:val="00BB67B5"/>
    <w:rsid w:val="00BC16E0"/>
    <w:rsid w:val="00BE61DC"/>
    <w:rsid w:val="00BE6BC0"/>
    <w:rsid w:val="00C8107C"/>
    <w:rsid w:val="00CA3C1E"/>
    <w:rsid w:val="00D12CF0"/>
    <w:rsid w:val="00D143B6"/>
    <w:rsid w:val="00D36DE7"/>
    <w:rsid w:val="00D43FB5"/>
    <w:rsid w:val="00D570C0"/>
    <w:rsid w:val="00D60D59"/>
    <w:rsid w:val="00DF295B"/>
    <w:rsid w:val="00E42D7B"/>
    <w:rsid w:val="00EF4C9D"/>
    <w:rsid w:val="00EF79D7"/>
    <w:rsid w:val="00F0428E"/>
    <w:rsid w:val="00F11CB7"/>
    <w:rsid w:val="00F20550"/>
    <w:rsid w:val="00F9097E"/>
    <w:rsid w:val="00FD01D1"/>
    <w:rsid w:val="00FD779B"/>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CCEBA"/>
  <w15:chartTrackingRefBased/>
  <w15:docId w15:val="{21D0E0DA-008D-451E-B0F7-2058DB2C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F1"/>
  </w:style>
  <w:style w:type="paragraph" w:styleId="Heading1">
    <w:name w:val="heading 1"/>
    <w:basedOn w:val="Normal"/>
    <w:next w:val="Normal"/>
    <w:link w:val="Heading1Char"/>
    <w:uiPriority w:val="9"/>
    <w:qFormat/>
    <w:rsid w:val="00916BD1"/>
    <w:pPr>
      <w:outlineLvl w:val="0"/>
    </w:pPr>
    <w:rPr>
      <w:b/>
      <w:bCs/>
      <w:sz w:val="40"/>
      <w:szCs w:val="40"/>
    </w:rPr>
  </w:style>
  <w:style w:type="paragraph" w:styleId="Heading2">
    <w:name w:val="heading 2"/>
    <w:basedOn w:val="Normal"/>
    <w:next w:val="Normal"/>
    <w:link w:val="Heading2Char"/>
    <w:uiPriority w:val="9"/>
    <w:unhideWhenUsed/>
    <w:qFormat/>
    <w:rsid w:val="00916BD1"/>
    <w:pPr>
      <w:outlineLvl w:val="1"/>
    </w:pPr>
    <w:rPr>
      <w:b/>
      <w:bCs/>
      <w:sz w:val="28"/>
      <w:szCs w:val="28"/>
    </w:rPr>
  </w:style>
  <w:style w:type="paragraph" w:styleId="Heading3">
    <w:name w:val="heading 3"/>
    <w:basedOn w:val="Normal"/>
    <w:next w:val="Normal"/>
    <w:link w:val="Heading3Char"/>
    <w:uiPriority w:val="9"/>
    <w:semiHidden/>
    <w:unhideWhenUsed/>
    <w:qFormat/>
    <w:rsid w:val="00916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D1"/>
    <w:rPr>
      <w:b/>
      <w:bCs/>
      <w:sz w:val="40"/>
      <w:szCs w:val="40"/>
    </w:rPr>
  </w:style>
  <w:style w:type="character" w:customStyle="1" w:styleId="Heading2Char">
    <w:name w:val="Heading 2 Char"/>
    <w:basedOn w:val="DefaultParagraphFont"/>
    <w:link w:val="Heading2"/>
    <w:uiPriority w:val="9"/>
    <w:rsid w:val="00916BD1"/>
    <w:rPr>
      <w:b/>
      <w:bCs/>
      <w:sz w:val="28"/>
      <w:szCs w:val="28"/>
    </w:rPr>
  </w:style>
  <w:style w:type="character" w:customStyle="1" w:styleId="Heading3Char">
    <w:name w:val="Heading 3 Char"/>
    <w:basedOn w:val="DefaultParagraphFont"/>
    <w:link w:val="Heading3"/>
    <w:uiPriority w:val="9"/>
    <w:semiHidden/>
    <w:rsid w:val="00916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D1"/>
    <w:rPr>
      <w:rFonts w:eastAsiaTheme="majorEastAsia" w:cstheme="majorBidi"/>
      <w:color w:val="272727" w:themeColor="text1" w:themeTint="D8"/>
    </w:rPr>
  </w:style>
  <w:style w:type="paragraph" w:styleId="Title">
    <w:name w:val="Title"/>
    <w:basedOn w:val="Normal"/>
    <w:next w:val="Normal"/>
    <w:link w:val="TitleChar"/>
    <w:uiPriority w:val="10"/>
    <w:qFormat/>
    <w:rsid w:val="0091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D1"/>
    <w:rPr>
      <w:b/>
      <w:bCs/>
      <w:sz w:val="28"/>
      <w:szCs w:val="28"/>
    </w:rPr>
  </w:style>
  <w:style w:type="character" w:customStyle="1" w:styleId="SubtitleChar">
    <w:name w:val="Subtitle Char"/>
    <w:basedOn w:val="DefaultParagraphFont"/>
    <w:link w:val="Subtitle"/>
    <w:uiPriority w:val="11"/>
    <w:rsid w:val="00916BD1"/>
    <w:rPr>
      <w:b/>
      <w:bCs/>
      <w:sz w:val="28"/>
      <w:szCs w:val="28"/>
    </w:rPr>
  </w:style>
  <w:style w:type="paragraph" w:styleId="Quote">
    <w:name w:val="Quote"/>
    <w:basedOn w:val="Normal"/>
    <w:next w:val="Normal"/>
    <w:link w:val="QuoteChar"/>
    <w:uiPriority w:val="29"/>
    <w:qFormat/>
    <w:rsid w:val="00916BD1"/>
    <w:pPr>
      <w:spacing w:before="160"/>
      <w:jc w:val="center"/>
    </w:pPr>
    <w:rPr>
      <w:i/>
      <w:iCs/>
      <w:color w:val="404040" w:themeColor="text1" w:themeTint="BF"/>
    </w:rPr>
  </w:style>
  <w:style w:type="character" w:customStyle="1" w:styleId="QuoteChar">
    <w:name w:val="Quote Char"/>
    <w:basedOn w:val="DefaultParagraphFont"/>
    <w:link w:val="Quote"/>
    <w:uiPriority w:val="29"/>
    <w:rsid w:val="00916BD1"/>
    <w:rPr>
      <w:i/>
      <w:iCs/>
      <w:color w:val="404040" w:themeColor="text1" w:themeTint="BF"/>
    </w:rPr>
  </w:style>
  <w:style w:type="paragraph" w:styleId="ListParagraph">
    <w:name w:val="List Paragraph"/>
    <w:basedOn w:val="Normal"/>
    <w:uiPriority w:val="34"/>
    <w:qFormat/>
    <w:rsid w:val="00916BD1"/>
    <w:pPr>
      <w:ind w:left="720"/>
      <w:contextualSpacing/>
    </w:pPr>
  </w:style>
  <w:style w:type="character" w:styleId="IntenseEmphasis">
    <w:name w:val="Intense Emphasis"/>
    <w:basedOn w:val="DefaultParagraphFont"/>
    <w:uiPriority w:val="21"/>
    <w:qFormat/>
    <w:rsid w:val="00916BD1"/>
    <w:rPr>
      <w:i/>
      <w:iCs/>
      <w:color w:val="0F4761" w:themeColor="accent1" w:themeShade="BF"/>
    </w:rPr>
  </w:style>
  <w:style w:type="paragraph" w:styleId="IntenseQuote">
    <w:name w:val="Intense Quote"/>
    <w:basedOn w:val="Normal"/>
    <w:next w:val="Normal"/>
    <w:link w:val="IntenseQuoteChar"/>
    <w:uiPriority w:val="30"/>
    <w:qFormat/>
    <w:rsid w:val="0091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BD1"/>
    <w:rPr>
      <w:i/>
      <w:iCs/>
      <w:color w:val="0F4761" w:themeColor="accent1" w:themeShade="BF"/>
    </w:rPr>
  </w:style>
  <w:style w:type="character" w:styleId="IntenseReference">
    <w:name w:val="Intense Reference"/>
    <w:basedOn w:val="DefaultParagraphFont"/>
    <w:uiPriority w:val="32"/>
    <w:qFormat/>
    <w:rsid w:val="00916BD1"/>
    <w:rPr>
      <w:b/>
      <w:bCs/>
      <w:smallCaps/>
      <w:color w:val="0F4761" w:themeColor="accent1" w:themeShade="BF"/>
      <w:spacing w:val="5"/>
    </w:rPr>
  </w:style>
  <w:style w:type="character" w:styleId="CommentReference">
    <w:name w:val="annotation reference"/>
    <w:basedOn w:val="DefaultParagraphFont"/>
    <w:uiPriority w:val="99"/>
    <w:semiHidden/>
    <w:unhideWhenUsed/>
    <w:rsid w:val="00916BD1"/>
    <w:rPr>
      <w:sz w:val="16"/>
      <w:szCs w:val="16"/>
    </w:rPr>
  </w:style>
  <w:style w:type="paragraph" w:styleId="CommentText">
    <w:name w:val="annotation text"/>
    <w:basedOn w:val="Normal"/>
    <w:link w:val="CommentTextChar"/>
    <w:uiPriority w:val="99"/>
    <w:unhideWhenUsed/>
    <w:rsid w:val="00916BD1"/>
    <w:pPr>
      <w:spacing w:line="240" w:lineRule="auto"/>
    </w:pPr>
    <w:rPr>
      <w:sz w:val="20"/>
      <w:szCs w:val="20"/>
    </w:rPr>
  </w:style>
  <w:style w:type="character" w:customStyle="1" w:styleId="CommentTextChar">
    <w:name w:val="Comment Text Char"/>
    <w:basedOn w:val="DefaultParagraphFont"/>
    <w:link w:val="CommentText"/>
    <w:uiPriority w:val="99"/>
    <w:rsid w:val="00916BD1"/>
    <w:rPr>
      <w:sz w:val="20"/>
      <w:szCs w:val="20"/>
    </w:rPr>
  </w:style>
  <w:style w:type="paragraph" w:styleId="CommentSubject">
    <w:name w:val="annotation subject"/>
    <w:basedOn w:val="CommentText"/>
    <w:next w:val="CommentText"/>
    <w:link w:val="CommentSubjectChar"/>
    <w:uiPriority w:val="99"/>
    <w:semiHidden/>
    <w:unhideWhenUsed/>
    <w:rsid w:val="00916BD1"/>
    <w:rPr>
      <w:b/>
      <w:bCs/>
    </w:rPr>
  </w:style>
  <w:style w:type="character" w:customStyle="1" w:styleId="CommentSubjectChar">
    <w:name w:val="Comment Subject Char"/>
    <w:basedOn w:val="CommentTextChar"/>
    <w:link w:val="CommentSubject"/>
    <w:uiPriority w:val="99"/>
    <w:semiHidden/>
    <w:rsid w:val="00916BD1"/>
    <w:rPr>
      <w:b/>
      <w:bCs/>
      <w:sz w:val="20"/>
      <w:szCs w:val="20"/>
    </w:rPr>
  </w:style>
  <w:style w:type="character" w:styleId="SubtleEmphasis">
    <w:name w:val="Subtle Emphasis"/>
    <w:uiPriority w:val="19"/>
    <w:qFormat/>
    <w:rsid w:val="00916BD1"/>
    <w:rPr>
      <w:b/>
      <w:bCs/>
      <w:sz w:val="36"/>
      <w:szCs w:val="36"/>
    </w:rPr>
  </w:style>
  <w:style w:type="paragraph" w:styleId="Revision">
    <w:name w:val="Revision"/>
    <w:hidden/>
    <w:uiPriority w:val="99"/>
    <w:semiHidden/>
    <w:rsid w:val="008E762C"/>
    <w:pPr>
      <w:spacing w:after="0" w:line="240" w:lineRule="auto"/>
    </w:pPr>
  </w:style>
  <w:style w:type="character" w:styleId="Hyperlink">
    <w:name w:val="Hyperlink"/>
    <w:basedOn w:val="DefaultParagraphFont"/>
    <w:uiPriority w:val="99"/>
    <w:unhideWhenUsed/>
    <w:rsid w:val="00903816"/>
    <w:rPr>
      <w:color w:val="467886" w:themeColor="hyperlink"/>
      <w:u w:val="single"/>
    </w:rPr>
  </w:style>
  <w:style w:type="character" w:styleId="UnresolvedMention">
    <w:name w:val="Unresolved Mention"/>
    <w:basedOn w:val="DefaultParagraphFont"/>
    <w:uiPriority w:val="99"/>
    <w:semiHidden/>
    <w:unhideWhenUsed/>
    <w:rsid w:val="00903816"/>
    <w:rPr>
      <w:color w:val="605E5C"/>
      <w:shd w:val="clear" w:color="auto" w:fill="E1DFDD"/>
    </w:rPr>
  </w:style>
  <w:style w:type="paragraph" w:styleId="Header">
    <w:name w:val="header"/>
    <w:basedOn w:val="Normal"/>
    <w:link w:val="HeaderChar"/>
    <w:uiPriority w:val="99"/>
    <w:unhideWhenUsed/>
    <w:rsid w:val="00D36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DE7"/>
  </w:style>
  <w:style w:type="paragraph" w:styleId="Footer">
    <w:name w:val="footer"/>
    <w:basedOn w:val="Normal"/>
    <w:link w:val="FooterChar"/>
    <w:uiPriority w:val="99"/>
    <w:unhideWhenUsed/>
    <w:rsid w:val="00D36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DE7"/>
  </w:style>
  <w:style w:type="paragraph" w:customStyle="1" w:styleId="Billname">
    <w:name w:val="Billname"/>
    <w:basedOn w:val="Normal"/>
    <w:rsid w:val="00D36DE7"/>
    <w:pPr>
      <w:tabs>
        <w:tab w:val="left" w:pos="2400"/>
        <w:tab w:val="left" w:pos="2880"/>
      </w:tabs>
      <w:spacing w:before="1220" w:after="100" w:line="240" w:lineRule="auto"/>
    </w:pPr>
    <w:rPr>
      <w:rFonts w:ascii="Arial" w:eastAsia="Times New Roman" w:hAnsi="Arial" w:cs="Times New Roman"/>
      <w:b/>
      <w:kern w:val="0"/>
      <w:sz w:val="40"/>
      <w:szCs w:val="20"/>
      <w14:ligatures w14:val="none"/>
    </w:rPr>
  </w:style>
  <w:style w:type="paragraph" w:customStyle="1" w:styleId="madeunder">
    <w:name w:val="made under"/>
    <w:basedOn w:val="Normal"/>
    <w:rsid w:val="00D36DE7"/>
    <w:pPr>
      <w:spacing w:before="180" w:after="60" w:line="240" w:lineRule="auto"/>
      <w:jc w:val="both"/>
    </w:pPr>
    <w:rPr>
      <w:rFonts w:ascii="Times New Roman" w:eastAsia="Times New Roman" w:hAnsi="Times New Roman" w:cs="Times New Roman"/>
      <w:kern w:val="0"/>
      <w:sz w:val="24"/>
      <w:szCs w:val="20"/>
      <w14:ligatures w14:val="none"/>
    </w:rPr>
  </w:style>
  <w:style w:type="paragraph" w:customStyle="1" w:styleId="CoverActName">
    <w:name w:val="CoverActName"/>
    <w:basedOn w:val="Normal"/>
    <w:rsid w:val="00D36DE7"/>
    <w:pPr>
      <w:tabs>
        <w:tab w:val="left" w:pos="2600"/>
      </w:tabs>
      <w:spacing w:before="200" w:after="60" w:line="240" w:lineRule="auto"/>
      <w:jc w:val="both"/>
    </w:pPr>
    <w:rPr>
      <w:rFonts w:ascii="Arial" w:eastAsia="Times New Roman" w:hAnsi="Arial" w:cs="Times New Roman"/>
      <w:b/>
      <w:kern w:val="0"/>
      <w:sz w:val="24"/>
      <w:szCs w:val="20"/>
      <w14:ligatures w14:val="none"/>
    </w:rPr>
  </w:style>
  <w:style w:type="paragraph" w:customStyle="1" w:styleId="N-line3">
    <w:name w:val="N-line3"/>
    <w:basedOn w:val="Normal"/>
    <w:next w:val="Normal"/>
    <w:rsid w:val="00D36DE7"/>
    <w:pPr>
      <w:pBdr>
        <w:bottom w:val="single" w:sz="12" w:space="1" w:color="auto"/>
      </w:pBdr>
      <w:spacing w:after="0" w:line="240" w:lineRule="auto"/>
      <w:jc w:val="both"/>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9644">
      <w:bodyDiv w:val="1"/>
      <w:marLeft w:val="0"/>
      <w:marRight w:val="0"/>
      <w:marTop w:val="0"/>
      <w:marBottom w:val="0"/>
      <w:divBdr>
        <w:top w:val="none" w:sz="0" w:space="0" w:color="auto"/>
        <w:left w:val="none" w:sz="0" w:space="0" w:color="auto"/>
        <w:bottom w:val="none" w:sz="0" w:space="0" w:color="auto"/>
        <w:right w:val="none" w:sz="0" w:space="0" w:color="auto"/>
      </w:divBdr>
    </w:div>
    <w:div w:id="255289064">
      <w:bodyDiv w:val="1"/>
      <w:marLeft w:val="0"/>
      <w:marRight w:val="0"/>
      <w:marTop w:val="0"/>
      <w:marBottom w:val="0"/>
      <w:divBdr>
        <w:top w:val="none" w:sz="0" w:space="0" w:color="auto"/>
        <w:left w:val="none" w:sz="0" w:space="0" w:color="auto"/>
        <w:bottom w:val="none" w:sz="0" w:space="0" w:color="auto"/>
        <w:right w:val="none" w:sz="0" w:space="0" w:color="auto"/>
      </w:divBdr>
    </w:div>
    <w:div w:id="257642850">
      <w:bodyDiv w:val="1"/>
      <w:marLeft w:val="0"/>
      <w:marRight w:val="0"/>
      <w:marTop w:val="0"/>
      <w:marBottom w:val="0"/>
      <w:divBdr>
        <w:top w:val="none" w:sz="0" w:space="0" w:color="auto"/>
        <w:left w:val="none" w:sz="0" w:space="0" w:color="auto"/>
        <w:bottom w:val="none" w:sz="0" w:space="0" w:color="auto"/>
        <w:right w:val="none" w:sz="0" w:space="0" w:color="auto"/>
      </w:divBdr>
    </w:div>
    <w:div w:id="338239964">
      <w:bodyDiv w:val="1"/>
      <w:marLeft w:val="0"/>
      <w:marRight w:val="0"/>
      <w:marTop w:val="0"/>
      <w:marBottom w:val="0"/>
      <w:divBdr>
        <w:top w:val="none" w:sz="0" w:space="0" w:color="auto"/>
        <w:left w:val="none" w:sz="0" w:space="0" w:color="auto"/>
        <w:bottom w:val="none" w:sz="0" w:space="0" w:color="auto"/>
        <w:right w:val="none" w:sz="0" w:space="0" w:color="auto"/>
      </w:divBdr>
    </w:div>
    <w:div w:id="742413058">
      <w:bodyDiv w:val="1"/>
      <w:marLeft w:val="0"/>
      <w:marRight w:val="0"/>
      <w:marTop w:val="0"/>
      <w:marBottom w:val="0"/>
      <w:divBdr>
        <w:top w:val="none" w:sz="0" w:space="0" w:color="auto"/>
        <w:left w:val="none" w:sz="0" w:space="0" w:color="auto"/>
        <w:bottom w:val="none" w:sz="0" w:space="0" w:color="auto"/>
        <w:right w:val="none" w:sz="0" w:space="0" w:color="auto"/>
      </w:divBdr>
    </w:div>
    <w:div w:id="744764076">
      <w:bodyDiv w:val="1"/>
      <w:marLeft w:val="0"/>
      <w:marRight w:val="0"/>
      <w:marTop w:val="0"/>
      <w:marBottom w:val="0"/>
      <w:divBdr>
        <w:top w:val="none" w:sz="0" w:space="0" w:color="auto"/>
        <w:left w:val="none" w:sz="0" w:space="0" w:color="auto"/>
        <w:bottom w:val="none" w:sz="0" w:space="0" w:color="auto"/>
        <w:right w:val="none" w:sz="0" w:space="0" w:color="auto"/>
      </w:divBdr>
    </w:div>
    <w:div w:id="959723561">
      <w:bodyDiv w:val="1"/>
      <w:marLeft w:val="0"/>
      <w:marRight w:val="0"/>
      <w:marTop w:val="0"/>
      <w:marBottom w:val="0"/>
      <w:divBdr>
        <w:top w:val="none" w:sz="0" w:space="0" w:color="auto"/>
        <w:left w:val="none" w:sz="0" w:space="0" w:color="auto"/>
        <w:bottom w:val="none" w:sz="0" w:space="0" w:color="auto"/>
        <w:right w:val="none" w:sz="0" w:space="0" w:color="auto"/>
      </w:divBdr>
    </w:div>
    <w:div w:id="1139343978">
      <w:bodyDiv w:val="1"/>
      <w:marLeft w:val="0"/>
      <w:marRight w:val="0"/>
      <w:marTop w:val="0"/>
      <w:marBottom w:val="0"/>
      <w:divBdr>
        <w:top w:val="none" w:sz="0" w:space="0" w:color="auto"/>
        <w:left w:val="none" w:sz="0" w:space="0" w:color="auto"/>
        <w:bottom w:val="none" w:sz="0" w:space="0" w:color="auto"/>
        <w:right w:val="none" w:sz="0" w:space="0" w:color="auto"/>
      </w:divBdr>
    </w:div>
    <w:div w:id="1218279557">
      <w:bodyDiv w:val="1"/>
      <w:marLeft w:val="0"/>
      <w:marRight w:val="0"/>
      <w:marTop w:val="0"/>
      <w:marBottom w:val="0"/>
      <w:divBdr>
        <w:top w:val="none" w:sz="0" w:space="0" w:color="auto"/>
        <w:left w:val="none" w:sz="0" w:space="0" w:color="auto"/>
        <w:bottom w:val="none" w:sz="0" w:space="0" w:color="auto"/>
        <w:right w:val="none" w:sz="0" w:space="0" w:color="auto"/>
      </w:divBdr>
    </w:div>
    <w:div w:id="1529561221">
      <w:bodyDiv w:val="1"/>
      <w:marLeft w:val="0"/>
      <w:marRight w:val="0"/>
      <w:marTop w:val="0"/>
      <w:marBottom w:val="0"/>
      <w:divBdr>
        <w:top w:val="none" w:sz="0" w:space="0" w:color="auto"/>
        <w:left w:val="none" w:sz="0" w:space="0" w:color="auto"/>
        <w:bottom w:val="none" w:sz="0" w:space="0" w:color="auto"/>
        <w:right w:val="none" w:sz="0" w:space="0" w:color="auto"/>
      </w:divBdr>
    </w:div>
    <w:div w:id="1619533361">
      <w:bodyDiv w:val="1"/>
      <w:marLeft w:val="0"/>
      <w:marRight w:val="0"/>
      <w:marTop w:val="0"/>
      <w:marBottom w:val="0"/>
      <w:divBdr>
        <w:top w:val="none" w:sz="0" w:space="0" w:color="auto"/>
        <w:left w:val="none" w:sz="0" w:space="0" w:color="auto"/>
        <w:bottom w:val="none" w:sz="0" w:space="0" w:color="auto"/>
        <w:right w:val="none" w:sz="0" w:space="0" w:color="auto"/>
      </w:divBdr>
    </w:div>
    <w:div w:id="1804686589">
      <w:bodyDiv w:val="1"/>
      <w:marLeft w:val="0"/>
      <w:marRight w:val="0"/>
      <w:marTop w:val="0"/>
      <w:marBottom w:val="0"/>
      <w:divBdr>
        <w:top w:val="none" w:sz="0" w:space="0" w:color="auto"/>
        <w:left w:val="none" w:sz="0" w:space="0" w:color="auto"/>
        <w:bottom w:val="none" w:sz="0" w:space="0" w:color="auto"/>
        <w:right w:val="none" w:sz="0" w:space="0" w:color="auto"/>
      </w:divBdr>
    </w:div>
    <w:div w:id="1923566070">
      <w:bodyDiv w:val="1"/>
      <w:marLeft w:val="0"/>
      <w:marRight w:val="0"/>
      <w:marTop w:val="0"/>
      <w:marBottom w:val="0"/>
      <w:divBdr>
        <w:top w:val="none" w:sz="0" w:space="0" w:color="auto"/>
        <w:left w:val="none" w:sz="0" w:space="0" w:color="auto"/>
        <w:bottom w:val="none" w:sz="0" w:space="0" w:color="auto"/>
        <w:right w:val="none" w:sz="0" w:space="0" w:color="auto"/>
      </w:divBdr>
    </w:div>
    <w:div w:id="2005009396">
      <w:bodyDiv w:val="1"/>
      <w:marLeft w:val="0"/>
      <w:marRight w:val="0"/>
      <w:marTop w:val="0"/>
      <w:marBottom w:val="0"/>
      <w:divBdr>
        <w:top w:val="none" w:sz="0" w:space="0" w:color="auto"/>
        <w:left w:val="none" w:sz="0" w:space="0" w:color="auto"/>
        <w:bottom w:val="none" w:sz="0" w:space="0" w:color="auto"/>
        <w:right w:val="none" w:sz="0" w:space="0" w:color="auto"/>
      </w:divBdr>
    </w:div>
    <w:div w:id="2010520805">
      <w:bodyDiv w:val="1"/>
      <w:marLeft w:val="0"/>
      <w:marRight w:val="0"/>
      <w:marTop w:val="0"/>
      <w:marBottom w:val="0"/>
      <w:divBdr>
        <w:top w:val="none" w:sz="0" w:space="0" w:color="auto"/>
        <w:left w:val="none" w:sz="0" w:space="0" w:color="auto"/>
        <w:bottom w:val="none" w:sz="0" w:space="0" w:color="auto"/>
        <w:right w:val="none" w:sz="0" w:space="0" w:color="auto"/>
      </w:divBdr>
    </w:div>
    <w:div w:id="20921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A51333609</value>
    </field>
    <field name="Objective-Title">
      <value order="0">Att C - Explanatory Statement</value>
    </field>
    <field name="Objective-Description">
      <value order="0"/>
    </field>
    <field name="Objective-CreationStamp">
      <value order="0">2025-04-11T03:17:00Z</value>
    </field>
    <field name="Objective-IsApproved">
      <value order="0">false</value>
    </field>
    <field name="Objective-IsPublished">
      <value order="0">true</value>
    </field>
    <field name="Objective-DatePublished">
      <value order="0">2025-04-23T03:59:21Z</value>
    </field>
    <field name="Objective-ModificationStamp">
      <value order="0">2025-05-07T07:20:35Z</value>
    </field>
    <field name="Objective-Owner">
      <value order="0">Adam Duffy</value>
    </field>
    <field name="Objective-Path">
      <value order="0">Whole of ACT Government:ACTHD - ACT Health:GROUP: Office of the Director General (ODG):OFFICE: Office of the Director General (ODG):UNIT: Ministerial and Government Services:03. Government Business (General and Weekly Briefs):ACTHD - Government Business 2025 - MAGS:With MO for Approval:GBC2025/0000234 - Initiated Brief - Executive approval of the Medicines, Poisons and Therapeutic Goods Amendment Regulation 2025 (No ) (Amendment Regulation) - Medicines authorisation mechanism - Minister for Health</value>
    </field>
    <field name="Objective-Parent">
      <value order="0">GBC2025/0000234 - Initiated Brief - Executive approval of the Medicines, Poisons and Therapeutic Goods Amendment Regulation 2025 (No ) (Amendment Regulation) - Medicines authorisation mechanism - Minister for Health</value>
    </field>
    <field name="Objective-State">
      <value order="0">Published</value>
    </field>
    <field name="Objective-VersionId">
      <value order="0">vA65433676</value>
    </field>
    <field name="Objective-Version">
      <value order="0">1.0</value>
    </field>
    <field name="Objective-VersionNumber">
      <value order="0">2</value>
    </field>
    <field name="Objective-VersionComment">
      <value order="0">HPS EBM Clearance for CHO Approval.</value>
    </field>
    <field name="Objective-FileNumber">
      <value order="0">1-2025/0005610</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9" ma:contentTypeDescription="Create a new document." ma:contentTypeScope="" ma:versionID="d635cbb21a59f67298486d69cfd36bea">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c188faa93d11300a2b322e5809085175"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A440BC4D-8E10-4832-9FB0-9B553C2CF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75B7F-6924-4957-B82F-A6AEF342E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6564</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2025-06-16T00:27:00Z</dcterms:created>
  <dcterms:modified xsi:type="dcterms:W3CDTF">2025-06-16T00:27:00Z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2025-03-21T02:19:54Z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c081f7d5-be04-4577-b859-b4aed3c4cd70</vt:lpwstr>
  </property>
  <property fmtid="{D5CDD505-2E9C-101B-9397-08002B2CF9AE}" pid="8" name="MSIP_Label_69af8531-eb46-4968-8cb3-105d2f5ea87e_ContentBits">
    <vt:lpwstr>0</vt:lpwstr>
  </property>
  <property fmtid="{D5CDD505-2E9C-101B-9397-08002B2CF9AE}" pid="9" name="Objective-Id">
    <vt:lpwstr>A51333609</vt:lpwstr>
  </property>
  <property fmtid="{D5CDD505-2E9C-101B-9397-08002B2CF9AE}" pid="10" name="Objective-Title">
    <vt:lpwstr>Att C - Explanatory Statement</vt:lpwstr>
  </property>
  <property fmtid="{D5CDD505-2E9C-101B-9397-08002B2CF9AE}" pid="11" name="Objective-Description">
    <vt:lpwstr/>
  </property>
  <property fmtid="{D5CDD505-2E9C-101B-9397-08002B2CF9AE}" pid="12" name="Objective-CreationStamp">
    <vt:filetime>2025-04-11T03:17:00Z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2025-04-23T03:59:21Z</vt:filetime>
  </property>
  <property fmtid="{D5CDD505-2E9C-101B-9397-08002B2CF9AE}" pid="16" name="Objective-ModificationStamp">
    <vt:filetime>2025-05-07T07:20:35Z</vt:filetime>
  </property>
  <property fmtid="{D5CDD505-2E9C-101B-9397-08002B2CF9AE}" pid="17" name="Objective-Owner">
    <vt:lpwstr>Adam Duffy</vt:lpwstr>
  </property>
  <property fmtid="{D5CDD505-2E9C-101B-9397-08002B2CF9AE}" pid="18" name="Objective-Path">
    <vt:lpwstr>Whole of ACT Government:ACTHD - ACT Health:GROUP: Office of the Director General (ODG):OFFICE: Office of the Director General (ODG):UNIT: Ministerial and Government Services:03. Government Business (General and Weekly Briefs):ACTHD - Government Business 2025 - MAGS:With MO for Approval:GBC2025/0000234 - Initiated Brief - Executive approval of the Medicines, Poisons and Therapeutic Goods Amendment Regulation 2025 (No ) (Amendment Regulation) - Medicines authorisation mechanism - Minister for Health</vt:lpwstr>
  </property>
  <property fmtid="{D5CDD505-2E9C-101B-9397-08002B2CF9AE}" pid="19" name="Objective-Parent">
    <vt:lpwstr>GBC2025/0000234 - Initiated Brief - Executive approval of the Medicines, Poisons and Therapeutic Goods Amendment Regulation 2025 (No ) (Amendment Regulation) - Medicines authorisation mechanism - Minister for Health</vt:lpwstr>
  </property>
  <property fmtid="{D5CDD505-2E9C-101B-9397-08002B2CF9AE}" pid="20" name="Objective-State">
    <vt:lpwstr>Published</vt:lpwstr>
  </property>
  <property fmtid="{D5CDD505-2E9C-101B-9397-08002B2CF9AE}" pid="21" name="Objective-VersionId">
    <vt:lpwstr>vA65433676</vt:lpwstr>
  </property>
  <property fmtid="{D5CDD505-2E9C-101B-9397-08002B2CF9AE}" pid="22" name="Objective-Version">
    <vt:lpwstr>1.0</vt:lpwstr>
  </property>
  <property fmtid="{D5CDD505-2E9C-101B-9397-08002B2CF9AE}" pid="23" name="Objective-VersionNumber">
    <vt:r8>2</vt:r8>
  </property>
  <property fmtid="{D5CDD505-2E9C-101B-9397-08002B2CF9AE}" pid="24" name="Objective-VersionComment">
    <vt:lpwstr>HPS EBM Clearance for CHO Approval.</vt:lpwstr>
  </property>
  <property fmtid="{D5CDD505-2E9C-101B-9397-08002B2CF9AE}" pid="25" name="Objective-FileNumber">
    <vt:lpwstr>1-2025/0005610</vt:lpwstr>
  </property>
  <property fmtid="{D5CDD505-2E9C-101B-9397-08002B2CF9AE}" pid="26" name="Objective-Classification">
    <vt:lpwstr>Unclassified (beige file cover)</vt:lpwstr>
  </property>
  <property fmtid="{D5CDD505-2E9C-101B-9397-08002B2CF9AE}" pid="27" name="Objective-Caveats">
    <vt:lpwstr/>
  </property>
  <property fmtid="{D5CDD505-2E9C-101B-9397-08002B2CF9AE}" pid="28" name="Objective-Owner Agency">
    <vt:lpwstr>ACTHD - ACT Health Directorate</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OM Author">
    <vt:lpwstr/>
  </property>
  <property fmtid="{D5CDD505-2E9C-101B-9397-08002B2CF9AE}" pid="41" name="Objective-OM Author Organisation">
    <vt:lpwstr/>
  </property>
  <property fmtid="{D5CDD505-2E9C-101B-9397-08002B2CF9AE}" pid="42" name="Objective-OM Author Type">
    <vt:lpwstr/>
  </property>
  <property fmtid="{D5CDD505-2E9C-101B-9397-08002B2CF9AE}" pid="43" name="Objective-OM Date Received">
    <vt:lpwstr/>
  </property>
  <property fmtid="{D5CDD505-2E9C-101B-9397-08002B2CF9AE}" pid="44" name="Objective-OM Date of Document">
    <vt:lpwstr/>
  </property>
  <property fmtid="{D5CDD505-2E9C-101B-9397-08002B2CF9AE}" pid="45" name="Objective-OM External Reference">
    <vt:lpwstr/>
  </property>
  <property fmtid="{D5CDD505-2E9C-101B-9397-08002B2CF9AE}" pid="46" name="Objective-OM Reference">
    <vt:lpwstr/>
  </property>
  <property fmtid="{D5CDD505-2E9C-101B-9397-08002B2CF9AE}" pid="47" name="Objective-OM Topic">
    <vt:lpwstr/>
  </property>
  <property fmtid="{D5CDD505-2E9C-101B-9397-08002B2CF9AE}" pid="48" name="Objective-Suburb">
    <vt:lpwstr/>
  </property>
  <property fmtid="{D5CDD505-2E9C-101B-9397-08002B2CF9AE}" pid="49" name="ContentTypeId">
    <vt:lpwstr>0x010100B13937BA513E924EBAC346C11769DC65</vt:lpwstr>
  </property>
  <property fmtid="{D5CDD505-2E9C-101B-9397-08002B2CF9AE}" pid="50" name="MediaServiceImageTags">
    <vt:lpwstr/>
  </property>
  <property fmtid="{D5CDD505-2E9C-101B-9397-08002B2CF9AE}" pid="51" name="CHECKEDOUTFROMJMS">
    <vt:lpwstr/>
  </property>
  <property fmtid="{D5CDD505-2E9C-101B-9397-08002B2CF9AE}" pid="52" name="DMSID">
    <vt:lpwstr>14275945</vt:lpwstr>
  </property>
  <property fmtid="{D5CDD505-2E9C-101B-9397-08002B2CF9AE}" pid="53" name="JMSREQUIREDCHECKIN">
    <vt:lpwstr/>
  </property>
</Properties>
</file>