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E48FE" w14:textId="77777777" w:rsidR="008311EA" w:rsidRPr="00BF6113" w:rsidRDefault="008311EA" w:rsidP="00BF6113">
      <w:pPr>
        <w:spacing w:before="120"/>
        <w:rPr>
          <w:rFonts w:ascii="Arial" w:hAnsi="Arial"/>
          <w:color w:val="auto"/>
          <w:szCs w:val="20"/>
        </w:rPr>
      </w:pPr>
      <w:r w:rsidRPr="00BF6113">
        <w:rPr>
          <w:rFonts w:ascii="Arial" w:hAnsi="Arial"/>
          <w:color w:val="auto"/>
          <w:szCs w:val="20"/>
        </w:rPr>
        <w:t>Australian Capital Territory</w:t>
      </w:r>
    </w:p>
    <w:p w14:paraId="4612F51D" w14:textId="3A24B2B1" w:rsidR="008311EA" w:rsidRPr="00567994" w:rsidRDefault="008311EA" w:rsidP="009E5A57">
      <w:pPr>
        <w:pStyle w:val="Billname"/>
        <w:spacing w:before="700"/>
      </w:pPr>
      <w:r>
        <w:t>Public Unleased Land (Fees) Determination 20</w:t>
      </w:r>
      <w:r w:rsidR="004520C0">
        <w:t>2</w:t>
      </w:r>
      <w:r w:rsidR="00754011">
        <w:t>5</w:t>
      </w:r>
      <w:r w:rsidR="00EF6041">
        <w:t xml:space="preserve"> (No 1)</w:t>
      </w:r>
    </w:p>
    <w:p w14:paraId="60524641" w14:textId="74E88A36" w:rsidR="008311EA" w:rsidRPr="007E699C" w:rsidRDefault="009721F4" w:rsidP="009E5A57">
      <w:pPr>
        <w:spacing w:before="340"/>
        <w:rPr>
          <w:rFonts w:ascii="Arial" w:hAnsi="Arial"/>
          <w:b/>
          <w:bCs/>
          <w:color w:val="000000" w:themeColor="text1"/>
          <w:szCs w:val="20"/>
        </w:rPr>
      </w:pPr>
      <w:r w:rsidRPr="009E5A57">
        <w:rPr>
          <w:rFonts w:ascii="Arial" w:hAnsi="Arial"/>
          <w:b/>
          <w:bCs/>
          <w:color w:val="auto"/>
          <w:szCs w:val="20"/>
        </w:rPr>
        <w:t xml:space="preserve">Disallowable Instrument </w:t>
      </w:r>
      <w:r w:rsidRPr="007E699C">
        <w:rPr>
          <w:rFonts w:ascii="Arial" w:hAnsi="Arial"/>
          <w:b/>
          <w:bCs/>
          <w:color w:val="000000" w:themeColor="text1"/>
          <w:szCs w:val="20"/>
        </w:rPr>
        <w:t>DI20</w:t>
      </w:r>
      <w:r w:rsidR="004B3FF7" w:rsidRPr="007E699C">
        <w:rPr>
          <w:rFonts w:ascii="Arial" w:hAnsi="Arial"/>
          <w:b/>
          <w:bCs/>
          <w:color w:val="000000" w:themeColor="text1"/>
          <w:szCs w:val="20"/>
        </w:rPr>
        <w:t>2</w:t>
      </w:r>
      <w:r w:rsidR="00754011">
        <w:rPr>
          <w:rFonts w:ascii="Arial" w:hAnsi="Arial"/>
          <w:b/>
          <w:bCs/>
          <w:color w:val="000000" w:themeColor="text1"/>
          <w:szCs w:val="20"/>
        </w:rPr>
        <w:t>5</w:t>
      </w:r>
      <w:r w:rsidR="00274FA7" w:rsidRPr="007E699C">
        <w:rPr>
          <w:rFonts w:ascii="Arial" w:hAnsi="Arial"/>
          <w:b/>
          <w:bCs/>
          <w:color w:val="000000" w:themeColor="text1"/>
          <w:szCs w:val="20"/>
        </w:rPr>
        <w:t>-</w:t>
      </w:r>
      <w:r w:rsidR="004708AD">
        <w:rPr>
          <w:rFonts w:ascii="Arial" w:hAnsi="Arial"/>
          <w:b/>
          <w:bCs/>
          <w:color w:val="000000" w:themeColor="text1"/>
          <w:szCs w:val="20"/>
        </w:rPr>
        <w:t>99</w:t>
      </w:r>
    </w:p>
    <w:p w14:paraId="4F5E1AF5" w14:textId="77777777" w:rsidR="008311EA" w:rsidRPr="00567994" w:rsidRDefault="008311EA" w:rsidP="009E5A57">
      <w:pPr>
        <w:pStyle w:val="madeunder"/>
        <w:spacing w:before="300" w:after="0"/>
      </w:pPr>
      <w:r w:rsidRPr="00567994">
        <w:t>made under the</w:t>
      </w:r>
    </w:p>
    <w:p w14:paraId="683CFFB2" w14:textId="77777777" w:rsidR="008311EA" w:rsidRPr="009E5A57" w:rsidRDefault="008311EA" w:rsidP="009E5A57">
      <w:pPr>
        <w:pStyle w:val="CoverActName"/>
        <w:spacing w:before="320" w:after="0"/>
        <w:rPr>
          <w:rFonts w:cs="Arial"/>
          <w:sz w:val="20"/>
        </w:rPr>
      </w:pPr>
      <w:r w:rsidRPr="009E5A57">
        <w:rPr>
          <w:rFonts w:cs="Arial"/>
          <w:sz w:val="20"/>
        </w:rPr>
        <w:t>Public Unleased Land Act 2013, section 130 (Determination of fees)</w:t>
      </w:r>
    </w:p>
    <w:p w14:paraId="072A2F93" w14:textId="77777777" w:rsidR="008F671C" w:rsidRDefault="008311EA" w:rsidP="00BF6113">
      <w:pPr>
        <w:spacing w:before="360"/>
        <w:ind w:right="565"/>
        <w:rPr>
          <w:rFonts w:ascii="Arial" w:hAnsi="Arial"/>
          <w:b/>
          <w:bCs/>
          <w:color w:val="auto"/>
          <w:sz w:val="28"/>
          <w:szCs w:val="28"/>
        </w:rPr>
      </w:pPr>
      <w:r w:rsidRPr="009E5A57">
        <w:rPr>
          <w:rFonts w:ascii="Arial" w:hAnsi="Arial"/>
          <w:b/>
          <w:bCs/>
          <w:color w:val="auto"/>
          <w:sz w:val="28"/>
          <w:szCs w:val="28"/>
        </w:rPr>
        <w:t>EXPLANATORY STATEMENT</w:t>
      </w:r>
    </w:p>
    <w:p w14:paraId="786FE10E" w14:textId="77777777" w:rsidR="008311EA" w:rsidRPr="00567994" w:rsidRDefault="008311EA" w:rsidP="008311EA">
      <w:pPr>
        <w:pStyle w:val="N-line3"/>
        <w:pBdr>
          <w:top w:val="single" w:sz="12" w:space="1" w:color="auto"/>
          <w:bottom w:val="none" w:sz="0" w:space="0" w:color="auto"/>
        </w:pBdr>
      </w:pPr>
    </w:p>
    <w:p w14:paraId="1E3F0ECC" w14:textId="49C2F2BA" w:rsidR="00EF6041" w:rsidRPr="00EF6041" w:rsidRDefault="008311EA" w:rsidP="00EF6041">
      <w:pPr>
        <w:pStyle w:val="LongTitle"/>
        <w:spacing w:before="0" w:after="0"/>
        <w:jc w:val="left"/>
        <w:rPr>
          <w:color w:val="000000"/>
        </w:rPr>
      </w:pPr>
      <w:r w:rsidRPr="008311EA">
        <w:rPr>
          <w:color w:val="000000"/>
        </w:rPr>
        <w:t xml:space="preserve">Section 130 of the </w:t>
      </w:r>
      <w:r w:rsidRPr="00D02E57">
        <w:rPr>
          <w:i/>
          <w:iCs/>
          <w:color w:val="000000"/>
        </w:rPr>
        <w:t>Public Unleased Land Act 2013</w:t>
      </w:r>
      <w:r w:rsidRPr="008311EA">
        <w:rPr>
          <w:color w:val="000000"/>
        </w:rPr>
        <w:t xml:space="preserve"> </w:t>
      </w:r>
      <w:r w:rsidR="00FD4896">
        <w:rPr>
          <w:color w:val="000000"/>
        </w:rPr>
        <w:t xml:space="preserve">(Act) </w:t>
      </w:r>
      <w:r w:rsidR="009E5A57">
        <w:rPr>
          <w:color w:val="000000"/>
        </w:rPr>
        <w:t xml:space="preserve">provides that </w:t>
      </w:r>
      <w:r w:rsidRPr="008311EA">
        <w:rPr>
          <w:color w:val="000000"/>
        </w:rPr>
        <w:t xml:space="preserve">the Minister </w:t>
      </w:r>
      <w:r w:rsidR="009E5A57">
        <w:rPr>
          <w:color w:val="000000"/>
        </w:rPr>
        <w:t>may</w:t>
      </w:r>
      <w:r w:rsidR="009E5A57" w:rsidRPr="008311EA">
        <w:rPr>
          <w:color w:val="000000"/>
        </w:rPr>
        <w:t xml:space="preserve"> determine</w:t>
      </w:r>
      <w:r w:rsidRPr="008311EA">
        <w:rPr>
          <w:color w:val="000000"/>
        </w:rPr>
        <w:t xml:space="preserve"> fees for </w:t>
      </w:r>
      <w:r w:rsidR="00A2631E">
        <w:rPr>
          <w:color w:val="000000"/>
        </w:rPr>
        <w:t xml:space="preserve">the </w:t>
      </w:r>
      <w:r w:rsidRPr="008311EA">
        <w:rPr>
          <w:color w:val="000000"/>
        </w:rPr>
        <w:t xml:space="preserve">Act. </w:t>
      </w:r>
      <w:r w:rsidR="00EF6041" w:rsidRPr="00EF6041">
        <w:rPr>
          <w:color w:val="000000"/>
        </w:rPr>
        <w:t>This instrument commences on 1 July 202</w:t>
      </w:r>
      <w:r w:rsidR="00754011">
        <w:rPr>
          <w:color w:val="000000"/>
        </w:rPr>
        <w:t>5</w:t>
      </w:r>
      <w:r w:rsidR="00EF6041" w:rsidRPr="00EF6041">
        <w:rPr>
          <w:color w:val="000000"/>
        </w:rPr>
        <w:t>.</w:t>
      </w:r>
    </w:p>
    <w:p w14:paraId="36E533B2" w14:textId="682E6B14" w:rsidR="008311EA" w:rsidRPr="008311EA" w:rsidRDefault="008311EA" w:rsidP="008311EA">
      <w:pPr>
        <w:pStyle w:val="LongTitle"/>
        <w:spacing w:before="0" w:after="0"/>
        <w:jc w:val="left"/>
        <w:rPr>
          <w:color w:val="000000"/>
        </w:rPr>
      </w:pPr>
    </w:p>
    <w:p w14:paraId="2142C271" w14:textId="05BF6964" w:rsidR="006568D0" w:rsidRPr="00E439CA" w:rsidRDefault="00CD7275" w:rsidP="003700E6">
      <w:pPr>
        <w:pStyle w:val="LongTitle"/>
        <w:spacing w:before="0" w:after="0"/>
        <w:jc w:val="left"/>
        <w:rPr>
          <w:b/>
          <w:i/>
          <w:color w:val="000000"/>
        </w:rPr>
      </w:pPr>
      <w:r>
        <w:rPr>
          <w:b/>
          <w:i/>
          <w:color w:val="000000"/>
        </w:rPr>
        <w:t>Amendments</w:t>
      </w:r>
    </w:p>
    <w:p w14:paraId="3578C44F" w14:textId="77777777" w:rsidR="006568D0" w:rsidRPr="00E439CA" w:rsidRDefault="006568D0" w:rsidP="003700E6">
      <w:pPr>
        <w:pStyle w:val="LongTitle"/>
        <w:spacing w:before="0" w:after="0"/>
        <w:jc w:val="left"/>
        <w:rPr>
          <w:b/>
          <w:i/>
          <w:color w:val="000000"/>
        </w:rPr>
      </w:pPr>
    </w:p>
    <w:p w14:paraId="07E686CC" w14:textId="05A4B17F" w:rsidR="00607014" w:rsidRPr="00E439CA" w:rsidRDefault="00251F34" w:rsidP="003700E6">
      <w:pPr>
        <w:pStyle w:val="LongTitle"/>
        <w:spacing w:before="0" w:after="0"/>
        <w:jc w:val="left"/>
        <w:rPr>
          <w:bCs/>
          <w:iCs/>
          <w:color w:val="000000"/>
        </w:rPr>
      </w:pPr>
      <w:r w:rsidRPr="00E439CA">
        <w:rPr>
          <w:bCs/>
          <w:iCs/>
          <w:color w:val="000000"/>
        </w:rPr>
        <w:t>Th</w:t>
      </w:r>
      <w:r w:rsidR="00CD7275">
        <w:rPr>
          <w:bCs/>
          <w:iCs/>
          <w:color w:val="000000"/>
        </w:rPr>
        <w:t>is</w:t>
      </w:r>
      <w:r w:rsidRPr="00E439CA">
        <w:rPr>
          <w:bCs/>
          <w:iCs/>
          <w:color w:val="000000"/>
        </w:rPr>
        <w:t xml:space="preserve"> determination </w:t>
      </w:r>
      <w:r w:rsidR="009042F9">
        <w:rPr>
          <w:bCs/>
          <w:iCs/>
          <w:color w:val="000000"/>
        </w:rPr>
        <w:t xml:space="preserve">replaces </w:t>
      </w:r>
      <w:r w:rsidR="00671A51">
        <w:rPr>
          <w:bCs/>
          <w:iCs/>
          <w:color w:val="000000"/>
        </w:rPr>
        <w:t xml:space="preserve">fees </w:t>
      </w:r>
      <w:r w:rsidR="009042F9">
        <w:rPr>
          <w:bCs/>
          <w:iCs/>
          <w:color w:val="000000"/>
        </w:rPr>
        <w:t xml:space="preserve">based on </w:t>
      </w:r>
      <w:r w:rsidRPr="00E439CA">
        <w:rPr>
          <w:bCs/>
          <w:iCs/>
          <w:color w:val="000000"/>
        </w:rPr>
        <w:t>primary, secondary and tertiary area</w:t>
      </w:r>
      <w:r w:rsidR="009042F9">
        <w:rPr>
          <w:bCs/>
          <w:iCs/>
          <w:color w:val="000000"/>
        </w:rPr>
        <w:t xml:space="preserve">s and also </w:t>
      </w:r>
      <w:r w:rsidRPr="00E439CA">
        <w:rPr>
          <w:bCs/>
          <w:iCs/>
          <w:color w:val="000000"/>
        </w:rPr>
        <w:t xml:space="preserve">fees </w:t>
      </w:r>
      <w:r w:rsidR="009042F9">
        <w:rPr>
          <w:bCs/>
          <w:iCs/>
          <w:color w:val="000000"/>
        </w:rPr>
        <w:t xml:space="preserve">based on city, town, group and local centres </w:t>
      </w:r>
      <w:r w:rsidRPr="00E439CA">
        <w:rPr>
          <w:bCs/>
          <w:iCs/>
          <w:color w:val="000000"/>
        </w:rPr>
        <w:t>with Tier 1, Tier 2 and Tier 3 fees in line with the</w:t>
      </w:r>
      <w:r w:rsidR="00CD7275">
        <w:rPr>
          <w:bCs/>
          <w:iCs/>
          <w:color w:val="000000"/>
        </w:rPr>
        <w:t xml:space="preserve"> new Planning System, specifically the</w:t>
      </w:r>
      <w:r w:rsidRPr="00E439CA">
        <w:rPr>
          <w:bCs/>
          <w:iCs/>
          <w:color w:val="000000"/>
        </w:rPr>
        <w:t xml:space="preserve"> </w:t>
      </w:r>
      <w:hyperlink r:id="rId10" w:history="1">
        <w:r w:rsidR="00671A51" w:rsidRPr="00E439CA">
          <w:rPr>
            <w:rStyle w:val="Hyperlink"/>
            <w:bCs/>
            <w:i/>
          </w:rPr>
          <w:t>Territory Plan 2023</w:t>
        </w:r>
      </w:hyperlink>
      <w:r w:rsidR="00671A51" w:rsidRPr="00E439CA">
        <w:rPr>
          <w:bCs/>
          <w:iCs/>
          <w:color w:val="000000"/>
        </w:rPr>
        <w:t>.</w:t>
      </w:r>
      <w:r w:rsidRPr="00E439CA">
        <w:rPr>
          <w:bCs/>
          <w:iCs/>
          <w:color w:val="000000"/>
        </w:rPr>
        <w:t xml:space="preserve"> The new fees have been</w:t>
      </w:r>
      <w:r w:rsidR="00BA73F8" w:rsidRPr="00E439CA">
        <w:rPr>
          <w:bCs/>
          <w:iCs/>
          <w:color w:val="000000"/>
        </w:rPr>
        <w:t xml:space="preserve"> established t</w:t>
      </w:r>
      <w:r w:rsidR="00607014" w:rsidRPr="00E439CA">
        <w:rPr>
          <w:bCs/>
          <w:iCs/>
          <w:color w:val="000000"/>
        </w:rPr>
        <w:t xml:space="preserve">o </w:t>
      </w:r>
      <w:r w:rsidR="00956C81" w:rsidRPr="00E439CA">
        <w:rPr>
          <w:bCs/>
          <w:iCs/>
          <w:color w:val="000000"/>
        </w:rPr>
        <w:t>adjust the per m</w:t>
      </w:r>
      <w:r w:rsidR="00956C81" w:rsidRPr="00E439CA">
        <w:rPr>
          <w:bCs/>
          <w:iCs/>
          <w:color w:val="000000"/>
          <w:vertAlign w:val="superscript"/>
        </w:rPr>
        <w:t>2</w:t>
      </w:r>
      <w:r w:rsidR="00956C81" w:rsidRPr="00E439CA">
        <w:rPr>
          <w:bCs/>
          <w:iCs/>
          <w:color w:val="000000"/>
        </w:rPr>
        <w:t xml:space="preserve"> per day fees to improved commercial fairness and equity across the Territory and </w:t>
      </w:r>
      <w:r w:rsidR="00607014" w:rsidRPr="00E439CA">
        <w:rPr>
          <w:bCs/>
          <w:iCs/>
          <w:color w:val="000000"/>
        </w:rPr>
        <w:t xml:space="preserve">define zones more clearly by aligning with the </w:t>
      </w:r>
      <w:hyperlink r:id="rId11" w:history="1">
        <w:r w:rsidR="00607014" w:rsidRPr="00E439CA">
          <w:rPr>
            <w:rStyle w:val="Hyperlink"/>
            <w:bCs/>
            <w:i/>
          </w:rPr>
          <w:t>Territory Plan 2023</w:t>
        </w:r>
      </w:hyperlink>
      <w:r w:rsidR="00956C81" w:rsidRPr="00E439CA">
        <w:rPr>
          <w:bCs/>
          <w:iCs/>
          <w:color w:val="000000"/>
        </w:rPr>
        <w:t>.</w:t>
      </w:r>
      <w:r w:rsidR="00671A51">
        <w:rPr>
          <w:bCs/>
          <w:iCs/>
          <w:color w:val="000000"/>
        </w:rPr>
        <w:br/>
      </w:r>
      <w:r w:rsidR="00671A51">
        <w:rPr>
          <w:bCs/>
          <w:iCs/>
          <w:color w:val="000000"/>
        </w:rPr>
        <w:br/>
      </w:r>
      <w:r w:rsidR="00671A51" w:rsidRPr="00A909C9">
        <w:rPr>
          <w:bCs/>
          <w:iCs/>
          <w:color w:val="000000"/>
        </w:rPr>
        <w:t>The existing primary, secondary and tertiary area</w:t>
      </w:r>
      <w:r w:rsidR="006A0D9B" w:rsidRPr="00A909C9">
        <w:rPr>
          <w:bCs/>
          <w:iCs/>
          <w:color w:val="000000"/>
        </w:rPr>
        <w:t>s</w:t>
      </w:r>
      <w:r w:rsidR="00671A51" w:rsidRPr="00A909C9">
        <w:rPr>
          <w:bCs/>
          <w:iCs/>
          <w:color w:val="000000"/>
        </w:rPr>
        <w:t xml:space="preserve"> </w:t>
      </w:r>
      <w:r w:rsidR="009042F9" w:rsidRPr="00A909C9">
        <w:rPr>
          <w:bCs/>
          <w:iCs/>
          <w:color w:val="000000"/>
        </w:rPr>
        <w:t xml:space="preserve">will however </w:t>
      </w:r>
      <w:r w:rsidR="00671A51" w:rsidRPr="00A909C9">
        <w:rPr>
          <w:bCs/>
          <w:iCs/>
          <w:color w:val="000000"/>
        </w:rPr>
        <w:t>remain in place for Outdoor Dining.</w:t>
      </w:r>
    </w:p>
    <w:p w14:paraId="45628F07" w14:textId="77777777" w:rsidR="00607014" w:rsidRPr="00E439CA" w:rsidRDefault="00607014" w:rsidP="003700E6">
      <w:pPr>
        <w:pStyle w:val="LongTitle"/>
        <w:spacing w:before="0" w:after="0"/>
        <w:jc w:val="left"/>
        <w:rPr>
          <w:bCs/>
          <w:iCs/>
          <w:color w:val="000000"/>
        </w:rPr>
      </w:pPr>
    </w:p>
    <w:p w14:paraId="1D02B668" w14:textId="6CE9A7DB" w:rsidR="00CD7275" w:rsidRPr="00CD7275" w:rsidRDefault="00CD7275" w:rsidP="003700E6">
      <w:pPr>
        <w:pStyle w:val="LongTitle"/>
        <w:spacing w:before="0" w:after="0"/>
        <w:jc w:val="left"/>
        <w:rPr>
          <w:b/>
          <w:i/>
          <w:color w:val="000000"/>
        </w:rPr>
      </w:pPr>
      <w:r w:rsidRPr="00CD7275">
        <w:rPr>
          <w:b/>
          <w:i/>
          <w:color w:val="000000"/>
        </w:rPr>
        <w:t>New Fees</w:t>
      </w:r>
    </w:p>
    <w:p w14:paraId="3BC2DD58" w14:textId="77777777" w:rsidR="00CD7275" w:rsidRDefault="00CD7275" w:rsidP="003700E6">
      <w:pPr>
        <w:pStyle w:val="LongTitle"/>
        <w:spacing w:before="0" w:after="0"/>
        <w:jc w:val="left"/>
        <w:rPr>
          <w:bCs/>
          <w:iCs/>
          <w:color w:val="000000"/>
        </w:rPr>
      </w:pPr>
    </w:p>
    <w:p w14:paraId="57B778BF" w14:textId="2AD9D963" w:rsidR="00607014" w:rsidRPr="00E439CA" w:rsidRDefault="00CD7275" w:rsidP="003700E6">
      <w:pPr>
        <w:pStyle w:val="LongTitle"/>
        <w:spacing w:before="0" w:after="0"/>
        <w:jc w:val="left"/>
        <w:rPr>
          <w:bCs/>
          <w:iCs/>
          <w:color w:val="000000"/>
        </w:rPr>
      </w:pPr>
      <w:r>
        <w:rPr>
          <w:bCs/>
          <w:iCs/>
          <w:color w:val="000000"/>
        </w:rPr>
        <w:t xml:space="preserve">The determination introduces new fees for applications for, amendments, transfers and renewals of public unleased land permits. These fees are set in accordance with Government policy and recover the administrative costs to Government associated with these applications. </w:t>
      </w:r>
      <w:r w:rsidRPr="006732A7">
        <w:rPr>
          <w:bCs/>
          <w:iCs/>
          <w:color w:val="000000"/>
        </w:rPr>
        <w:t>There is significant administrative work required to process commercial land use applications, and to amend applications or permits requested by applicants. Under the current arrangement, fees charged do not incorporate the cost to undertake this administration.</w:t>
      </w:r>
    </w:p>
    <w:p w14:paraId="7B5A3465" w14:textId="77777777" w:rsidR="00607014" w:rsidRPr="00956C81" w:rsidRDefault="00607014" w:rsidP="003700E6">
      <w:pPr>
        <w:pStyle w:val="LongTitle"/>
        <w:spacing w:before="0" w:after="0"/>
        <w:jc w:val="left"/>
        <w:rPr>
          <w:bCs/>
          <w:iCs/>
          <w:color w:val="000000"/>
          <w:highlight w:val="yellow"/>
        </w:rPr>
      </w:pPr>
    </w:p>
    <w:p w14:paraId="2C21B7EE" w14:textId="2D667701" w:rsidR="00CD7275" w:rsidRDefault="00CD7275" w:rsidP="00CD7275">
      <w:pPr>
        <w:pStyle w:val="LongTitle"/>
        <w:spacing w:before="0" w:after="0"/>
        <w:jc w:val="left"/>
        <w:rPr>
          <w:bCs/>
          <w:iCs/>
          <w:color w:val="000000"/>
        </w:rPr>
      </w:pPr>
      <w:r>
        <w:rPr>
          <w:bCs/>
          <w:iCs/>
          <w:color w:val="000000"/>
        </w:rPr>
        <w:t>The determination also introduces new fees relating to the use of public unleased land during the term of a public unleased land permit. This is separate to the application fees. These fees reflect changes in the urban environment in the Territory and the development and growth of town centres outside the city. The current arrangements result in substantive differences that create commercial inequity. They also provide no incentive or deterrence for contractors, builders or developers to minimise their use of public roads, paths or other government infrastructure when undertaking development work. This adversely impacts the public and their access and use of public spaces.</w:t>
      </w:r>
    </w:p>
    <w:p w14:paraId="0B3AC5A6" w14:textId="77777777" w:rsidR="00CD7275" w:rsidRPr="006732A7" w:rsidRDefault="00CD7275" w:rsidP="00CD7275">
      <w:pPr>
        <w:pStyle w:val="LongTitle"/>
        <w:rPr>
          <w:bCs/>
          <w:iCs/>
        </w:rPr>
      </w:pPr>
      <w:r w:rsidRPr="006732A7">
        <w:rPr>
          <w:bCs/>
          <w:iCs/>
        </w:rPr>
        <w:lastRenderedPageBreak/>
        <w:t>Th</w:t>
      </w:r>
      <w:r>
        <w:rPr>
          <w:bCs/>
          <w:iCs/>
        </w:rPr>
        <w:t xml:space="preserve">ese </w:t>
      </w:r>
      <w:r w:rsidRPr="006732A7">
        <w:rPr>
          <w:bCs/>
          <w:iCs/>
        </w:rPr>
        <w:t xml:space="preserve">rates are conservative when compared to other Australian cities. For example, Brisbane City council also uses a land zoning system to attribute fees. For the use of public land for construction related activities Brisbane City Council charges: </w:t>
      </w:r>
    </w:p>
    <w:p w14:paraId="68BD21A2" w14:textId="77777777" w:rsidR="00CD7275" w:rsidRPr="006732A7" w:rsidRDefault="00CD7275" w:rsidP="00CD7275">
      <w:pPr>
        <w:pStyle w:val="LongTitle"/>
        <w:numPr>
          <w:ilvl w:val="0"/>
          <w:numId w:val="14"/>
        </w:numPr>
        <w:spacing w:after="0"/>
        <w:rPr>
          <w:bCs/>
          <w:iCs/>
        </w:rPr>
      </w:pPr>
      <w:r w:rsidRPr="006732A7">
        <w:rPr>
          <w:bCs/>
          <w:iCs/>
        </w:rPr>
        <w:t>Zone A - $1.50 per m2 per day,</w:t>
      </w:r>
    </w:p>
    <w:p w14:paraId="3AC023C3" w14:textId="77777777" w:rsidR="00CD7275" w:rsidRPr="006732A7" w:rsidRDefault="00CD7275" w:rsidP="00CD7275">
      <w:pPr>
        <w:pStyle w:val="LongTitle"/>
        <w:numPr>
          <w:ilvl w:val="0"/>
          <w:numId w:val="14"/>
        </w:numPr>
        <w:spacing w:after="0"/>
        <w:rPr>
          <w:bCs/>
          <w:iCs/>
        </w:rPr>
      </w:pPr>
      <w:r w:rsidRPr="006732A7">
        <w:rPr>
          <w:bCs/>
          <w:iCs/>
        </w:rPr>
        <w:t>Zone B - $0.71 per m2 per day, and</w:t>
      </w:r>
    </w:p>
    <w:p w14:paraId="7828B67E" w14:textId="77777777" w:rsidR="00CD7275" w:rsidRDefault="00CD7275" w:rsidP="00CD7275">
      <w:pPr>
        <w:pStyle w:val="LongTitle"/>
        <w:numPr>
          <w:ilvl w:val="0"/>
          <w:numId w:val="14"/>
        </w:numPr>
        <w:spacing w:after="0"/>
        <w:rPr>
          <w:bCs/>
          <w:iCs/>
        </w:rPr>
      </w:pPr>
      <w:r w:rsidRPr="006732A7">
        <w:rPr>
          <w:bCs/>
          <w:iCs/>
        </w:rPr>
        <w:t>Zone C – $0.42</w:t>
      </w:r>
    </w:p>
    <w:p w14:paraId="4CEE0AFD" w14:textId="77777777" w:rsidR="00CD7275" w:rsidRDefault="00CD7275" w:rsidP="00CD7275">
      <w:pPr>
        <w:pStyle w:val="LongTitle"/>
        <w:spacing w:after="0"/>
        <w:rPr>
          <w:bCs/>
          <w:iCs/>
        </w:rPr>
      </w:pPr>
      <w:r>
        <w:rPr>
          <w:bCs/>
          <w:iCs/>
        </w:rPr>
        <w:t>The benefits of the new fees are:</w:t>
      </w:r>
    </w:p>
    <w:p w14:paraId="632878A1" w14:textId="77777777" w:rsidR="00CD7275" w:rsidRPr="006732A7" w:rsidRDefault="00CD7275" w:rsidP="00CD7275">
      <w:pPr>
        <w:pStyle w:val="LongTitle"/>
        <w:numPr>
          <w:ilvl w:val="0"/>
          <w:numId w:val="14"/>
        </w:numPr>
        <w:spacing w:after="0"/>
        <w:rPr>
          <w:bCs/>
          <w:iCs/>
        </w:rPr>
      </w:pPr>
      <w:r w:rsidRPr="006732A7">
        <w:rPr>
          <w:bCs/>
          <w:iCs/>
        </w:rPr>
        <w:t xml:space="preserve">Establish clearer, more defined zones, evidenced based against the </w:t>
      </w:r>
      <w:r w:rsidRPr="0039033D">
        <w:rPr>
          <w:bCs/>
          <w:i/>
        </w:rPr>
        <w:t xml:space="preserve">Territory </w:t>
      </w:r>
      <w:r w:rsidRPr="0039033D">
        <w:rPr>
          <w:bCs/>
          <w:i/>
        </w:rPr>
        <w:tab/>
        <w:t>Plan 2023</w:t>
      </w:r>
    </w:p>
    <w:p w14:paraId="22A8A7D5" w14:textId="77777777" w:rsidR="00CD7275" w:rsidRPr="006732A7" w:rsidRDefault="00CD7275" w:rsidP="00CD7275">
      <w:pPr>
        <w:pStyle w:val="LongTitle"/>
        <w:numPr>
          <w:ilvl w:val="0"/>
          <w:numId w:val="14"/>
        </w:numPr>
        <w:spacing w:after="0"/>
        <w:rPr>
          <w:bCs/>
          <w:iCs/>
        </w:rPr>
      </w:pPr>
      <w:r w:rsidRPr="006732A7">
        <w:rPr>
          <w:bCs/>
          <w:iCs/>
        </w:rPr>
        <w:t xml:space="preserve">Create commercial fairness and equity across the </w:t>
      </w:r>
      <w:r>
        <w:rPr>
          <w:bCs/>
          <w:iCs/>
        </w:rPr>
        <w:t>Te</w:t>
      </w:r>
      <w:r w:rsidRPr="006732A7">
        <w:rPr>
          <w:bCs/>
          <w:iCs/>
        </w:rPr>
        <w:t>rritory</w:t>
      </w:r>
    </w:p>
    <w:p w14:paraId="3B3B6D12" w14:textId="77777777" w:rsidR="00CD7275" w:rsidRPr="006732A7" w:rsidRDefault="00CD7275" w:rsidP="00CD7275">
      <w:pPr>
        <w:pStyle w:val="LongTitle"/>
        <w:numPr>
          <w:ilvl w:val="0"/>
          <w:numId w:val="14"/>
        </w:numPr>
        <w:spacing w:after="0"/>
        <w:rPr>
          <w:bCs/>
          <w:iCs/>
        </w:rPr>
      </w:pPr>
      <w:r w:rsidRPr="006732A7">
        <w:rPr>
          <w:bCs/>
          <w:iCs/>
        </w:rPr>
        <w:t>Simplify administration of commercial land use applications and fees</w:t>
      </w:r>
    </w:p>
    <w:p w14:paraId="71D42B72" w14:textId="77777777" w:rsidR="00CD7275" w:rsidRPr="006732A7" w:rsidRDefault="00CD7275" w:rsidP="00CD7275">
      <w:pPr>
        <w:pStyle w:val="LongTitle"/>
        <w:numPr>
          <w:ilvl w:val="0"/>
          <w:numId w:val="14"/>
        </w:numPr>
        <w:spacing w:after="0"/>
        <w:rPr>
          <w:bCs/>
          <w:iCs/>
        </w:rPr>
      </w:pPr>
      <w:r w:rsidRPr="006732A7">
        <w:rPr>
          <w:bCs/>
          <w:iCs/>
        </w:rPr>
        <w:t>Ensure fees applied are appropriate to commercial land use</w:t>
      </w:r>
    </w:p>
    <w:p w14:paraId="3E8B90B2" w14:textId="77777777" w:rsidR="00CD7275" w:rsidRDefault="00CD7275" w:rsidP="00CD7275">
      <w:pPr>
        <w:pStyle w:val="LongTitle"/>
        <w:spacing w:before="0" w:after="0"/>
        <w:jc w:val="left"/>
        <w:rPr>
          <w:bCs/>
          <w:iCs/>
          <w:color w:val="000000"/>
        </w:rPr>
      </w:pPr>
    </w:p>
    <w:p w14:paraId="1F3E6824" w14:textId="192A1C87" w:rsidR="003700E6" w:rsidRDefault="003700E6" w:rsidP="003700E6">
      <w:pPr>
        <w:pStyle w:val="LongTitle"/>
        <w:spacing w:before="0" w:after="0"/>
        <w:jc w:val="left"/>
        <w:rPr>
          <w:b/>
          <w:i/>
          <w:color w:val="000000"/>
        </w:rPr>
      </w:pPr>
      <w:r w:rsidRPr="00640667">
        <w:rPr>
          <w:b/>
          <w:i/>
          <w:color w:val="000000"/>
        </w:rPr>
        <w:t>Indexed Fees</w:t>
      </w:r>
      <w:r w:rsidRPr="00640667">
        <w:rPr>
          <w:b/>
          <w:i/>
          <w:color w:val="000000"/>
        </w:rPr>
        <w:br/>
      </w:r>
    </w:p>
    <w:p w14:paraId="0C0BDED0" w14:textId="6D9F1300" w:rsidR="00D02E57" w:rsidRDefault="00D02E57" w:rsidP="000E6D87">
      <w:pPr>
        <w:pStyle w:val="LongTitle"/>
        <w:spacing w:before="0" w:after="0"/>
        <w:jc w:val="left"/>
        <w:rPr>
          <w:color w:val="000000"/>
        </w:rPr>
      </w:pPr>
      <w:r>
        <w:rPr>
          <w:color w:val="000000"/>
        </w:rPr>
        <w:t xml:space="preserve">Fees related to business as a hawker have been </w:t>
      </w:r>
      <w:r w:rsidR="00A119CA">
        <w:rPr>
          <w:color w:val="000000"/>
        </w:rPr>
        <w:t xml:space="preserve">maintained at </w:t>
      </w:r>
      <w:r>
        <w:rPr>
          <w:color w:val="000000"/>
        </w:rPr>
        <w:t xml:space="preserve">$0 to reflect </w:t>
      </w:r>
      <w:bookmarkStart w:id="0" w:name="_Hlk100043890"/>
      <w:r>
        <w:rPr>
          <w:color w:val="000000"/>
        </w:rPr>
        <w:t>decisions from the 2019-20 Budget Review.</w:t>
      </w:r>
    </w:p>
    <w:bookmarkEnd w:id="0"/>
    <w:p w14:paraId="20581EF0" w14:textId="6FA7AFD5" w:rsidR="00D02E57" w:rsidRDefault="00D02E57" w:rsidP="000E6D87">
      <w:pPr>
        <w:pStyle w:val="LongTitle"/>
        <w:spacing w:before="0" w:after="0"/>
        <w:jc w:val="left"/>
        <w:rPr>
          <w:color w:val="000000"/>
        </w:rPr>
      </w:pPr>
    </w:p>
    <w:p w14:paraId="5A750D15" w14:textId="51BE659D" w:rsidR="004150E4" w:rsidRDefault="004150E4" w:rsidP="00F27A40">
      <w:pPr>
        <w:rPr>
          <w:rFonts w:ascii="Times New Roman" w:hAnsi="Times New Roman" w:cs="Times New Roman"/>
        </w:rPr>
      </w:pPr>
      <w:r w:rsidRPr="00F27A40">
        <w:rPr>
          <w:rFonts w:ascii="Times New Roman" w:hAnsi="Times New Roman" w:cs="Times New Roman"/>
        </w:rPr>
        <w:t xml:space="preserve">This determination increases all </w:t>
      </w:r>
      <w:r w:rsidR="006A0D9B">
        <w:rPr>
          <w:rFonts w:ascii="Times New Roman" w:hAnsi="Times New Roman" w:cs="Times New Roman"/>
        </w:rPr>
        <w:t xml:space="preserve">other </w:t>
      </w:r>
      <w:r>
        <w:rPr>
          <w:rFonts w:ascii="Times New Roman" w:hAnsi="Times New Roman" w:cs="Times New Roman"/>
        </w:rPr>
        <w:t>fees</w:t>
      </w:r>
      <w:r w:rsidRPr="00F27A40">
        <w:rPr>
          <w:rFonts w:ascii="Times New Roman" w:hAnsi="Times New Roman" w:cs="Times New Roman"/>
        </w:rPr>
        <w:t xml:space="preserve"> by a Wage Price index (WPI) of 3.</w:t>
      </w:r>
      <w:r>
        <w:rPr>
          <w:rFonts w:ascii="Times New Roman" w:hAnsi="Times New Roman" w:cs="Times New Roman"/>
        </w:rPr>
        <w:t>60</w:t>
      </w:r>
      <w:r w:rsidRPr="00F27A40">
        <w:rPr>
          <w:rFonts w:ascii="Times New Roman" w:hAnsi="Times New Roman" w:cs="Times New Roman"/>
        </w:rPr>
        <w:t xml:space="preserve">% as per </w:t>
      </w:r>
      <w:bookmarkStart w:id="1" w:name="_Hlk100040741"/>
      <w:r w:rsidRPr="00F27A40">
        <w:rPr>
          <w:rFonts w:ascii="Times New Roman" w:hAnsi="Times New Roman" w:cs="Times New Roman"/>
        </w:rPr>
        <w:t>advice from Treasury</w:t>
      </w:r>
      <w:bookmarkEnd w:id="1"/>
      <w:r w:rsidRPr="00F27A40">
        <w:rPr>
          <w:rFonts w:ascii="Times New Roman" w:hAnsi="Times New Roman" w:cs="Times New Roman"/>
        </w:rPr>
        <w:t xml:space="preserve">, rounded </w:t>
      </w:r>
      <w:r>
        <w:rPr>
          <w:rFonts w:ascii="Times New Roman" w:hAnsi="Times New Roman" w:cs="Times New Roman"/>
        </w:rPr>
        <w:t>where appropriate.</w:t>
      </w:r>
    </w:p>
    <w:p w14:paraId="0CD4A026" w14:textId="77777777" w:rsidR="004150E4" w:rsidRDefault="004150E4" w:rsidP="00F27A40">
      <w:pPr>
        <w:rPr>
          <w:rFonts w:ascii="Times New Roman" w:hAnsi="Times New Roman" w:cs="Times New Roman"/>
        </w:rPr>
      </w:pPr>
    </w:p>
    <w:p w14:paraId="5783CD39" w14:textId="4E93F706" w:rsidR="004150E4" w:rsidRPr="00771EDF" w:rsidRDefault="004150E4" w:rsidP="004150E4">
      <w:pPr>
        <w:pStyle w:val="LongTitle"/>
        <w:spacing w:before="0" w:after="0"/>
        <w:jc w:val="left"/>
        <w:rPr>
          <w:b/>
          <w:i/>
          <w:color w:val="000000"/>
        </w:rPr>
      </w:pPr>
      <w:r w:rsidRPr="00771EDF">
        <w:rPr>
          <w:b/>
          <w:i/>
          <w:color w:val="000000"/>
        </w:rPr>
        <w:t>Exemption of fees</w:t>
      </w:r>
    </w:p>
    <w:p w14:paraId="7664E170" w14:textId="77777777" w:rsidR="004150E4" w:rsidRPr="00771EDF" w:rsidRDefault="004150E4" w:rsidP="004150E4">
      <w:pPr>
        <w:pStyle w:val="LongTitle"/>
        <w:spacing w:before="0" w:after="0"/>
        <w:jc w:val="left"/>
        <w:rPr>
          <w:b/>
          <w:color w:val="000000"/>
        </w:rPr>
      </w:pPr>
    </w:p>
    <w:p w14:paraId="17298ECF" w14:textId="0BB2347B" w:rsidR="004150E4" w:rsidRPr="00432959" w:rsidRDefault="004150E4" w:rsidP="004150E4">
      <w:pPr>
        <w:pStyle w:val="LongTitle"/>
        <w:spacing w:before="0" w:after="0"/>
        <w:jc w:val="left"/>
        <w:rPr>
          <w:color w:val="000000"/>
        </w:rPr>
      </w:pPr>
      <w:r w:rsidRPr="00771EDF">
        <w:rPr>
          <w:color w:val="000000"/>
        </w:rPr>
        <w:t xml:space="preserve">Paragraph 6 of the determination exempts </w:t>
      </w:r>
      <w:r w:rsidR="00771EDF" w:rsidRPr="00771EDF">
        <w:rPr>
          <w:color w:val="000000"/>
        </w:rPr>
        <w:t xml:space="preserve">a </w:t>
      </w:r>
      <w:r w:rsidRPr="00771EDF">
        <w:rPr>
          <w:color w:val="000000"/>
        </w:rPr>
        <w:t>Registered Australian Charit</w:t>
      </w:r>
      <w:r w:rsidR="00771EDF" w:rsidRPr="00771EDF">
        <w:rPr>
          <w:color w:val="000000"/>
        </w:rPr>
        <w:t xml:space="preserve">y and a Utility Service </w:t>
      </w:r>
      <w:r w:rsidRPr="00771EDF">
        <w:rPr>
          <w:color w:val="000000"/>
        </w:rPr>
        <w:t>from various fees referred to in schedule 1.</w:t>
      </w:r>
      <w:r w:rsidRPr="00432959">
        <w:rPr>
          <w:color w:val="000000"/>
        </w:rPr>
        <w:t xml:space="preserve"> </w:t>
      </w:r>
    </w:p>
    <w:p w14:paraId="30585E43" w14:textId="77777777" w:rsidR="004150E4" w:rsidRDefault="004150E4" w:rsidP="004150E4">
      <w:pPr>
        <w:pStyle w:val="LongTitle"/>
        <w:spacing w:before="0" w:after="0"/>
        <w:jc w:val="left"/>
        <w:rPr>
          <w:color w:val="000000"/>
        </w:rPr>
      </w:pPr>
    </w:p>
    <w:p w14:paraId="4924F99F" w14:textId="77777777" w:rsidR="004150E4" w:rsidRPr="00CD7275" w:rsidRDefault="004150E4" w:rsidP="004150E4">
      <w:pPr>
        <w:pStyle w:val="LongTitle"/>
        <w:spacing w:before="0" w:after="0"/>
        <w:jc w:val="left"/>
        <w:rPr>
          <w:b/>
          <w:i/>
          <w:color w:val="000000"/>
          <w:highlight w:val="yellow"/>
        </w:rPr>
      </w:pPr>
      <w:r w:rsidRPr="00771EDF">
        <w:rPr>
          <w:b/>
          <w:i/>
          <w:color w:val="000000"/>
        </w:rPr>
        <w:t>Waiver of fees</w:t>
      </w:r>
    </w:p>
    <w:p w14:paraId="28678C80" w14:textId="3E48961D" w:rsidR="00771EDF" w:rsidRDefault="00771EDF" w:rsidP="00771EDF">
      <w:pPr>
        <w:pStyle w:val="NormalWeb"/>
      </w:pPr>
      <w:r>
        <w:t>The determination permits the Director-General City and Environment Directorate, a Deputy Director-General City and Environment Directorate, and the Executive Group Manager City Operations to waive fees in specified circumstances.</w:t>
      </w:r>
    </w:p>
    <w:p w14:paraId="53FAD8C8" w14:textId="0DF29480" w:rsidR="00771EDF" w:rsidRDefault="00771EDF" w:rsidP="00771EDF">
      <w:pPr>
        <w:pStyle w:val="NormalWeb"/>
      </w:pPr>
      <w:r>
        <w:t>Paragraph 7(4) of the determination exempts City and Environment Directorate from fees related to public unleased land for construction or other development work related activities contracted or conducted by, or on behalf of, the Directorate.</w:t>
      </w:r>
    </w:p>
    <w:p w14:paraId="17E65A41" w14:textId="77777777" w:rsidR="006A0D9B" w:rsidRPr="00B84A03" w:rsidRDefault="006A0D9B" w:rsidP="006A0D9B">
      <w:pPr>
        <w:pStyle w:val="LongTitle"/>
        <w:spacing w:before="0" w:after="0"/>
        <w:jc w:val="left"/>
        <w:rPr>
          <w:b/>
          <w:i/>
          <w:color w:val="000000"/>
        </w:rPr>
      </w:pPr>
      <w:r w:rsidRPr="00B84A03">
        <w:rPr>
          <w:b/>
          <w:i/>
          <w:color w:val="000000"/>
        </w:rPr>
        <w:t>Dictionary</w:t>
      </w:r>
    </w:p>
    <w:p w14:paraId="7B211BE5" w14:textId="77777777" w:rsidR="006A0D9B" w:rsidRPr="00664985" w:rsidRDefault="006A0D9B" w:rsidP="006A0D9B">
      <w:pPr>
        <w:pStyle w:val="LongTitle"/>
        <w:spacing w:before="0" w:after="0"/>
        <w:jc w:val="left"/>
        <w:rPr>
          <w:color w:val="000000"/>
        </w:rPr>
      </w:pPr>
    </w:p>
    <w:p w14:paraId="40380771" w14:textId="77777777" w:rsidR="006A0D9B" w:rsidRDefault="006A0D9B" w:rsidP="006A0D9B">
      <w:pPr>
        <w:rPr>
          <w:rFonts w:ascii="Times New Roman" w:hAnsi="Times New Roman" w:cs="Times New Roman"/>
        </w:rPr>
      </w:pPr>
      <w:r>
        <w:rPr>
          <w:rFonts w:ascii="Times New Roman" w:hAnsi="Times New Roman" w:cs="Times New Roman"/>
        </w:rPr>
        <w:t>New terms have been added to the Dictionary where required and terms have been updated to reflect the new Territory Planning system.</w:t>
      </w:r>
    </w:p>
    <w:p w14:paraId="1121774F" w14:textId="77777777" w:rsidR="006A0D9B" w:rsidRDefault="006A0D9B" w:rsidP="003700E6">
      <w:pPr>
        <w:pStyle w:val="LongTitle"/>
        <w:spacing w:before="0" w:after="0"/>
        <w:jc w:val="left"/>
        <w:rPr>
          <w:b/>
          <w:i/>
          <w:color w:val="000000"/>
        </w:rPr>
      </w:pPr>
    </w:p>
    <w:p w14:paraId="481C8A3D" w14:textId="77777777" w:rsidR="00771EDF" w:rsidRDefault="00771EDF" w:rsidP="003700E6">
      <w:pPr>
        <w:pStyle w:val="LongTitle"/>
        <w:spacing w:before="0" w:after="0"/>
        <w:jc w:val="left"/>
        <w:rPr>
          <w:b/>
          <w:i/>
          <w:color w:val="000000"/>
        </w:rPr>
      </w:pPr>
    </w:p>
    <w:p w14:paraId="3F412D9A" w14:textId="16E60383" w:rsidR="003700E6" w:rsidRPr="00640667" w:rsidRDefault="003700E6" w:rsidP="003700E6">
      <w:pPr>
        <w:pStyle w:val="LongTitle"/>
        <w:spacing w:before="0" w:after="0"/>
        <w:jc w:val="left"/>
        <w:rPr>
          <w:b/>
          <w:i/>
          <w:color w:val="000000"/>
        </w:rPr>
      </w:pPr>
      <w:r w:rsidRPr="00640667">
        <w:rPr>
          <w:b/>
          <w:i/>
          <w:color w:val="000000"/>
        </w:rPr>
        <w:t>Revocation</w:t>
      </w:r>
    </w:p>
    <w:p w14:paraId="427F48CF" w14:textId="77777777" w:rsidR="003700E6" w:rsidRPr="00432959" w:rsidRDefault="003700E6" w:rsidP="003700E6">
      <w:pPr>
        <w:rPr>
          <w:rFonts w:ascii="Times New Roman" w:hAnsi="Times New Roman" w:cs="Times New Roman"/>
          <w:color w:val="auto"/>
        </w:rPr>
      </w:pPr>
    </w:p>
    <w:p w14:paraId="14F81B50" w14:textId="19890515" w:rsidR="0083623C" w:rsidRPr="00D02E57" w:rsidRDefault="003700E6" w:rsidP="00BB51FD">
      <w:pPr>
        <w:rPr>
          <w:rFonts w:ascii="Times New Roman" w:hAnsi="Times New Roman" w:cs="Times New Roman"/>
          <w:color w:val="000000" w:themeColor="text1"/>
        </w:rPr>
      </w:pPr>
      <w:r w:rsidRPr="00432959">
        <w:rPr>
          <w:rFonts w:ascii="Times New Roman" w:hAnsi="Times New Roman" w:cs="Times New Roman"/>
        </w:rPr>
        <w:t>This determination revokes the previous fee determination (DI20</w:t>
      </w:r>
      <w:r w:rsidR="002F3DBD">
        <w:rPr>
          <w:rFonts w:ascii="Times New Roman" w:hAnsi="Times New Roman" w:cs="Times New Roman"/>
        </w:rPr>
        <w:t>2</w:t>
      </w:r>
      <w:r w:rsidR="00754011">
        <w:rPr>
          <w:rFonts w:ascii="Times New Roman" w:hAnsi="Times New Roman" w:cs="Times New Roman"/>
        </w:rPr>
        <w:t>4</w:t>
      </w:r>
      <w:r w:rsidRPr="00432959">
        <w:rPr>
          <w:rFonts w:ascii="Times New Roman" w:hAnsi="Times New Roman" w:cs="Times New Roman"/>
        </w:rPr>
        <w:t>–</w:t>
      </w:r>
      <w:r w:rsidR="00754011">
        <w:rPr>
          <w:rFonts w:ascii="Times New Roman" w:hAnsi="Times New Roman" w:cs="Times New Roman"/>
        </w:rPr>
        <w:t>131</w:t>
      </w:r>
      <w:r w:rsidRPr="00432959">
        <w:rPr>
          <w:rFonts w:ascii="Times New Roman" w:hAnsi="Times New Roman" w:cs="Times New Roman"/>
        </w:rPr>
        <w:t>) that set fees for the 20</w:t>
      </w:r>
      <w:r>
        <w:rPr>
          <w:rFonts w:ascii="Times New Roman" w:hAnsi="Times New Roman" w:cs="Times New Roman"/>
        </w:rPr>
        <w:t>2</w:t>
      </w:r>
      <w:r w:rsidR="00754011">
        <w:rPr>
          <w:rFonts w:ascii="Times New Roman" w:hAnsi="Times New Roman" w:cs="Times New Roman"/>
        </w:rPr>
        <w:t>4</w:t>
      </w:r>
      <w:r w:rsidRPr="00432959">
        <w:rPr>
          <w:rFonts w:ascii="Times New Roman" w:hAnsi="Times New Roman" w:cs="Times New Roman"/>
        </w:rPr>
        <w:t>-</w:t>
      </w:r>
      <w:r>
        <w:rPr>
          <w:rFonts w:ascii="Times New Roman" w:hAnsi="Times New Roman" w:cs="Times New Roman"/>
        </w:rPr>
        <w:t>2</w:t>
      </w:r>
      <w:r w:rsidR="00754011">
        <w:rPr>
          <w:rFonts w:ascii="Times New Roman" w:hAnsi="Times New Roman" w:cs="Times New Roman"/>
        </w:rPr>
        <w:t>5</w:t>
      </w:r>
      <w:r w:rsidRPr="00432959">
        <w:rPr>
          <w:rFonts w:ascii="Times New Roman" w:hAnsi="Times New Roman" w:cs="Times New Roman"/>
        </w:rPr>
        <w:t xml:space="preserve"> financial year</w:t>
      </w:r>
      <w:r>
        <w:rPr>
          <w:rFonts w:ascii="Times New Roman" w:hAnsi="Times New Roman" w:cs="Times New Roman"/>
        </w:rPr>
        <w:t>.</w:t>
      </w:r>
    </w:p>
    <w:sectPr w:rsidR="0083623C" w:rsidRPr="00D02E57" w:rsidSect="00EA3843">
      <w:headerReference w:type="even" r:id="rId12"/>
      <w:headerReference w:type="default" r:id="rId13"/>
      <w:footerReference w:type="even" r:id="rId14"/>
      <w:footerReference w:type="default" r:id="rId15"/>
      <w:headerReference w:type="first" r:id="rId16"/>
      <w:footerReference w:type="first" r:id="rId17"/>
      <w:pgSz w:w="11907" w:h="16840"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7F8FC" w14:textId="77777777" w:rsidR="00731109" w:rsidRDefault="00731109" w:rsidP="00EF586A">
      <w:r>
        <w:separator/>
      </w:r>
    </w:p>
  </w:endnote>
  <w:endnote w:type="continuationSeparator" w:id="0">
    <w:p w14:paraId="6D84B955" w14:textId="77777777" w:rsidR="00731109" w:rsidRDefault="00731109" w:rsidP="00EF5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1A09" w14:textId="77777777" w:rsidR="00C53E7C" w:rsidRDefault="00C53E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EEE34" w14:textId="08C0C34B" w:rsidR="00E84A63" w:rsidRPr="00F533B3" w:rsidRDefault="00F533B3" w:rsidP="00F533B3">
    <w:pPr>
      <w:pStyle w:val="Footer"/>
      <w:jc w:val="center"/>
      <w:rPr>
        <w:rFonts w:ascii="Arial" w:hAnsi="Arial"/>
        <w:sz w:val="14"/>
      </w:rPr>
    </w:pPr>
    <w:r w:rsidRPr="00F533B3">
      <w:rPr>
        <w:rFonts w:ascii="Arial" w:hAnsi="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19ACB" w14:textId="77777777" w:rsidR="00C53E7C" w:rsidRDefault="00C53E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0D733" w14:textId="77777777" w:rsidR="00731109" w:rsidRDefault="00731109" w:rsidP="00EF586A">
      <w:r>
        <w:separator/>
      </w:r>
    </w:p>
  </w:footnote>
  <w:footnote w:type="continuationSeparator" w:id="0">
    <w:p w14:paraId="086A322A" w14:textId="77777777" w:rsidR="00731109" w:rsidRDefault="00731109" w:rsidP="00EF5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6FCAE" w14:textId="77777777" w:rsidR="00C53E7C" w:rsidRDefault="00C53E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54ED" w14:textId="77777777" w:rsidR="00C53E7C" w:rsidRDefault="00C53E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45A8" w14:textId="77777777" w:rsidR="00C53E7C" w:rsidRDefault="00C53E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8C02631"/>
    <w:multiLevelType w:val="hybridMultilevel"/>
    <w:tmpl w:val="4C34D0E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F6C8DB62"/>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7424FD74"/>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BBE00678"/>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F9EC591A"/>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92C89F2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DFA851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0A839B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E06D0B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BDEEF46"/>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822C624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35872B8"/>
    <w:multiLevelType w:val="hybridMultilevel"/>
    <w:tmpl w:val="443E715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1B936EA"/>
    <w:multiLevelType w:val="hybridMultilevel"/>
    <w:tmpl w:val="F8905620"/>
    <w:lvl w:ilvl="0" w:tplc="912CF00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4F83160"/>
    <w:multiLevelType w:val="hybridMultilevel"/>
    <w:tmpl w:val="E424D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7703260">
    <w:abstractNumId w:val="10"/>
  </w:num>
  <w:num w:numId="2" w16cid:durableId="1472748942">
    <w:abstractNumId w:val="8"/>
  </w:num>
  <w:num w:numId="3" w16cid:durableId="576286451">
    <w:abstractNumId w:val="7"/>
  </w:num>
  <w:num w:numId="4" w16cid:durableId="1557351762">
    <w:abstractNumId w:val="6"/>
  </w:num>
  <w:num w:numId="5" w16cid:durableId="665475563">
    <w:abstractNumId w:val="5"/>
  </w:num>
  <w:num w:numId="6" w16cid:durableId="476190384">
    <w:abstractNumId w:val="9"/>
  </w:num>
  <w:num w:numId="7" w16cid:durableId="467861666">
    <w:abstractNumId w:val="4"/>
  </w:num>
  <w:num w:numId="8" w16cid:durableId="411976541">
    <w:abstractNumId w:val="3"/>
  </w:num>
  <w:num w:numId="9" w16cid:durableId="487668139">
    <w:abstractNumId w:val="2"/>
  </w:num>
  <w:num w:numId="10" w16cid:durableId="1204093284">
    <w:abstractNumId w:val="1"/>
  </w:num>
  <w:num w:numId="11" w16cid:durableId="189612128">
    <w:abstractNumId w:val="11"/>
  </w:num>
  <w:num w:numId="12" w16cid:durableId="483354387">
    <w:abstractNumId w:val="13"/>
  </w:num>
  <w:num w:numId="13" w16cid:durableId="215439281">
    <w:abstractNumId w:val="12"/>
  </w:num>
  <w:num w:numId="14" w16cid:durableId="2078047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A58"/>
    <w:rsid w:val="00005A76"/>
    <w:rsid w:val="00007C70"/>
    <w:rsid w:val="00010959"/>
    <w:rsid w:val="000224AF"/>
    <w:rsid w:val="00027253"/>
    <w:rsid w:val="00031D7D"/>
    <w:rsid w:val="00037421"/>
    <w:rsid w:val="000410C7"/>
    <w:rsid w:val="00057A7C"/>
    <w:rsid w:val="00063AF7"/>
    <w:rsid w:val="00083C56"/>
    <w:rsid w:val="00092C05"/>
    <w:rsid w:val="000B1E37"/>
    <w:rsid w:val="000D04AC"/>
    <w:rsid w:val="000D7543"/>
    <w:rsid w:val="000E6D87"/>
    <w:rsid w:val="000F1B35"/>
    <w:rsid w:val="000F669D"/>
    <w:rsid w:val="001036B9"/>
    <w:rsid w:val="00103B86"/>
    <w:rsid w:val="001046DB"/>
    <w:rsid w:val="00110F33"/>
    <w:rsid w:val="001117D6"/>
    <w:rsid w:val="00125662"/>
    <w:rsid w:val="001537D0"/>
    <w:rsid w:val="00161825"/>
    <w:rsid w:val="001624D8"/>
    <w:rsid w:val="00163ECB"/>
    <w:rsid w:val="001738CC"/>
    <w:rsid w:val="001909DA"/>
    <w:rsid w:val="001957E4"/>
    <w:rsid w:val="00195D95"/>
    <w:rsid w:val="00195F54"/>
    <w:rsid w:val="001A19C0"/>
    <w:rsid w:val="001B6ABF"/>
    <w:rsid w:val="001C302F"/>
    <w:rsid w:val="00201F03"/>
    <w:rsid w:val="002040BA"/>
    <w:rsid w:val="0020741D"/>
    <w:rsid w:val="00223996"/>
    <w:rsid w:val="002271FA"/>
    <w:rsid w:val="00227B32"/>
    <w:rsid w:val="002351A1"/>
    <w:rsid w:val="00240E9C"/>
    <w:rsid w:val="00242427"/>
    <w:rsid w:val="00251F34"/>
    <w:rsid w:val="00251FD9"/>
    <w:rsid w:val="00262B4D"/>
    <w:rsid w:val="00264F0D"/>
    <w:rsid w:val="0027371A"/>
    <w:rsid w:val="00274FA7"/>
    <w:rsid w:val="00282205"/>
    <w:rsid w:val="002824CA"/>
    <w:rsid w:val="002A0CCE"/>
    <w:rsid w:val="002A741F"/>
    <w:rsid w:val="002B05B2"/>
    <w:rsid w:val="002D18D6"/>
    <w:rsid w:val="002D4677"/>
    <w:rsid w:val="002D5B34"/>
    <w:rsid w:val="002D7E15"/>
    <w:rsid w:val="002E04D1"/>
    <w:rsid w:val="002E1F99"/>
    <w:rsid w:val="002E21D3"/>
    <w:rsid w:val="002F3DBD"/>
    <w:rsid w:val="002F53E6"/>
    <w:rsid w:val="00300F1B"/>
    <w:rsid w:val="003103D5"/>
    <w:rsid w:val="003119E2"/>
    <w:rsid w:val="00312A58"/>
    <w:rsid w:val="00317505"/>
    <w:rsid w:val="00321E71"/>
    <w:rsid w:val="00326668"/>
    <w:rsid w:val="00331285"/>
    <w:rsid w:val="0033448D"/>
    <w:rsid w:val="003366CC"/>
    <w:rsid w:val="00336A43"/>
    <w:rsid w:val="003372A7"/>
    <w:rsid w:val="0034656A"/>
    <w:rsid w:val="003609D0"/>
    <w:rsid w:val="003700E6"/>
    <w:rsid w:val="003740EA"/>
    <w:rsid w:val="00380FF4"/>
    <w:rsid w:val="00383131"/>
    <w:rsid w:val="0039033D"/>
    <w:rsid w:val="00397609"/>
    <w:rsid w:val="00397FE0"/>
    <w:rsid w:val="003A5268"/>
    <w:rsid w:val="003B698B"/>
    <w:rsid w:val="003D49F8"/>
    <w:rsid w:val="003D7728"/>
    <w:rsid w:val="003E10B2"/>
    <w:rsid w:val="003F00F9"/>
    <w:rsid w:val="003F10F6"/>
    <w:rsid w:val="004054A0"/>
    <w:rsid w:val="00413B16"/>
    <w:rsid w:val="004150E4"/>
    <w:rsid w:val="004208BF"/>
    <w:rsid w:val="00421503"/>
    <w:rsid w:val="00421593"/>
    <w:rsid w:val="00421CB0"/>
    <w:rsid w:val="004220A5"/>
    <w:rsid w:val="00432959"/>
    <w:rsid w:val="00447218"/>
    <w:rsid w:val="004520C0"/>
    <w:rsid w:val="004578D1"/>
    <w:rsid w:val="00470085"/>
    <w:rsid w:val="004708AD"/>
    <w:rsid w:val="00472908"/>
    <w:rsid w:val="00477876"/>
    <w:rsid w:val="00481A00"/>
    <w:rsid w:val="00483A5F"/>
    <w:rsid w:val="00487C7B"/>
    <w:rsid w:val="004942D6"/>
    <w:rsid w:val="004A045E"/>
    <w:rsid w:val="004A154F"/>
    <w:rsid w:val="004A1B15"/>
    <w:rsid w:val="004B3FF7"/>
    <w:rsid w:val="004B6CFF"/>
    <w:rsid w:val="004D37E4"/>
    <w:rsid w:val="004E18CE"/>
    <w:rsid w:val="00512975"/>
    <w:rsid w:val="00513507"/>
    <w:rsid w:val="00520D29"/>
    <w:rsid w:val="00523E71"/>
    <w:rsid w:val="005254E6"/>
    <w:rsid w:val="00527458"/>
    <w:rsid w:val="005462E9"/>
    <w:rsid w:val="005500F1"/>
    <w:rsid w:val="00556E6E"/>
    <w:rsid w:val="00561E2B"/>
    <w:rsid w:val="00567994"/>
    <w:rsid w:val="00582FCF"/>
    <w:rsid w:val="005854BD"/>
    <w:rsid w:val="005A026B"/>
    <w:rsid w:val="005A07C2"/>
    <w:rsid w:val="005A0A2F"/>
    <w:rsid w:val="005B1678"/>
    <w:rsid w:val="005B5F48"/>
    <w:rsid w:val="005B6114"/>
    <w:rsid w:val="005C1973"/>
    <w:rsid w:val="005C548E"/>
    <w:rsid w:val="005D03DF"/>
    <w:rsid w:val="005D7112"/>
    <w:rsid w:val="005D734A"/>
    <w:rsid w:val="005E0576"/>
    <w:rsid w:val="005E1382"/>
    <w:rsid w:val="005F3844"/>
    <w:rsid w:val="00601F7B"/>
    <w:rsid w:val="00607014"/>
    <w:rsid w:val="006366EE"/>
    <w:rsid w:val="00640667"/>
    <w:rsid w:val="006419DE"/>
    <w:rsid w:val="00643636"/>
    <w:rsid w:val="006568D0"/>
    <w:rsid w:val="00656902"/>
    <w:rsid w:val="00664985"/>
    <w:rsid w:val="00670BC3"/>
    <w:rsid w:val="00671A51"/>
    <w:rsid w:val="00674F9F"/>
    <w:rsid w:val="00685268"/>
    <w:rsid w:val="006A0D9B"/>
    <w:rsid w:val="006A2F45"/>
    <w:rsid w:val="006A3111"/>
    <w:rsid w:val="006A58D0"/>
    <w:rsid w:val="006B4983"/>
    <w:rsid w:val="006B5214"/>
    <w:rsid w:val="006C345E"/>
    <w:rsid w:val="006C5D20"/>
    <w:rsid w:val="006D7FCF"/>
    <w:rsid w:val="006E141B"/>
    <w:rsid w:val="006F702C"/>
    <w:rsid w:val="00702F98"/>
    <w:rsid w:val="0071198B"/>
    <w:rsid w:val="00721B69"/>
    <w:rsid w:val="00727ED3"/>
    <w:rsid w:val="00730C0E"/>
    <w:rsid w:val="00731109"/>
    <w:rsid w:val="00734ED5"/>
    <w:rsid w:val="00742EDE"/>
    <w:rsid w:val="00746B1B"/>
    <w:rsid w:val="00754011"/>
    <w:rsid w:val="00770FF3"/>
    <w:rsid w:val="00771EDF"/>
    <w:rsid w:val="00777616"/>
    <w:rsid w:val="00781031"/>
    <w:rsid w:val="00786501"/>
    <w:rsid w:val="007B0B6D"/>
    <w:rsid w:val="007B212D"/>
    <w:rsid w:val="007B2343"/>
    <w:rsid w:val="007B3FCB"/>
    <w:rsid w:val="007D307E"/>
    <w:rsid w:val="007D580F"/>
    <w:rsid w:val="007D7543"/>
    <w:rsid w:val="007E699C"/>
    <w:rsid w:val="007F1657"/>
    <w:rsid w:val="007F59B5"/>
    <w:rsid w:val="008000D0"/>
    <w:rsid w:val="0080292D"/>
    <w:rsid w:val="00807B85"/>
    <w:rsid w:val="0081236E"/>
    <w:rsid w:val="0081469B"/>
    <w:rsid w:val="0081474E"/>
    <w:rsid w:val="008177F0"/>
    <w:rsid w:val="00822EFB"/>
    <w:rsid w:val="00824299"/>
    <w:rsid w:val="0082542B"/>
    <w:rsid w:val="008311EA"/>
    <w:rsid w:val="00834542"/>
    <w:rsid w:val="0083623C"/>
    <w:rsid w:val="00840E5E"/>
    <w:rsid w:val="00856737"/>
    <w:rsid w:val="00860868"/>
    <w:rsid w:val="00877DEA"/>
    <w:rsid w:val="00883DDD"/>
    <w:rsid w:val="00887454"/>
    <w:rsid w:val="00891712"/>
    <w:rsid w:val="00893A7A"/>
    <w:rsid w:val="00894A41"/>
    <w:rsid w:val="008A4248"/>
    <w:rsid w:val="008A66E0"/>
    <w:rsid w:val="008B7D66"/>
    <w:rsid w:val="008D4952"/>
    <w:rsid w:val="008D617B"/>
    <w:rsid w:val="008E065C"/>
    <w:rsid w:val="008E0DD8"/>
    <w:rsid w:val="008F671C"/>
    <w:rsid w:val="008F7406"/>
    <w:rsid w:val="009042F9"/>
    <w:rsid w:val="00910043"/>
    <w:rsid w:val="00912ADB"/>
    <w:rsid w:val="0092297F"/>
    <w:rsid w:val="00927898"/>
    <w:rsid w:val="00932937"/>
    <w:rsid w:val="00934247"/>
    <w:rsid w:val="0093515A"/>
    <w:rsid w:val="009412FB"/>
    <w:rsid w:val="009416C2"/>
    <w:rsid w:val="00953322"/>
    <w:rsid w:val="00956C81"/>
    <w:rsid w:val="00957E98"/>
    <w:rsid w:val="00961B4F"/>
    <w:rsid w:val="00962365"/>
    <w:rsid w:val="00963847"/>
    <w:rsid w:val="00963E6A"/>
    <w:rsid w:val="00971C97"/>
    <w:rsid w:val="009721F4"/>
    <w:rsid w:val="00990B03"/>
    <w:rsid w:val="00994164"/>
    <w:rsid w:val="00994EC2"/>
    <w:rsid w:val="009C754C"/>
    <w:rsid w:val="009D63E5"/>
    <w:rsid w:val="009E3F4B"/>
    <w:rsid w:val="009E5A57"/>
    <w:rsid w:val="009F21BC"/>
    <w:rsid w:val="00A119CA"/>
    <w:rsid w:val="00A12C76"/>
    <w:rsid w:val="00A14EB3"/>
    <w:rsid w:val="00A2631E"/>
    <w:rsid w:val="00A442A9"/>
    <w:rsid w:val="00A46E9E"/>
    <w:rsid w:val="00A47B05"/>
    <w:rsid w:val="00A525BC"/>
    <w:rsid w:val="00A61486"/>
    <w:rsid w:val="00A615D7"/>
    <w:rsid w:val="00A62439"/>
    <w:rsid w:val="00A66E2C"/>
    <w:rsid w:val="00A71E5F"/>
    <w:rsid w:val="00A74295"/>
    <w:rsid w:val="00A82767"/>
    <w:rsid w:val="00A84AF7"/>
    <w:rsid w:val="00A909C9"/>
    <w:rsid w:val="00A92554"/>
    <w:rsid w:val="00A93A54"/>
    <w:rsid w:val="00A94689"/>
    <w:rsid w:val="00AA1BEF"/>
    <w:rsid w:val="00AB2B6F"/>
    <w:rsid w:val="00AB2F75"/>
    <w:rsid w:val="00AB4076"/>
    <w:rsid w:val="00AB47B6"/>
    <w:rsid w:val="00AD1983"/>
    <w:rsid w:val="00AD25FC"/>
    <w:rsid w:val="00AD300E"/>
    <w:rsid w:val="00AD33F5"/>
    <w:rsid w:val="00AF079B"/>
    <w:rsid w:val="00AF0CD6"/>
    <w:rsid w:val="00AF512B"/>
    <w:rsid w:val="00B061A0"/>
    <w:rsid w:val="00B07DD1"/>
    <w:rsid w:val="00B117D6"/>
    <w:rsid w:val="00B23920"/>
    <w:rsid w:val="00B2442C"/>
    <w:rsid w:val="00B31DE0"/>
    <w:rsid w:val="00B36998"/>
    <w:rsid w:val="00B446B9"/>
    <w:rsid w:val="00B52CE8"/>
    <w:rsid w:val="00B533CA"/>
    <w:rsid w:val="00B54C09"/>
    <w:rsid w:val="00B63BA2"/>
    <w:rsid w:val="00B73BCD"/>
    <w:rsid w:val="00B73D3D"/>
    <w:rsid w:val="00B74422"/>
    <w:rsid w:val="00B74CC9"/>
    <w:rsid w:val="00B83F35"/>
    <w:rsid w:val="00B87DC4"/>
    <w:rsid w:val="00B9171B"/>
    <w:rsid w:val="00B96899"/>
    <w:rsid w:val="00B96BBB"/>
    <w:rsid w:val="00B97922"/>
    <w:rsid w:val="00BA2597"/>
    <w:rsid w:val="00BA2E21"/>
    <w:rsid w:val="00BA73F8"/>
    <w:rsid w:val="00BB38EE"/>
    <w:rsid w:val="00BB436F"/>
    <w:rsid w:val="00BB51FD"/>
    <w:rsid w:val="00BF0478"/>
    <w:rsid w:val="00BF6113"/>
    <w:rsid w:val="00C01ADD"/>
    <w:rsid w:val="00C10998"/>
    <w:rsid w:val="00C420E0"/>
    <w:rsid w:val="00C479DB"/>
    <w:rsid w:val="00C5041A"/>
    <w:rsid w:val="00C53E7C"/>
    <w:rsid w:val="00C54B16"/>
    <w:rsid w:val="00C57DF8"/>
    <w:rsid w:val="00C60583"/>
    <w:rsid w:val="00C63369"/>
    <w:rsid w:val="00C80439"/>
    <w:rsid w:val="00C82D4A"/>
    <w:rsid w:val="00C84020"/>
    <w:rsid w:val="00C929DF"/>
    <w:rsid w:val="00C942F8"/>
    <w:rsid w:val="00C947A7"/>
    <w:rsid w:val="00C967ED"/>
    <w:rsid w:val="00CA0226"/>
    <w:rsid w:val="00CB6152"/>
    <w:rsid w:val="00CD0480"/>
    <w:rsid w:val="00CD2ABD"/>
    <w:rsid w:val="00CD7275"/>
    <w:rsid w:val="00CE0745"/>
    <w:rsid w:val="00CE5C12"/>
    <w:rsid w:val="00CF1EC5"/>
    <w:rsid w:val="00CF56CB"/>
    <w:rsid w:val="00D016C1"/>
    <w:rsid w:val="00D02E57"/>
    <w:rsid w:val="00D130A6"/>
    <w:rsid w:val="00D143B6"/>
    <w:rsid w:val="00D32EEF"/>
    <w:rsid w:val="00D40592"/>
    <w:rsid w:val="00D412BB"/>
    <w:rsid w:val="00D4135F"/>
    <w:rsid w:val="00D4524E"/>
    <w:rsid w:val="00D466A5"/>
    <w:rsid w:val="00D51447"/>
    <w:rsid w:val="00D534A3"/>
    <w:rsid w:val="00D54F94"/>
    <w:rsid w:val="00D63350"/>
    <w:rsid w:val="00D643C8"/>
    <w:rsid w:val="00D940C7"/>
    <w:rsid w:val="00DA31B2"/>
    <w:rsid w:val="00DB063D"/>
    <w:rsid w:val="00DC6872"/>
    <w:rsid w:val="00DC79AF"/>
    <w:rsid w:val="00DD67A1"/>
    <w:rsid w:val="00DE54A4"/>
    <w:rsid w:val="00DE7E07"/>
    <w:rsid w:val="00DF4A81"/>
    <w:rsid w:val="00E00542"/>
    <w:rsid w:val="00E01C81"/>
    <w:rsid w:val="00E054A4"/>
    <w:rsid w:val="00E1215F"/>
    <w:rsid w:val="00E23A5F"/>
    <w:rsid w:val="00E376D0"/>
    <w:rsid w:val="00E4332E"/>
    <w:rsid w:val="00E439CA"/>
    <w:rsid w:val="00E534C5"/>
    <w:rsid w:val="00E72EEA"/>
    <w:rsid w:val="00E74053"/>
    <w:rsid w:val="00E75C6F"/>
    <w:rsid w:val="00E768A0"/>
    <w:rsid w:val="00E83C6B"/>
    <w:rsid w:val="00E84A63"/>
    <w:rsid w:val="00E85767"/>
    <w:rsid w:val="00E8667C"/>
    <w:rsid w:val="00E87537"/>
    <w:rsid w:val="00E87E18"/>
    <w:rsid w:val="00E90F57"/>
    <w:rsid w:val="00EA3843"/>
    <w:rsid w:val="00EA3DEF"/>
    <w:rsid w:val="00EA3FB1"/>
    <w:rsid w:val="00EC032B"/>
    <w:rsid w:val="00EC5AD1"/>
    <w:rsid w:val="00EC6D38"/>
    <w:rsid w:val="00ED211F"/>
    <w:rsid w:val="00ED5079"/>
    <w:rsid w:val="00ED60E4"/>
    <w:rsid w:val="00EE3E29"/>
    <w:rsid w:val="00EE70EF"/>
    <w:rsid w:val="00EF586A"/>
    <w:rsid w:val="00EF6041"/>
    <w:rsid w:val="00EF79D8"/>
    <w:rsid w:val="00F1371C"/>
    <w:rsid w:val="00F153C4"/>
    <w:rsid w:val="00F23478"/>
    <w:rsid w:val="00F27A40"/>
    <w:rsid w:val="00F341EB"/>
    <w:rsid w:val="00F36964"/>
    <w:rsid w:val="00F46D8E"/>
    <w:rsid w:val="00F533B3"/>
    <w:rsid w:val="00F54E81"/>
    <w:rsid w:val="00F556B5"/>
    <w:rsid w:val="00F62202"/>
    <w:rsid w:val="00F6440A"/>
    <w:rsid w:val="00F6486E"/>
    <w:rsid w:val="00F73D29"/>
    <w:rsid w:val="00F7448B"/>
    <w:rsid w:val="00F82AF0"/>
    <w:rsid w:val="00F870DD"/>
    <w:rsid w:val="00F91B36"/>
    <w:rsid w:val="00F9355A"/>
    <w:rsid w:val="00F93FE0"/>
    <w:rsid w:val="00FA4C51"/>
    <w:rsid w:val="00FC2BC6"/>
    <w:rsid w:val="00FC4619"/>
    <w:rsid w:val="00FD4896"/>
    <w:rsid w:val="00FD5703"/>
    <w:rsid w:val="00FE6A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2B6021"/>
  <w14:defaultImageDpi w14:val="0"/>
  <w15:docId w15:val="{7B8C9EBC-70E1-40C1-940B-48EA0E5C2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1983"/>
    <w:rPr>
      <w:rFonts w:ascii="Arial (W1)" w:hAnsi="Arial (W1)" w:cs="Arial"/>
      <w:color w:val="000000"/>
      <w:sz w:val="24"/>
      <w:szCs w:val="24"/>
      <w:lang w:eastAsia="en-US"/>
    </w:rPr>
  </w:style>
  <w:style w:type="paragraph" w:styleId="Heading1">
    <w:name w:val="heading 1"/>
    <w:basedOn w:val="Normal"/>
    <w:next w:val="sectiontext"/>
    <w:link w:val="Heading1Char"/>
    <w:uiPriority w:val="9"/>
    <w:qFormat/>
    <w:rsid w:val="00FC4619"/>
    <w:pPr>
      <w:keepNext/>
      <w:spacing w:before="240" w:after="60"/>
      <w:outlineLvl w:val="0"/>
    </w:pPr>
    <w:rPr>
      <w:rFonts w:ascii="Arial" w:hAnsi="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3515A"/>
    <w:rPr>
      <w:rFonts w:ascii="Cambria" w:hAnsi="Cambria" w:cs="Times New Roman"/>
      <w:b/>
      <w:bCs/>
      <w:color w:val="000000"/>
      <w:kern w:val="32"/>
      <w:sz w:val="32"/>
      <w:szCs w:val="32"/>
      <w:lang w:val="x-none" w:eastAsia="en-US"/>
    </w:rPr>
  </w:style>
  <w:style w:type="paragraph" w:customStyle="1" w:styleId="N-line3">
    <w:name w:val="N-line3"/>
    <w:basedOn w:val="Normal"/>
    <w:next w:val="Normal"/>
    <w:rsid w:val="00326668"/>
    <w:pPr>
      <w:pBdr>
        <w:bottom w:val="single" w:sz="12" w:space="1" w:color="auto"/>
      </w:pBdr>
      <w:jc w:val="both"/>
    </w:pPr>
    <w:rPr>
      <w:rFonts w:ascii="Times New Roman" w:hAnsi="Times New Roman" w:cs="Times New Roman"/>
      <w:color w:val="auto"/>
      <w:szCs w:val="20"/>
    </w:rPr>
  </w:style>
  <w:style w:type="paragraph" w:customStyle="1" w:styleId="InstrumentTitle">
    <w:name w:val="Instrument Title"/>
    <w:basedOn w:val="Normal"/>
    <w:next w:val="NIorDInumber"/>
    <w:rsid w:val="00FC4619"/>
    <w:pPr>
      <w:spacing w:before="600" w:after="120"/>
    </w:pPr>
    <w:rPr>
      <w:b/>
      <w:sz w:val="40"/>
      <w:szCs w:val="40"/>
    </w:rPr>
  </w:style>
  <w:style w:type="paragraph" w:customStyle="1" w:styleId="ACTheader">
    <w:name w:val="ACT header"/>
    <w:basedOn w:val="Normal"/>
    <w:next w:val="InstrumentTitle"/>
    <w:rsid w:val="00FC4619"/>
    <w:pPr>
      <w:spacing w:before="120"/>
    </w:pPr>
  </w:style>
  <w:style w:type="paragraph" w:customStyle="1" w:styleId="NIorDInumber">
    <w:name w:val="NI or DI number"/>
    <w:basedOn w:val="Normal"/>
    <w:next w:val="madeunderthe"/>
    <w:rsid w:val="00FC4619"/>
    <w:pPr>
      <w:spacing w:before="240" w:after="60"/>
    </w:pPr>
    <w:rPr>
      <w:b/>
    </w:rPr>
  </w:style>
  <w:style w:type="paragraph" w:customStyle="1" w:styleId="madeunderthe">
    <w:name w:val="made under the"/>
    <w:basedOn w:val="Normal"/>
    <w:next w:val="Actsourceofpower"/>
    <w:rsid w:val="00FC4619"/>
    <w:pPr>
      <w:spacing w:before="240" w:after="60"/>
    </w:pPr>
    <w:rPr>
      <w:rFonts w:ascii="Times New Roman" w:hAnsi="Times New Roman" w:cs="Times New Roman"/>
    </w:rPr>
  </w:style>
  <w:style w:type="paragraph" w:customStyle="1" w:styleId="Actsourceofpower">
    <w:name w:val="Act source of power"/>
    <w:basedOn w:val="Normal"/>
    <w:next w:val="Normal"/>
    <w:rsid w:val="00FC4619"/>
    <w:pPr>
      <w:spacing w:before="240" w:after="60"/>
    </w:pPr>
    <w:rPr>
      <w:b/>
      <w:sz w:val="20"/>
      <w:szCs w:val="20"/>
    </w:rPr>
  </w:style>
  <w:style w:type="paragraph" w:customStyle="1" w:styleId="sectiontext">
    <w:name w:val="section text"/>
    <w:basedOn w:val="Normal"/>
    <w:rsid w:val="00FC4619"/>
    <w:pPr>
      <w:spacing w:before="80" w:after="60"/>
      <w:ind w:left="709"/>
    </w:pPr>
    <w:rPr>
      <w:rFonts w:ascii="Times New Roman" w:hAnsi="Times New Roman" w:cs="Times New Roman"/>
    </w:rPr>
  </w:style>
  <w:style w:type="paragraph" w:customStyle="1" w:styleId="note">
    <w:name w:val="note"/>
    <w:basedOn w:val="sectiontext"/>
    <w:next w:val="sectiontext"/>
    <w:rsid w:val="00083C56"/>
    <w:rPr>
      <w:sz w:val="20"/>
      <w:szCs w:val="20"/>
    </w:rPr>
  </w:style>
  <w:style w:type="paragraph" w:customStyle="1" w:styleId="signatureblock">
    <w:name w:val="signature block"/>
    <w:basedOn w:val="sectiontext"/>
    <w:next w:val="Normal"/>
    <w:rsid w:val="00FC4619"/>
    <w:pPr>
      <w:spacing w:before="0" w:after="0"/>
      <w:ind w:left="0"/>
    </w:pPr>
  </w:style>
  <w:style w:type="paragraph" w:customStyle="1" w:styleId="subsection">
    <w:name w:val="subsection"/>
    <w:basedOn w:val="sectiontext"/>
    <w:next w:val="sectiontext"/>
    <w:rsid w:val="00FC4619"/>
    <w:pPr>
      <w:ind w:hanging="425"/>
    </w:pPr>
  </w:style>
  <w:style w:type="paragraph" w:customStyle="1" w:styleId="LongTitle">
    <w:name w:val="LongTitle"/>
    <w:basedOn w:val="Normal"/>
    <w:rsid w:val="00C420E0"/>
    <w:pPr>
      <w:spacing w:before="240" w:after="60"/>
      <w:jc w:val="both"/>
    </w:pPr>
    <w:rPr>
      <w:rFonts w:ascii="Times New Roman" w:hAnsi="Times New Roman" w:cs="Times New Roman"/>
      <w:color w:val="auto"/>
    </w:rPr>
  </w:style>
  <w:style w:type="character" w:styleId="CommentReference">
    <w:name w:val="annotation reference"/>
    <w:basedOn w:val="DefaultParagraphFont"/>
    <w:uiPriority w:val="99"/>
    <w:rsid w:val="00B87DC4"/>
    <w:rPr>
      <w:rFonts w:cs="Times New Roman"/>
      <w:sz w:val="16"/>
      <w:szCs w:val="16"/>
    </w:rPr>
  </w:style>
  <w:style w:type="paragraph" w:styleId="CommentText">
    <w:name w:val="annotation text"/>
    <w:basedOn w:val="Normal"/>
    <w:link w:val="CommentTextChar"/>
    <w:uiPriority w:val="99"/>
    <w:rsid w:val="00B87DC4"/>
    <w:rPr>
      <w:sz w:val="20"/>
      <w:szCs w:val="20"/>
    </w:rPr>
  </w:style>
  <w:style w:type="character" w:customStyle="1" w:styleId="CommentTextChar">
    <w:name w:val="Comment Text Char"/>
    <w:basedOn w:val="DefaultParagraphFont"/>
    <w:link w:val="CommentText"/>
    <w:uiPriority w:val="99"/>
    <w:locked/>
    <w:rsid w:val="00B87DC4"/>
    <w:rPr>
      <w:rFonts w:ascii="Arial (W1)" w:hAnsi="Arial (W1)" w:cs="Arial"/>
      <w:color w:val="000000"/>
      <w:lang w:val="x-none" w:eastAsia="en-US"/>
    </w:rPr>
  </w:style>
  <w:style w:type="paragraph" w:styleId="CommentSubject">
    <w:name w:val="annotation subject"/>
    <w:basedOn w:val="CommentText"/>
    <w:next w:val="CommentText"/>
    <w:link w:val="CommentSubjectChar"/>
    <w:uiPriority w:val="99"/>
    <w:rsid w:val="00B87DC4"/>
    <w:rPr>
      <w:b/>
      <w:bCs/>
    </w:rPr>
  </w:style>
  <w:style w:type="character" w:customStyle="1" w:styleId="CommentSubjectChar">
    <w:name w:val="Comment Subject Char"/>
    <w:basedOn w:val="CommentTextChar"/>
    <w:link w:val="CommentSubject"/>
    <w:uiPriority w:val="99"/>
    <w:locked/>
    <w:rsid w:val="00B87DC4"/>
    <w:rPr>
      <w:rFonts w:ascii="Arial (W1)" w:hAnsi="Arial (W1)" w:cs="Arial"/>
      <w:b/>
      <w:bCs/>
      <w:color w:val="000000"/>
      <w:lang w:val="x-none" w:eastAsia="en-US"/>
    </w:rPr>
  </w:style>
  <w:style w:type="paragraph" w:styleId="BalloonText">
    <w:name w:val="Balloon Text"/>
    <w:basedOn w:val="Normal"/>
    <w:link w:val="BalloonTextChar"/>
    <w:uiPriority w:val="99"/>
    <w:rsid w:val="00B87DC4"/>
    <w:rPr>
      <w:rFonts w:ascii="Tahoma" w:hAnsi="Tahoma" w:cs="Tahoma"/>
      <w:sz w:val="16"/>
      <w:szCs w:val="16"/>
    </w:rPr>
  </w:style>
  <w:style w:type="character" w:customStyle="1" w:styleId="BalloonTextChar">
    <w:name w:val="Balloon Text Char"/>
    <w:basedOn w:val="DefaultParagraphFont"/>
    <w:link w:val="BalloonText"/>
    <w:uiPriority w:val="99"/>
    <w:locked/>
    <w:rsid w:val="00B87DC4"/>
    <w:rPr>
      <w:rFonts w:ascii="Tahoma" w:hAnsi="Tahoma" w:cs="Tahoma"/>
      <w:color w:val="000000"/>
      <w:sz w:val="16"/>
      <w:szCs w:val="16"/>
      <w:lang w:val="x-none" w:eastAsia="en-US"/>
    </w:rPr>
  </w:style>
  <w:style w:type="paragraph" w:styleId="Header">
    <w:name w:val="header"/>
    <w:basedOn w:val="Normal"/>
    <w:link w:val="HeaderChar"/>
    <w:uiPriority w:val="99"/>
    <w:rsid w:val="00EF586A"/>
    <w:pPr>
      <w:tabs>
        <w:tab w:val="center" w:pos="4513"/>
        <w:tab w:val="right" w:pos="9026"/>
      </w:tabs>
    </w:pPr>
  </w:style>
  <w:style w:type="character" w:customStyle="1" w:styleId="HeaderChar">
    <w:name w:val="Header Char"/>
    <w:basedOn w:val="DefaultParagraphFont"/>
    <w:link w:val="Header"/>
    <w:uiPriority w:val="99"/>
    <w:locked/>
    <w:rsid w:val="00EF586A"/>
    <w:rPr>
      <w:rFonts w:ascii="Arial (W1)" w:hAnsi="Arial (W1)" w:cs="Arial"/>
      <w:color w:val="000000"/>
      <w:sz w:val="24"/>
      <w:szCs w:val="24"/>
      <w:lang w:val="x-none" w:eastAsia="en-US"/>
    </w:rPr>
  </w:style>
  <w:style w:type="paragraph" w:styleId="Footer">
    <w:name w:val="footer"/>
    <w:basedOn w:val="Normal"/>
    <w:link w:val="FooterChar"/>
    <w:uiPriority w:val="99"/>
    <w:rsid w:val="00EF586A"/>
    <w:pPr>
      <w:tabs>
        <w:tab w:val="center" w:pos="4513"/>
        <w:tab w:val="right" w:pos="9026"/>
      </w:tabs>
    </w:pPr>
  </w:style>
  <w:style w:type="character" w:customStyle="1" w:styleId="FooterChar">
    <w:name w:val="Footer Char"/>
    <w:basedOn w:val="DefaultParagraphFont"/>
    <w:link w:val="Footer"/>
    <w:uiPriority w:val="99"/>
    <w:locked/>
    <w:rsid w:val="00EF586A"/>
    <w:rPr>
      <w:rFonts w:ascii="Arial (W1)" w:hAnsi="Arial (W1)" w:cs="Arial"/>
      <w:color w:val="000000"/>
      <w:sz w:val="24"/>
      <w:szCs w:val="24"/>
      <w:lang w:val="x-none" w:eastAsia="en-US"/>
    </w:rPr>
  </w:style>
  <w:style w:type="paragraph" w:customStyle="1" w:styleId="Billname">
    <w:name w:val="Billname"/>
    <w:basedOn w:val="Normal"/>
    <w:rsid w:val="009E5A57"/>
    <w:pPr>
      <w:tabs>
        <w:tab w:val="left" w:pos="2400"/>
        <w:tab w:val="left" w:pos="2880"/>
      </w:tabs>
      <w:spacing w:before="1220" w:after="100"/>
    </w:pPr>
    <w:rPr>
      <w:rFonts w:ascii="Arial" w:hAnsi="Arial" w:cs="Times New Roman"/>
      <w:b/>
      <w:color w:val="auto"/>
      <w:sz w:val="40"/>
      <w:szCs w:val="20"/>
    </w:rPr>
  </w:style>
  <w:style w:type="paragraph" w:customStyle="1" w:styleId="madeunder">
    <w:name w:val="made under"/>
    <w:basedOn w:val="Normal"/>
    <w:rsid w:val="009E5A57"/>
    <w:pPr>
      <w:spacing w:before="180" w:after="60"/>
      <w:jc w:val="both"/>
    </w:pPr>
    <w:rPr>
      <w:rFonts w:ascii="Times New Roman" w:hAnsi="Times New Roman" w:cs="Times New Roman"/>
      <w:color w:val="auto"/>
      <w:szCs w:val="20"/>
    </w:rPr>
  </w:style>
  <w:style w:type="paragraph" w:customStyle="1" w:styleId="CoverActName">
    <w:name w:val="CoverActName"/>
    <w:basedOn w:val="Normal"/>
    <w:rsid w:val="009E5A57"/>
    <w:pPr>
      <w:tabs>
        <w:tab w:val="left" w:pos="2600"/>
      </w:tabs>
      <w:spacing w:before="200" w:after="60"/>
      <w:jc w:val="both"/>
    </w:pPr>
    <w:rPr>
      <w:rFonts w:ascii="Arial" w:hAnsi="Arial" w:cs="Times New Roman"/>
      <w:b/>
      <w:color w:val="auto"/>
      <w:szCs w:val="20"/>
    </w:rPr>
  </w:style>
  <w:style w:type="character" w:customStyle="1" w:styleId="Calibri12">
    <w:name w:val="Calibri 12"/>
    <w:basedOn w:val="DefaultParagraphFont"/>
    <w:uiPriority w:val="1"/>
    <w:qFormat/>
    <w:rsid w:val="004520C0"/>
    <w:rPr>
      <w:rFonts w:ascii="Calibri" w:hAnsi="Calibri"/>
      <w:sz w:val="24"/>
    </w:rPr>
  </w:style>
  <w:style w:type="paragraph" w:styleId="ListParagraph">
    <w:name w:val="List Paragraph"/>
    <w:basedOn w:val="Normal"/>
    <w:uiPriority w:val="34"/>
    <w:qFormat/>
    <w:rsid w:val="004520C0"/>
    <w:pPr>
      <w:widowControl w:val="0"/>
      <w:ind w:left="720"/>
      <w:contextualSpacing/>
    </w:pPr>
    <w:rPr>
      <w:rFonts w:ascii="Times New Roman" w:hAnsi="Times New Roman" w:cs="Times New Roman"/>
      <w:iCs/>
      <w:color w:val="auto"/>
      <w:lang w:val="en-US"/>
    </w:rPr>
  </w:style>
  <w:style w:type="paragraph" w:customStyle="1" w:styleId="tablenormal0">
    <w:name w:val="table normal"/>
    <w:basedOn w:val="Normal"/>
    <w:uiPriority w:val="99"/>
    <w:rsid w:val="00664985"/>
    <w:pPr>
      <w:spacing w:before="80" w:after="80"/>
    </w:pPr>
    <w:rPr>
      <w:rFonts w:ascii="Times New Roman" w:hAnsi="Times New Roman" w:cs="Times New Roman"/>
      <w:color w:val="auto"/>
      <w:sz w:val="22"/>
      <w:szCs w:val="22"/>
    </w:rPr>
  </w:style>
  <w:style w:type="character" w:styleId="Hyperlink">
    <w:name w:val="Hyperlink"/>
    <w:basedOn w:val="DefaultParagraphFont"/>
    <w:rsid w:val="003D7728"/>
    <w:rPr>
      <w:color w:val="0000FF" w:themeColor="hyperlink"/>
      <w:u w:val="single"/>
    </w:rPr>
  </w:style>
  <w:style w:type="character" w:styleId="UnresolvedMention">
    <w:name w:val="Unresolved Mention"/>
    <w:basedOn w:val="DefaultParagraphFont"/>
    <w:uiPriority w:val="99"/>
    <w:semiHidden/>
    <w:unhideWhenUsed/>
    <w:rsid w:val="003D7728"/>
    <w:rPr>
      <w:color w:val="605E5C"/>
      <w:shd w:val="clear" w:color="auto" w:fill="E1DFDD"/>
    </w:rPr>
  </w:style>
  <w:style w:type="paragraph" w:styleId="NormalWeb">
    <w:name w:val="Normal (Web)"/>
    <w:basedOn w:val="Normal"/>
    <w:uiPriority w:val="99"/>
    <w:unhideWhenUsed/>
    <w:rsid w:val="00771EDF"/>
    <w:pPr>
      <w:spacing w:before="100" w:beforeAutospacing="1" w:after="100" w:afterAutospacing="1"/>
    </w:pPr>
    <w:rPr>
      <w:rFonts w:ascii="Times New Roman" w:hAnsi="Times New Roman" w:cs="Times New Roman"/>
      <w:color w:val="auto"/>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8524">
      <w:bodyDiv w:val="1"/>
      <w:marLeft w:val="0"/>
      <w:marRight w:val="0"/>
      <w:marTop w:val="0"/>
      <w:marBottom w:val="0"/>
      <w:divBdr>
        <w:top w:val="none" w:sz="0" w:space="0" w:color="auto"/>
        <w:left w:val="none" w:sz="0" w:space="0" w:color="auto"/>
        <w:bottom w:val="none" w:sz="0" w:space="0" w:color="auto"/>
        <w:right w:val="none" w:sz="0" w:space="0" w:color="auto"/>
      </w:divBdr>
    </w:div>
    <w:div w:id="618684858">
      <w:bodyDiv w:val="1"/>
      <w:marLeft w:val="0"/>
      <w:marRight w:val="0"/>
      <w:marTop w:val="0"/>
      <w:marBottom w:val="0"/>
      <w:divBdr>
        <w:top w:val="none" w:sz="0" w:space="0" w:color="auto"/>
        <w:left w:val="none" w:sz="0" w:space="0" w:color="auto"/>
        <w:bottom w:val="none" w:sz="0" w:space="0" w:color="auto"/>
        <w:right w:val="none" w:sz="0" w:space="0" w:color="auto"/>
      </w:divBdr>
    </w:div>
    <w:div w:id="984353561">
      <w:marLeft w:val="0"/>
      <w:marRight w:val="0"/>
      <w:marTop w:val="0"/>
      <w:marBottom w:val="0"/>
      <w:divBdr>
        <w:top w:val="none" w:sz="0" w:space="0" w:color="auto"/>
        <w:left w:val="none" w:sz="0" w:space="0" w:color="auto"/>
        <w:bottom w:val="none" w:sz="0" w:space="0" w:color="auto"/>
        <w:right w:val="none" w:sz="0" w:space="0" w:color="auto"/>
      </w:divBdr>
      <w:divsChild>
        <w:div w:id="984353565">
          <w:marLeft w:val="0"/>
          <w:marRight w:val="0"/>
          <w:marTop w:val="0"/>
          <w:marBottom w:val="0"/>
          <w:divBdr>
            <w:top w:val="none" w:sz="0" w:space="0" w:color="auto"/>
            <w:left w:val="none" w:sz="0" w:space="0" w:color="auto"/>
            <w:bottom w:val="none" w:sz="0" w:space="0" w:color="auto"/>
            <w:right w:val="none" w:sz="0" w:space="0" w:color="auto"/>
          </w:divBdr>
          <w:divsChild>
            <w:div w:id="984353564">
              <w:marLeft w:val="0"/>
              <w:marRight w:val="0"/>
              <w:marTop w:val="0"/>
              <w:marBottom w:val="0"/>
              <w:divBdr>
                <w:top w:val="none" w:sz="0" w:space="0" w:color="auto"/>
                <w:left w:val="none" w:sz="0" w:space="0" w:color="auto"/>
                <w:bottom w:val="none" w:sz="0" w:space="0" w:color="auto"/>
                <w:right w:val="none" w:sz="0" w:space="0" w:color="auto"/>
              </w:divBdr>
              <w:divsChild>
                <w:div w:id="984353562">
                  <w:marLeft w:val="75"/>
                  <w:marRight w:val="75"/>
                  <w:marTop w:val="0"/>
                  <w:marBottom w:val="0"/>
                  <w:divBdr>
                    <w:top w:val="none" w:sz="0" w:space="0" w:color="auto"/>
                    <w:left w:val="none" w:sz="0" w:space="0" w:color="auto"/>
                    <w:bottom w:val="none" w:sz="0" w:space="0" w:color="auto"/>
                    <w:right w:val="none" w:sz="0" w:space="0" w:color="auto"/>
                  </w:divBdr>
                  <w:divsChild>
                    <w:div w:id="984353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95072383">
      <w:bodyDiv w:val="1"/>
      <w:marLeft w:val="0"/>
      <w:marRight w:val="0"/>
      <w:marTop w:val="0"/>
      <w:marBottom w:val="0"/>
      <w:divBdr>
        <w:top w:val="none" w:sz="0" w:space="0" w:color="auto"/>
        <w:left w:val="none" w:sz="0" w:space="0" w:color="auto"/>
        <w:bottom w:val="none" w:sz="0" w:space="0" w:color="auto"/>
        <w:right w:val="none" w:sz="0" w:space="0" w:color="auto"/>
      </w:divBdr>
    </w:div>
    <w:div w:id="184674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act.gov.au/ni/2023-540/Curren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legislation.act.gov.au/ni/2023-540/Curren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etadata xmlns="http://www.objective.com/ecm/document/metadata/4FEB93B0D38B3BDFE05400144FFB2061" version="1.0.0">
  <systemFields>
    <field name="Objective-Id">
      <value order="0">A53732114</value>
    </field>
    <field name="Objective-Title">
      <value order="0">Attach D - 25-26 Public Unleased Land Act 2013 ES (WPI 3.6%) - Final</value>
    </field>
    <field name="Objective-Description">
      <value order="0"/>
    </field>
    <field name="Objective-CreationStamp">
      <value order="0">2025-06-10T23:17:14Z</value>
    </field>
    <field name="Objective-IsApproved">
      <value order="0">false</value>
    </field>
    <field name="Objective-IsPublished">
      <value order="0">true</value>
    </field>
    <field name="Objective-DatePublished">
      <value order="0">2025-06-15T23:51:22Z</value>
    </field>
    <field name="Objective-ModificationStamp">
      <value order="0">2025-06-23T06:13:02Z</value>
    </field>
    <field name="Objective-Owner">
      <value order="0">Gregory Mirenda</value>
    </field>
    <field name="Objective-Path">
      <value order="0">Whole of ACT Government:TCCS STRUCTURE - Content Restriction Hierarchy:01. Assembly, Cabinet, Ministerial:03. Ministerials:03. Complete:Information Brief (Minister):2025 Information Brief (Minister) (TCCS):COO - MIN C2025/00689 - 2025-26 Fees and Charges for Transport Canberra and City Services - Minister Brief</value>
    </field>
    <field name="Objective-Parent">
      <value order="0">COO - MIN C2025/00689 - 2025-26 Fees and Charges for Transport Canberra and City Services - Minister Brief</value>
    </field>
    <field name="Objective-State">
      <value order="0">Published</value>
    </field>
    <field name="Objective-VersionId">
      <value order="0">vA68285799</value>
    </field>
    <field name="Objective-Version">
      <value order="0">4.0</value>
    </field>
    <field name="Objective-VersionNumber">
      <value order="0">5</value>
    </field>
    <field name="Objective-VersionComment">
      <value order="0"/>
    </field>
    <field name="Objective-FileNumber">
      <value order="0">1-2024/134851</value>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0F2E7944-1C36-4D03-93CE-3B57171410DF}">
  <ds:schemaRefs>
    <ds:schemaRef ds:uri="http://schemas.openxmlformats.org/officeDocument/2006/bibliography"/>
  </ds:schemaRefs>
</ds:datastoreItem>
</file>

<file path=customXml/itemProps3.xml><?xml version="1.0" encoding="utf-8"?>
<ds:datastoreItem xmlns:ds="http://schemas.openxmlformats.org/officeDocument/2006/customXml" ds:itemID="{BCA33B82-D6D9-4AC5-A235-7D6C1DDA3EA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609</Words>
  <Characters>3392</Characters>
  <Application>Microsoft Office Word</Application>
  <DocSecurity>0</DocSecurity>
  <Lines>84</Lines>
  <Paragraphs>33</Paragraphs>
  <ScaleCrop>false</ScaleCrop>
  <HeadingPairs>
    <vt:vector size="2" baseType="variant">
      <vt:variant>
        <vt:lpstr>Title</vt:lpstr>
      </vt:variant>
      <vt:variant>
        <vt:i4>1</vt:i4>
      </vt:variant>
    </vt:vector>
  </HeadingPairs>
  <TitlesOfParts>
    <vt:vector size="1" baseType="lpstr">
      <vt:lpstr>Basic Instrument Template</vt:lpstr>
    </vt:vector>
  </TitlesOfParts>
  <Company>Territory and Municipal Servcies</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Instrument Template</dc:title>
  <dc:subject/>
  <dc:creator>ACT Government</dc:creator>
  <cp:keywords/>
  <dc:description/>
  <cp:lastModifiedBy>PCODCS</cp:lastModifiedBy>
  <cp:revision>4</cp:revision>
  <cp:lastPrinted>2017-06-21T07:09:00Z</cp:lastPrinted>
  <dcterms:created xsi:type="dcterms:W3CDTF">2025-06-24T03:55:00Z</dcterms:created>
  <dcterms:modified xsi:type="dcterms:W3CDTF">2025-06-24T03:55:00Z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58920248-d030-4bfb-b621-ed02738080f5</vt:lpwstr>
  </property>
  <property fmtid="{D5CDD505-2E9C-101B-9397-08002B2CF9AE}" pid="3" name="bjSaver">
    <vt:lpwstr>xL7p3ChsB4Zhuw/cNfSHc8zXKCTiWTkY</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y fmtid="{D5CDD505-2E9C-101B-9397-08002B2CF9AE}" pid="9" name="Objective-Id">
    <vt:lpwstr>A53732114</vt:lpwstr>
  </property>
  <property fmtid="{D5CDD505-2E9C-101B-9397-08002B2CF9AE}" pid="10" name="Objective-Title">
    <vt:lpwstr>Attach D - 25-26 Public Unleased Land Act 2013 ES (WPI 3.6%) - Final</vt:lpwstr>
  </property>
  <property fmtid="{D5CDD505-2E9C-101B-9397-08002B2CF9AE}" pid="11" name="Objective-Comment">
    <vt:lpwstr/>
  </property>
  <property fmtid="{D5CDD505-2E9C-101B-9397-08002B2CF9AE}" pid="12" name="Objective-CreationStamp">
    <vt:filetime>2025-06-10T23:17:14Z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2025-06-15T23:51:22Z</vt:filetime>
  </property>
  <property fmtid="{D5CDD505-2E9C-101B-9397-08002B2CF9AE}" pid="16" name="Objective-ModificationStamp">
    <vt:filetime>2025-06-23T06:13:02Z</vt:filetime>
  </property>
  <property fmtid="{D5CDD505-2E9C-101B-9397-08002B2CF9AE}" pid="17" name="Objective-Owner">
    <vt:lpwstr>Gregory Mirenda</vt:lpwstr>
  </property>
  <property fmtid="{D5CDD505-2E9C-101B-9397-08002B2CF9AE}" pid="18" name="Objective-Path">
    <vt:lpwstr>Whole of ACT Government:TCCS STRUCTURE - Content Restriction Hierarchy:01. Assembly, Cabinet, Ministerial:03. Ministerials:02. Active:Minister Brief :COO - MIN C2025/00689 - 2025-26 Fees and Charges for Transport Canberra and City Services - Minister Brief:</vt:lpwstr>
  </property>
  <property fmtid="{D5CDD505-2E9C-101B-9397-08002B2CF9AE}" pid="19" name="Objective-Parent">
    <vt:lpwstr>COO - MIN C2025/00689 - 2025-26 Fees and Charges for Transport Canberra and City Services - Minister Brief</vt:lpwstr>
  </property>
  <property fmtid="{D5CDD505-2E9C-101B-9397-08002B2CF9AE}" pid="20" name="Objective-State">
    <vt:lpwstr>Published</vt:lpwstr>
  </property>
  <property fmtid="{D5CDD505-2E9C-101B-9397-08002B2CF9AE}" pid="21" name="Objective-Version">
    <vt:lpwstr>4.0</vt:lpwstr>
  </property>
  <property fmtid="{D5CDD505-2E9C-101B-9397-08002B2CF9AE}" pid="22" name="Objective-VersionNumber">
    <vt:r8>5</vt:r8>
  </property>
  <property fmtid="{D5CDD505-2E9C-101B-9397-08002B2CF9AE}" pid="23" name="Objective-VersionComment">
    <vt:lpwstr/>
  </property>
  <property fmtid="{D5CDD505-2E9C-101B-9397-08002B2CF9AE}" pid="24" name="Objective-FileNumber">
    <vt:lpwstr>1-2024/134851</vt:lpwstr>
  </property>
  <property fmtid="{D5CDD505-2E9C-101B-9397-08002B2CF9AE}" pid="25" name="Objective-Classification">
    <vt:lpwstr>[Inherited - none]</vt:lpwstr>
  </property>
  <property fmtid="{D5CDD505-2E9C-101B-9397-08002B2CF9AE}" pid="26" name="Objective-Caveats">
    <vt:lpwstr/>
  </property>
  <property fmtid="{D5CDD505-2E9C-101B-9397-08002B2CF9AE}" pid="27" name="Objective-Owner Agency [system]">
    <vt:lpwstr>TCCS</vt:lpwstr>
  </property>
  <property fmtid="{D5CDD505-2E9C-101B-9397-08002B2CF9AE}" pid="28" name="Objective-Document Type [system]">
    <vt:lpwstr>0-Document</vt:lpwstr>
  </property>
  <property fmtid="{D5CDD505-2E9C-101B-9397-08002B2CF9AE}" pid="29" name="Objective-Language [system]">
    <vt:lpwstr>English (en)</vt:lpwstr>
  </property>
  <property fmtid="{D5CDD505-2E9C-101B-9397-08002B2CF9AE}" pid="30" name="Objective-Jurisdiction [system]">
    <vt:lpwstr>ACT</vt:lpwstr>
  </property>
  <property fmtid="{D5CDD505-2E9C-101B-9397-08002B2CF9AE}" pid="31" name="Objective-Customers [system]">
    <vt:lpwstr/>
  </property>
  <property fmtid="{D5CDD505-2E9C-101B-9397-08002B2CF9AE}" pid="32" name="Objective-Places [system]">
    <vt:lpwstr/>
  </property>
  <property fmtid="{D5CDD505-2E9C-101B-9397-08002B2CF9AE}" pid="33" name="Objective-Transaction Reference [system]">
    <vt:lpwstr/>
  </property>
  <property fmtid="{D5CDD505-2E9C-101B-9397-08002B2CF9AE}" pid="34" name="Objective-Document Created By [system]">
    <vt:lpwstr/>
  </property>
  <property fmtid="{D5CDD505-2E9C-101B-9397-08002B2CF9AE}" pid="35" name="Objective-Document Created On [system]">
    <vt:lpwstr/>
  </property>
  <property fmtid="{D5CDD505-2E9C-101B-9397-08002B2CF9AE}" pid="36" name="Objective-Covers Period From [system]">
    <vt:lpwstr/>
  </property>
  <property fmtid="{D5CDD505-2E9C-101B-9397-08002B2CF9AE}" pid="37" name="Objective-Covers Period To [system]">
    <vt:lpwstr/>
  </property>
  <property fmtid="{D5CDD505-2E9C-101B-9397-08002B2CF9AE}" pid="38" name="Objective-OM Author [system]">
    <vt:lpwstr/>
  </property>
  <property fmtid="{D5CDD505-2E9C-101B-9397-08002B2CF9AE}" pid="39" name="Objective-OM Author Organisation [system]">
    <vt:lpwstr/>
  </property>
  <property fmtid="{D5CDD505-2E9C-101B-9397-08002B2CF9AE}" pid="40" name="Objective-OM Author Type [system]">
    <vt:lpwstr/>
  </property>
  <property fmtid="{D5CDD505-2E9C-101B-9397-08002B2CF9AE}" pid="41" name="Objective-OM Date Received [system]">
    <vt:lpwstr/>
  </property>
  <property fmtid="{D5CDD505-2E9C-101B-9397-08002B2CF9AE}" pid="42" name="Objective-OM Date of Document [system]">
    <vt:lpwstr/>
  </property>
  <property fmtid="{D5CDD505-2E9C-101B-9397-08002B2CF9AE}" pid="43" name="Objective-OM External Reference [system]">
    <vt:lpwstr/>
  </property>
  <property fmtid="{D5CDD505-2E9C-101B-9397-08002B2CF9AE}" pid="44" name="Objective-OM Reference [system]">
    <vt:lpwstr/>
  </property>
  <property fmtid="{D5CDD505-2E9C-101B-9397-08002B2CF9AE}" pid="45" name="Objective-OM Topic [system]">
    <vt:lpwstr/>
  </property>
  <property fmtid="{D5CDD505-2E9C-101B-9397-08002B2CF9AE}" pid="46" name="Objective-Suburb [system]">
    <vt:lpwstr/>
  </property>
  <property fmtid="{D5CDD505-2E9C-101B-9397-08002B2CF9AE}" pid="47" name="Objective-Owner Agency">
    <vt:lpwstr>TCCS</vt:lpwstr>
  </property>
  <property fmtid="{D5CDD505-2E9C-101B-9397-08002B2CF9AE}" pid="48" name="Objective-Document Type">
    <vt:lpwstr>0-Document</vt:lpwstr>
  </property>
  <property fmtid="{D5CDD505-2E9C-101B-9397-08002B2CF9AE}" pid="49" name="Objective-Language">
    <vt:lpwstr>English (en)</vt:lpwstr>
  </property>
  <property fmtid="{D5CDD505-2E9C-101B-9397-08002B2CF9AE}" pid="50" name="Objective-Jurisdiction">
    <vt:lpwstr>ACT</vt:lpwstr>
  </property>
  <property fmtid="{D5CDD505-2E9C-101B-9397-08002B2CF9AE}" pid="51" name="Objective-Customers">
    <vt:lpwstr/>
  </property>
  <property fmtid="{D5CDD505-2E9C-101B-9397-08002B2CF9AE}" pid="52" name="Objective-Places">
    <vt:lpwstr/>
  </property>
  <property fmtid="{D5CDD505-2E9C-101B-9397-08002B2CF9AE}" pid="53" name="Objective-Transaction Reference">
    <vt:lpwstr/>
  </property>
  <property fmtid="{D5CDD505-2E9C-101B-9397-08002B2CF9AE}" pid="54" name="Objective-Document Created By">
    <vt:lpwstr/>
  </property>
  <property fmtid="{D5CDD505-2E9C-101B-9397-08002B2CF9AE}" pid="55" name="Objective-Document Created On">
    <vt:lpwstr/>
  </property>
  <property fmtid="{D5CDD505-2E9C-101B-9397-08002B2CF9AE}" pid="56" name="Objective-Covers Period From">
    <vt:lpwstr/>
  </property>
  <property fmtid="{D5CDD505-2E9C-101B-9397-08002B2CF9AE}" pid="57" name="Objective-Covers Period To">
    <vt:lpwstr/>
  </property>
  <property fmtid="{D5CDD505-2E9C-101B-9397-08002B2CF9AE}" pid="58" name="Objective-OM Author">
    <vt:lpwstr/>
  </property>
  <property fmtid="{D5CDD505-2E9C-101B-9397-08002B2CF9AE}" pid="59" name="Objective-OM Author Organisation">
    <vt:lpwstr/>
  </property>
  <property fmtid="{D5CDD505-2E9C-101B-9397-08002B2CF9AE}" pid="60" name="Objective-OM Author Type">
    <vt:lpwstr/>
  </property>
  <property fmtid="{D5CDD505-2E9C-101B-9397-08002B2CF9AE}" pid="61" name="Objective-OM Date Received">
    <vt:lpwstr/>
  </property>
  <property fmtid="{D5CDD505-2E9C-101B-9397-08002B2CF9AE}" pid="62" name="Objective-OM Date of Document">
    <vt:lpwstr/>
  </property>
  <property fmtid="{D5CDD505-2E9C-101B-9397-08002B2CF9AE}" pid="63" name="Objective-OM External Reference">
    <vt:lpwstr/>
  </property>
  <property fmtid="{D5CDD505-2E9C-101B-9397-08002B2CF9AE}" pid="64" name="Objective-OM Reference">
    <vt:lpwstr/>
  </property>
  <property fmtid="{D5CDD505-2E9C-101B-9397-08002B2CF9AE}" pid="65" name="Objective-OM Topic">
    <vt:lpwstr/>
  </property>
  <property fmtid="{D5CDD505-2E9C-101B-9397-08002B2CF9AE}" pid="66" name="Objective-Suburb">
    <vt:lpwstr/>
  </property>
  <property fmtid="{D5CDD505-2E9C-101B-9397-08002B2CF9AE}" pid="67" name="Objective-Description">
    <vt:lpwstr/>
  </property>
  <property fmtid="{D5CDD505-2E9C-101B-9397-08002B2CF9AE}" pid="68" name="Objective-VersionId">
    <vt:lpwstr>vA68285799</vt:lpwstr>
  </property>
  <property fmtid="{D5CDD505-2E9C-101B-9397-08002B2CF9AE}" pid="69" name="MSIP_Label_69af8531-eb46-4968-8cb3-105d2f5ea87e_Enabled">
    <vt:lpwstr>true</vt:lpwstr>
  </property>
  <property fmtid="{D5CDD505-2E9C-101B-9397-08002B2CF9AE}" pid="70" name="MSIP_Label_69af8531-eb46-4968-8cb3-105d2f5ea87e_SetDate">
    <vt:lpwstr>2024-05-08T01:25:57Z</vt:lpwstr>
  </property>
  <property fmtid="{D5CDD505-2E9C-101B-9397-08002B2CF9AE}" pid="71" name="MSIP_Label_69af8531-eb46-4968-8cb3-105d2f5ea87e_Method">
    <vt:lpwstr>Standard</vt:lpwstr>
  </property>
  <property fmtid="{D5CDD505-2E9C-101B-9397-08002B2CF9AE}" pid="72" name="MSIP_Label_69af8531-eb46-4968-8cb3-105d2f5ea87e_Name">
    <vt:lpwstr>Official - No Marking</vt:lpwstr>
  </property>
  <property fmtid="{D5CDD505-2E9C-101B-9397-08002B2CF9AE}" pid="73" name="MSIP_Label_69af8531-eb46-4968-8cb3-105d2f5ea87e_SiteId">
    <vt:lpwstr>b46c1908-0334-4236-b978-585ee88e4199</vt:lpwstr>
  </property>
  <property fmtid="{D5CDD505-2E9C-101B-9397-08002B2CF9AE}" pid="74" name="MSIP_Label_69af8531-eb46-4968-8cb3-105d2f5ea87e_ActionId">
    <vt:lpwstr>23058651-dcca-4585-ad37-8f3adef75d95</vt:lpwstr>
  </property>
  <property fmtid="{D5CDD505-2E9C-101B-9397-08002B2CF9AE}" pid="75" name="MSIP_Label_69af8531-eb46-4968-8cb3-105d2f5ea87e_ContentBits">
    <vt:lpwstr>0</vt:lpwstr>
  </property>
  <property fmtid="{D5CDD505-2E9C-101B-9397-08002B2CF9AE}" pid="76" name="Objective-Status">
    <vt:lpwstr/>
  </property>
  <property fmtid="{D5CDD505-2E9C-101B-9397-08002B2CF9AE}" pid="77" name="Objective-S28 Exemption Number">
    <vt:lpwstr/>
  </property>
  <property fmtid="{D5CDD505-2E9C-101B-9397-08002B2CF9AE}" pid="78" name="Objective-S28 Exemption">
    <vt:lpwstr/>
  </property>
  <property fmtid="{D5CDD505-2E9C-101B-9397-08002B2CF9AE}" pid="79" name="Objective-S28 Exemption Reason">
    <vt:lpwstr/>
  </property>
  <property fmtid="{D5CDD505-2E9C-101B-9397-08002B2CF9AE}" pid="80" name="Objective-S28 Comments if partial exemption">
    <vt:lpwstr/>
  </property>
  <property fmtid="{D5CDD505-2E9C-101B-9397-08002B2CF9AE}" pid="81" name="Objective-S28 Date Approved">
    <vt:lpwstr/>
  </property>
</Properties>
</file>