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3A048" w14:textId="77777777" w:rsidR="00D36431" w:rsidRDefault="00D36431" w:rsidP="00D36431">
      <w:pPr>
        <w:pageBreakBefore/>
        <w:pBdr>
          <w:top w:val="nil"/>
          <w:left w:val="nil"/>
          <w:bottom w:val="nil"/>
          <w:right w:val="nil"/>
          <w:between w:val="nil"/>
          <w:bar w:val="nil"/>
        </w:pBdr>
        <w:spacing w:before="120"/>
        <w:rPr>
          <w:rFonts w:eastAsia="SimSun"/>
          <w:bdr w:val="nil"/>
        </w:rPr>
      </w:pPr>
      <w:r>
        <w:rPr>
          <w:rFonts w:eastAsia="SimSun"/>
          <w:bdr w:val="nil"/>
        </w:rPr>
        <w:t>Australian Capital Territory</w:t>
      </w:r>
    </w:p>
    <w:p w14:paraId="1D88BB15" w14:textId="77777777" w:rsidR="00D36431" w:rsidRDefault="00D36431" w:rsidP="00D36431">
      <w:pPr>
        <w:pStyle w:val="Billname"/>
        <w:pBdr>
          <w:top w:val="nil"/>
          <w:left w:val="nil"/>
          <w:bottom w:val="nil"/>
          <w:right w:val="nil"/>
          <w:between w:val="nil"/>
          <w:bar w:val="nil"/>
        </w:pBdr>
        <w:spacing w:before="700"/>
        <w:rPr>
          <w:rFonts w:eastAsia="SimSun"/>
          <w:bdr w:val="nil"/>
        </w:rPr>
      </w:pPr>
      <w:r>
        <w:rPr>
          <w:rFonts w:eastAsia="SimSun"/>
          <w:bdr w:val="nil"/>
        </w:rPr>
        <w:t>Traders (Licensing) (Fees) Determination 2025</w:t>
      </w:r>
      <w:r w:rsidRPr="00D033A3">
        <w:rPr>
          <w:rFonts w:eastAsia="SimSun"/>
          <w:b w:val="0"/>
          <w:bCs w:val="0"/>
          <w:i/>
          <w:iCs/>
          <w:color w:val="000080"/>
          <w:sz w:val="28"/>
          <w:szCs w:val="28"/>
          <w:bdr w:val="nil"/>
          <w:lang w:val="en-US" w:eastAsia="zh-CN"/>
        </w:rPr>
        <w:t xml:space="preserve"> </w:t>
      </w:r>
    </w:p>
    <w:p w14:paraId="217DCEB3" w14:textId="5927F22B" w:rsidR="00D36431" w:rsidRDefault="00D36431" w:rsidP="00D36431">
      <w:pPr>
        <w:pBdr>
          <w:top w:val="nil"/>
          <w:left w:val="nil"/>
          <w:bottom w:val="nil"/>
          <w:right w:val="nil"/>
          <w:between w:val="nil"/>
          <w:bar w:val="nil"/>
        </w:pBdr>
        <w:spacing w:before="240" w:after="60"/>
        <w:rPr>
          <w:rFonts w:eastAsia="SimSun"/>
          <w:b/>
          <w:bCs/>
          <w:bdr w:val="nil"/>
        </w:rPr>
      </w:pPr>
      <w:r>
        <w:rPr>
          <w:rFonts w:eastAsia="SimSun"/>
          <w:b/>
          <w:bCs/>
          <w:bdr w:val="nil"/>
        </w:rPr>
        <w:t>Disallowable instrument DI2025-</w:t>
      </w:r>
      <w:r w:rsidR="00453AD4">
        <w:rPr>
          <w:rFonts w:eastAsia="SimSun"/>
          <w:b/>
          <w:bCs/>
          <w:bdr w:val="nil"/>
        </w:rPr>
        <w:t>115</w:t>
      </w:r>
    </w:p>
    <w:p w14:paraId="726F7A19" w14:textId="77777777" w:rsidR="00D36431" w:rsidRDefault="00D36431" w:rsidP="00D36431">
      <w:pPr>
        <w:pStyle w:val="madeunder"/>
        <w:pBdr>
          <w:top w:val="nil"/>
          <w:left w:val="nil"/>
          <w:bottom w:val="nil"/>
          <w:right w:val="nil"/>
          <w:between w:val="nil"/>
          <w:bar w:val="nil"/>
        </w:pBdr>
        <w:rPr>
          <w:rFonts w:ascii="Times New Roman" w:eastAsia="SimSun" w:hAnsi="Times New Roman" w:cs="Times New Roman"/>
          <w:bdr w:val="nil"/>
        </w:rPr>
      </w:pPr>
      <w:r w:rsidRPr="00D033A3">
        <w:rPr>
          <w:rFonts w:ascii="Times New Roman" w:eastAsia="SimSun" w:hAnsi="Times New Roman" w:cs="Times New Roman"/>
          <w:bdr w:val="nil"/>
        </w:rPr>
        <w:t xml:space="preserve">made under the </w:t>
      </w:r>
    </w:p>
    <w:p w14:paraId="39ABFF74" w14:textId="77777777" w:rsidR="00D36431" w:rsidRPr="00C47DD4" w:rsidRDefault="00D36431" w:rsidP="00D36431">
      <w:pPr>
        <w:pStyle w:val="CoverActName"/>
        <w:pBdr>
          <w:top w:val="nil"/>
          <w:left w:val="nil"/>
          <w:bottom w:val="nil"/>
          <w:right w:val="nil"/>
          <w:between w:val="nil"/>
          <w:bar w:val="nil"/>
        </w:pBdr>
        <w:spacing w:before="180"/>
        <w:rPr>
          <w:rFonts w:eastAsia="SimSun"/>
          <w:sz w:val="20"/>
          <w:szCs w:val="20"/>
          <w:bdr w:val="nil"/>
        </w:rPr>
      </w:pPr>
      <w:r w:rsidRPr="00C47DD4">
        <w:rPr>
          <w:rFonts w:eastAsia="SimSun"/>
          <w:snapToGrid w:val="0"/>
          <w:color w:val="000000"/>
          <w:sz w:val="20"/>
          <w:szCs w:val="20"/>
          <w:bdr w:val="nil"/>
        </w:rPr>
        <w:t>Traders (Licensing) Act 2016, s 52 (</w:t>
      </w:r>
      <w:r w:rsidRPr="00C47DD4">
        <w:rPr>
          <w:rFonts w:eastAsia="SimSun"/>
          <w:sz w:val="20"/>
          <w:szCs w:val="20"/>
          <w:bdr w:val="nil"/>
        </w:rPr>
        <w:t>Determination of fees)</w:t>
      </w:r>
    </w:p>
    <w:p w14:paraId="1673CE0C" w14:textId="77777777" w:rsidR="00D36431" w:rsidRDefault="00D36431" w:rsidP="00D36431">
      <w:pPr>
        <w:pStyle w:val="CoverActName"/>
        <w:pBdr>
          <w:top w:val="nil"/>
          <w:left w:val="nil"/>
          <w:bottom w:val="nil"/>
          <w:right w:val="nil"/>
          <w:between w:val="nil"/>
          <w:bar w:val="nil"/>
        </w:pBdr>
        <w:spacing w:before="0" w:after="0"/>
        <w:rPr>
          <w:rFonts w:eastAsia="SimSun"/>
          <w:sz w:val="20"/>
          <w:szCs w:val="20"/>
          <w:bdr w:val="nil"/>
        </w:rPr>
      </w:pPr>
    </w:p>
    <w:p w14:paraId="73B47215" w14:textId="77777777" w:rsidR="00D36431" w:rsidRDefault="00D36431" w:rsidP="00D36431">
      <w:pPr>
        <w:pStyle w:val="CoverActName"/>
        <w:pBdr>
          <w:top w:val="nil"/>
          <w:left w:val="nil"/>
          <w:bottom w:val="nil"/>
          <w:right w:val="nil"/>
          <w:between w:val="nil"/>
          <w:bar w:val="nil"/>
        </w:pBdr>
        <w:spacing w:before="0" w:after="0"/>
        <w:rPr>
          <w:rFonts w:eastAsia="SimSun"/>
          <w:sz w:val="20"/>
          <w:szCs w:val="20"/>
          <w:bdr w:val="nil"/>
        </w:rPr>
      </w:pPr>
    </w:p>
    <w:p w14:paraId="6C8973A8" w14:textId="77777777" w:rsidR="00D36431" w:rsidRDefault="00D36431" w:rsidP="00D36431">
      <w:pPr>
        <w:pStyle w:val="Header"/>
        <w:pBdr>
          <w:top w:val="nil"/>
          <w:left w:val="nil"/>
          <w:bottom w:val="nil"/>
          <w:right w:val="nil"/>
          <w:between w:val="nil"/>
          <w:bar w:val="nil"/>
        </w:pBdr>
        <w:tabs>
          <w:tab w:val="clear" w:pos="4153"/>
          <w:tab w:val="clear" w:pos="8306"/>
        </w:tabs>
        <w:rPr>
          <w:rFonts w:eastAsia="SimSun"/>
          <w:b/>
          <w:bCs/>
          <w:sz w:val="28"/>
          <w:szCs w:val="28"/>
          <w:bdr w:val="nil"/>
        </w:rPr>
      </w:pPr>
      <w:r>
        <w:rPr>
          <w:rFonts w:eastAsia="SimSun"/>
          <w:b/>
          <w:bCs/>
          <w:sz w:val="28"/>
          <w:szCs w:val="28"/>
          <w:bdr w:val="nil"/>
        </w:rPr>
        <w:t>EXPLANATORY STATEMENT</w:t>
      </w:r>
    </w:p>
    <w:p w14:paraId="7026E0C0" w14:textId="77777777" w:rsidR="00D36431" w:rsidRDefault="00D36431" w:rsidP="00D36431">
      <w:pPr>
        <w:pStyle w:val="Header"/>
        <w:pBdr>
          <w:top w:val="nil"/>
          <w:left w:val="nil"/>
          <w:bottom w:val="single" w:sz="12" w:space="1" w:color="auto"/>
          <w:right w:val="nil"/>
          <w:between w:val="nil"/>
          <w:bar w:val="nil"/>
        </w:pBdr>
        <w:tabs>
          <w:tab w:val="clear" w:pos="4153"/>
          <w:tab w:val="clear" w:pos="8306"/>
        </w:tabs>
        <w:rPr>
          <w:rFonts w:eastAsia="SimSun"/>
          <w:b/>
          <w:bCs/>
          <w:bdr w:val="nil"/>
        </w:rPr>
      </w:pPr>
    </w:p>
    <w:p w14:paraId="1E89152C" w14:textId="77777777" w:rsidR="00D36431" w:rsidRDefault="00D36431" w:rsidP="00D36431">
      <w:pPr>
        <w:pStyle w:val="Header"/>
        <w:pBdr>
          <w:top w:val="nil"/>
          <w:left w:val="nil"/>
          <w:bottom w:val="nil"/>
          <w:right w:val="nil"/>
          <w:between w:val="nil"/>
          <w:bar w:val="nil"/>
        </w:pBdr>
        <w:tabs>
          <w:tab w:val="clear" w:pos="4153"/>
          <w:tab w:val="clear" w:pos="8306"/>
        </w:tabs>
        <w:rPr>
          <w:rFonts w:eastAsia="SimSun"/>
          <w:b/>
          <w:bCs/>
          <w:bdr w:val="nil"/>
        </w:rPr>
      </w:pPr>
    </w:p>
    <w:p w14:paraId="0BFDF05C" w14:textId="77777777" w:rsidR="00D36431" w:rsidRDefault="00D36431" w:rsidP="00D36431">
      <w:pPr>
        <w:pStyle w:val="LongTitle"/>
        <w:pBdr>
          <w:top w:val="nil"/>
          <w:left w:val="nil"/>
          <w:bottom w:val="nil"/>
          <w:right w:val="nil"/>
          <w:between w:val="nil"/>
          <w:bar w:val="nil"/>
        </w:pBdr>
        <w:spacing w:before="0" w:after="0"/>
        <w:rPr>
          <w:rFonts w:eastAsia="SimSun"/>
          <w:color w:val="000000"/>
          <w:bdr w:val="nil"/>
        </w:rPr>
      </w:pPr>
      <w:r>
        <w:rPr>
          <w:rFonts w:eastAsia="SimSun"/>
          <w:color w:val="000000"/>
          <w:bdr w:val="nil"/>
        </w:rPr>
        <w:t>The Minister has power to determine fees for the purposes of this Act.</w:t>
      </w:r>
    </w:p>
    <w:p w14:paraId="27FAB5D1" w14:textId="77777777" w:rsidR="00D36431" w:rsidRDefault="00D36431" w:rsidP="00D36431">
      <w:pPr>
        <w:pStyle w:val="LongTitle"/>
        <w:pBdr>
          <w:top w:val="nil"/>
          <w:left w:val="nil"/>
          <w:bottom w:val="nil"/>
          <w:right w:val="nil"/>
          <w:between w:val="nil"/>
          <w:bar w:val="nil"/>
        </w:pBdr>
        <w:spacing w:before="0" w:after="0"/>
        <w:rPr>
          <w:rFonts w:eastAsia="SimSun"/>
          <w:color w:val="000000"/>
          <w:bdr w:val="nil"/>
        </w:rPr>
      </w:pPr>
    </w:p>
    <w:p w14:paraId="581DD5D6" w14:textId="77777777" w:rsidR="00D36431" w:rsidRDefault="00D36431" w:rsidP="00D36431">
      <w:pPr>
        <w:pStyle w:val="Header"/>
        <w:pBdr>
          <w:top w:val="nil"/>
          <w:left w:val="nil"/>
          <w:bottom w:val="nil"/>
          <w:right w:val="nil"/>
          <w:between w:val="nil"/>
          <w:bar w:val="nil"/>
        </w:pBdr>
        <w:jc w:val="both"/>
        <w:rPr>
          <w:rFonts w:ascii="Times New Roman" w:eastAsia="SimSun" w:hAnsi="Times New Roman" w:cs="Times New Roman"/>
          <w:bdr w:val="nil"/>
        </w:rPr>
      </w:pPr>
      <w:r w:rsidRPr="00C96D5F">
        <w:rPr>
          <w:rFonts w:ascii="Times New Roman" w:eastAsia="SimSun" w:hAnsi="Times New Roman" w:cs="Times New Roman"/>
          <w:bdr w:val="nil"/>
        </w:rPr>
        <w:t xml:space="preserve">The new determination sets the fees that will apply </w:t>
      </w:r>
      <w:r>
        <w:rPr>
          <w:rFonts w:ascii="Times New Roman" w:eastAsia="SimSun" w:hAnsi="Times New Roman" w:cs="Times New Roman"/>
          <w:bdr w:val="nil"/>
        </w:rPr>
        <w:t>beginning on</w:t>
      </w:r>
      <w:r w:rsidRPr="00C96D5F">
        <w:rPr>
          <w:rFonts w:ascii="Times New Roman" w:eastAsia="SimSun" w:hAnsi="Times New Roman" w:cs="Times New Roman"/>
          <w:bdr w:val="nil"/>
        </w:rPr>
        <w:t xml:space="preserve"> </w:t>
      </w:r>
      <w:r>
        <w:rPr>
          <w:rFonts w:ascii="Times New Roman" w:eastAsia="SimSun" w:hAnsi="Times New Roman" w:cs="Times New Roman"/>
          <w:bdr w:val="nil"/>
        </w:rPr>
        <w:t>1 July 2025</w:t>
      </w:r>
      <w:r w:rsidRPr="00C96D5F">
        <w:rPr>
          <w:rFonts w:ascii="Times New Roman" w:eastAsia="SimSun" w:hAnsi="Times New Roman" w:cs="Times New Roman"/>
          <w:bdr w:val="nil"/>
        </w:rPr>
        <w:t xml:space="preserve"> and repeals the </w:t>
      </w:r>
      <w:r>
        <w:rPr>
          <w:rFonts w:ascii="Times New Roman" w:eastAsia="SimSun" w:hAnsi="Times New Roman" w:cs="Times New Roman"/>
          <w:i/>
          <w:iCs/>
          <w:bdr w:val="nil"/>
        </w:rPr>
        <w:t xml:space="preserve">Traders (Licensing) (Fees) </w:t>
      </w:r>
      <w:r w:rsidRPr="00AC136F">
        <w:rPr>
          <w:rFonts w:ascii="Times New Roman" w:eastAsia="SimSun" w:hAnsi="Times New Roman" w:cs="Times New Roman"/>
          <w:i/>
          <w:iCs/>
          <w:bdr w:val="nil"/>
        </w:rPr>
        <w:t xml:space="preserve">Determination </w:t>
      </w:r>
      <w:r>
        <w:rPr>
          <w:rFonts w:ascii="Times New Roman" w:eastAsia="SimSun" w:hAnsi="Times New Roman" w:cs="Times New Roman"/>
          <w:i/>
          <w:iCs/>
          <w:bdr w:val="nil"/>
        </w:rPr>
        <w:t>2024</w:t>
      </w:r>
      <w:r>
        <w:rPr>
          <w:rFonts w:ascii="Times New Roman" w:eastAsia="SimSun" w:hAnsi="Times New Roman" w:cs="Times New Roman"/>
          <w:bdr w:val="nil"/>
        </w:rPr>
        <w:t xml:space="preserve"> </w:t>
      </w:r>
      <w:r w:rsidRPr="00863834">
        <w:rPr>
          <w:rFonts w:ascii="Times New Roman" w:eastAsia="SimSun" w:hAnsi="Times New Roman" w:cs="Times New Roman"/>
          <w:bdr w:val="nil"/>
        </w:rPr>
        <w:t>DI202</w:t>
      </w:r>
      <w:r>
        <w:rPr>
          <w:rFonts w:ascii="Times New Roman" w:eastAsia="SimSun" w:hAnsi="Times New Roman" w:cs="Times New Roman"/>
          <w:bdr w:val="nil"/>
        </w:rPr>
        <w:t>4</w:t>
      </w:r>
      <w:r w:rsidRPr="00863834">
        <w:rPr>
          <w:rFonts w:ascii="Times New Roman" w:eastAsia="SimSun" w:hAnsi="Times New Roman" w:cs="Times New Roman"/>
          <w:bdr w:val="nil"/>
        </w:rPr>
        <w:t>-</w:t>
      </w:r>
      <w:r>
        <w:rPr>
          <w:rFonts w:ascii="Times New Roman" w:eastAsia="SimSun" w:hAnsi="Times New Roman" w:cs="Times New Roman"/>
          <w:bdr w:val="nil"/>
        </w:rPr>
        <w:t>167</w:t>
      </w:r>
      <w:r w:rsidRPr="00C96D5F">
        <w:rPr>
          <w:rFonts w:ascii="Times New Roman" w:eastAsia="SimSun" w:hAnsi="Times New Roman" w:cs="Times New Roman"/>
          <w:bdr w:val="nil"/>
        </w:rPr>
        <w:t xml:space="preserve">. </w:t>
      </w:r>
    </w:p>
    <w:p w14:paraId="0BA15474" w14:textId="77777777" w:rsidR="00D36431" w:rsidRDefault="00D36431" w:rsidP="00D36431">
      <w:pPr>
        <w:pStyle w:val="Header"/>
        <w:pBdr>
          <w:top w:val="nil"/>
          <w:left w:val="nil"/>
          <w:bottom w:val="nil"/>
          <w:right w:val="nil"/>
          <w:between w:val="nil"/>
          <w:bar w:val="nil"/>
        </w:pBdr>
        <w:jc w:val="both"/>
        <w:rPr>
          <w:rFonts w:ascii="Times New Roman" w:eastAsia="SimSun" w:hAnsi="Times New Roman" w:cs="Times New Roman"/>
          <w:bdr w:val="nil"/>
        </w:rPr>
      </w:pPr>
    </w:p>
    <w:p w14:paraId="47319439" w14:textId="77777777" w:rsidR="00D36431" w:rsidRPr="00D33185" w:rsidRDefault="00D36431" w:rsidP="00D36431">
      <w:pPr>
        <w:pStyle w:val="Header"/>
        <w:pBdr>
          <w:top w:val="nil"/>
          <w:left w:val="nil"/>
          <w:bottom w:val="nil"/>
          <w:right w:val="nil"/>
          <w:between w:val="nil"/>
          <w:bar w:val="nil"/>
        </w:pBdr>
        <w:jc w:val="both"/>
        <w:rPr>
          <w:rFonts w:ascii="Times New Roman" w:eastAsia="SimSun" w:hAnsi="Times New Roman" w:cs="Times New Roman"/>
          <w:bdr w:val="nil"/>
        </w:rPr>
      </w:pPr>
      <w:r>
        <w:rPr>
          <w:rFonts w:ascii="Times New Roman" w:eastAsia="SimSun" w:hAnsi="Times New Roman" w:cs="Times New Roman"/>
          <w:bdr w:val="nil"/>
        </w:rPr>
        <w:t xml:space="preserve">Fees in the 2025 - 2026 financial year have been increased from fees in the previous financial year by the Wages Price Index (WPI) of 3.25%, plus an additional 0.35%. </w:t>
      </w:r>
      <w:r w:rsidRPr="00D33185">
        <w:rPr>
          <w:rFonts w:ascii="Times New Roman" w:eastAsia="SimSun" w:hAnsi="Times New Roman" w:cs="Times New Roman"/>
          <w:bdr w:val="nil"/>
        </w:rPr>
        <w:t xml:space="preserve">However, a further fee increase of 7.95% has also been applied to the </w:t>
      </w:r>
      <w:r>
        <w:rPr>
          <w:rFonts w:ascii="Times New Roman" w:eastAsia="SimSun" w:hAnsi="Times New Roman" w:cs="Times New Roman"/>
          <w:i/>
          <w:iCs/>
          <w:bdr w:val="nil"/>
        </w:rPr>
        <w:t>Traders (Licensing) (Fees) Determination 2025</w:t>
      </w:r>
      <w:r w:rsidRPr="00D33185">
        <w:rPr>
          <w:rFonts w:ascii="Times New Roman" w:eastAsia="SimSun" w:hAnsi="Times New Roman" w:cs="Times New Roman"/>
          <w:bdr w:val="nil"/>
        </w:rPr>
        <w:t xml:space="preserve"> for the 2025 - 2026 financial year. This increase applies to all licences associated to the ongoing support of the Common Licensing Capability platform currently being implemented within Access Canberra.</w:t>
      </w:r>
    </w:p>
    <w:p w14:paraId="54101D61" w14:textId="77777777" w:rsidR="00D36431" w:rsidRDefault="00D36431" w:rsidP="00D36431">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094407CE" w14:textId="77777777" w:rsidR="00D36431" w:rsidRDefault="00D36431" w:rsidP="00D36431">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974EF3">
        <w:rPr>
          <w:rFonts w:ascii="Times New Roman" w:eastAsia="SimSun" w:hAnsi="Times New Roman" w:cs="Times New Roman"/>
          <w:bdr w:val="nil"/>
        </w:rPr>
        <w:t>Fees are rounded down to the nearest dollar. Some smaller value fees maybe rounded up to the nearest dollar.  This approach also aligns with the Fees and Charges Policy and Guidelines 2025 - 2026.</w:t>
      </w:r>
    </w:p>
    <w:p w14:paraId="11EC1D17" w14:textId="77777777" w:rsidR="00D36431" w:rsidRDefault="00D36431" w:rsidP="00D36431">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2A24B820" w14:textId="77777777" w:rsidR="00D36431" w:rsidRDefault="00D36431" w:rsidP="00D36431">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Pr>
          <w:rFonts w:ascii="Times New Roman" w:eastAsia="SimSun" w:hAnsi="Times New Roman" w:cs="Times New Roman"/>
          <w:bdr w:val="nil"/>
        </w:rPr>
        <w:t>Fees must be paid as a lump sum and are no longer payable in instalments.</w:t>
      </w:r>
    </w:p>
    <w:p w14:paraId="5DB86303" w14:textId="77777777" w:rsidR="00D36431" w:rsidRDefault="00D36431" w:rsidP="00D36431">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p>
    <w:p w14:paraId="05BB5D8F" w14:textId="77777777" w:rsidR="00D36431" w:rsidRPr="0038380C" w:rsidRDefault="00D36431" w:rsidP="00D36431">
      <w:pPr>
        <w:pStyle w:val="Header"/>
        <w:pBdr>
          <w:top w:val="nil"/>
          <w:left w:val="nil"/>
          <w:bottom w:val="nil"/>
          <w:right w:val="nil"/>
          <w:between w:val="nil"/>
          <w:bar w:val="nil"/>
        </w:pBdr>
        <w:tabs>
          <w:tab w:val="clear" w:pos="4153"/>
          <w:tab w:val="clear" w:pos="8306"/>
        </w:tabs>
        <w:jc w:val="both"/>
        <w:rPr>
          <w:rFonts w:ascii="Times New Roman" w:eastAsia="SimSun" w:hAnsi="Times New Roman" w:cs="Times New Roman"/>
          <w:bdr w:val="nil"/>
        </w:rPr>
      </w:pPr>
      <w:r w:rsidRPr="00C96D5F">
        <w:rPr>
          <w:rFonts w:ascii="Times New Roman" w:eastAsia="SimSun" w:hAnsi="Times New Roman" w:cs="Times New Roman"/>
          <w:bdr w:val="nil"/>
        </w:rPr>
        <w:t>Explanatory notes in the determination list the fees previously determined to enable comparison.</w:t>
      </w:r>
    </w:p>
    <w:p w14:paraId="2E0FFEC7" w14:textId="052E5925" w:rsidR="00DC3982" w:rsidRPr="00D36431" w:rsidRDefault="00DC3982" w:rsidP="00D36431"/>
    <w:sectPr w:rsidR="00DC3982" w:rsidRPr="00D364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48B16" w14:textId="77777777" w:rsidR="002A7528" w:rsidRDefault="002A7528" w:rsidP="002A7528">
      <w:r>
        <w:separator/>
      </w:r>
    </w:p>
  </w:endnote>
  <w:endnote w:type="continuationSeparator" w:id="0">
    <w:p w14:paraId="4FD0D132" w14:textId="77777777" w:rsidR="002A7528" w:rsidRDefault="002A7528" w:rsidP="002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A76" w14:textId="77777777" w:rsidR="002D0175" w:rsidRDefault="002D0175">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4562" w14:textId="085A2EE1" w:rsidR="002D0175" w:rsidRPr="00BF0FE3" w:rsidRDefault="00BF0FE3" w:rsidP="00BF0FE3">
    <w:pPr>
      <w:pStyle w:val="Footer"/>
      <w:pBdr>
        <w:top w:val="nil"/>
        <w:left w:val="nil"/>
        <w:bottom w:val="nil"/>
        <w:right w:val="nil"/>
        <w:between w:val="nil"/>
        <w:bar w:val="nil"/>
      </w:pBdr>
      <w:jc w:val="center"/>
      <w:rPr>
        <w:rFonts w:eastAsia="Times New Roman"/>
        <w:sz w:val="14"/>
        <w:szCs w:val="20"/>
        <w:bdr w:val="nil"/>
      </w:rPr>
    </w:pPr>
    <w:r w:rsidRPr="00BF0FE3">
      <w:rPr>
        <w:rFonts w:eastAsia="Times New Roman"/>
        <w:sz w:val="14"/>
        <w:szCs w:val="20"/>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3049" w14:textId="77777777" w:rsidR="002D0175" w:rsidRDefault="002D0175">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8BB7" w14:textId="77777777" w:rsidR="002A7528" w:rsidRDefault="002A7528" w:rsidP="002A7528">
      <w:r>
        <w:separator/>
      </w:r>
    </w:p>
  </w:footnote>
  <w:footnote w:type="continuationSeparator" w:id="0">
    <w:p w14:paraId="0DBB3B84" w14:textId="77777777" w:rsidR="002A7528" w:rsidRDefault="002A7528" w:rsidP="002A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9849" w14:textId="77777777" w:rsidR="002D0175" w:rsidRDefault="002D0175">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6F14" w14:textId="77777777" w:rsidR="00BF0FE3" w:rsidRDefault="00BF0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1B9" w14:textId="77777777" w:rsidR="002D0175" w:rsidRDefault="002D0175">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2"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3"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5"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num w:numId="1" w16cid:durableId="2091001166">
    <w:abstractNumId w:val="0"/>
  </w:num>
  <w:num w:numId="2" w16cid:durableId="357975170">
    <w:abstractNumId w:val="1"/>
  </w:num>
  <w:num w:numId="3" w16cid:durableId="382363333">
    <w:abstractNumId w:val="2"/>
  </w:num>
  <w:num w:numId="4" w16cid:durableId="837967757">
    <w:abstractNumId w:val="3"/>
  </w:num>
  <w:num w:numId="5" w16cid:durableId="62724949">
    <w:abstractNumId w:val="4"/>
  </w:num>
  <w:num w:numId="6" w16cid:durableId="1736663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7"/>
    <w:rsid w:val="0000024F"/>
    <w:rsid w:val="00146306"/>
    <w:rsid w:val="00183C35"/>
    <w:rsid w:val="00225D02"/>
    <w:rsid w:val="002A7528"/>
    <w:rsid w:val="002B146A"/>
    <w:rsid w:val="002D0175"/>
    <w:rsid w:val="0032110C"/>
    <w:rsid w:val="003B12B1"/>
    <w:rsid w:val="003B327C"/>
    <w:rsid w:val="00450AF1"/>
    <w:rsid w:val="00453AD4"/>
    <w:rsid w:val="00454614"/>
    <w:rsid w:val="00464862"/>
    <w:rsid w:val="004809A6"/>
    <w:rsid w:val="005331FF"/>
    <w:rsid w:val="005B3C94"/>
    <w:rsid w:val="00607614"/>
    <w:rsid w:val="00612542"/>
    <w:rsid w:val="006918B2"/>
    <w:rsid w:val="00732565"/>
    <w:rsid w:val="00740E1F"/>
    <w:rsid w:val="007E37F2"/>
    <w:rsid w:val="008026D2"/>
    <w:rsid w:val="008E1D47"/>
    <w:rsid w:val="00954238"/>
    <w:rsid w:val="00994084"/>
    <w:rsid w:val="009C4B02"/>
    <w:rsid w:val="009D1CBE"/>
    <w:rsid w:val="00A3135D"/>
    <w:rsid w:val="00A40D70"/>
    <w:rsid w:val="00A43FE0"/>
    <w:rsid w:val="00A674B8"/>
    <w:rsid w:val="00A74911"/>
    <w:rsid w:val="00AA3388"/>
    <w:rsid w:val="00AA56A6"/>
    <w:rsid w:val="00AB3C6D"/>
    <w:rsid w:val="00B2563B"/>
    <w:rsid w:val="00BA10F9"/>
    <w:rsid w:val="00BE40A6"/>
    <w:rsid w:val="00BF0FE3"/>
    <w:rsid w:val="00C0625D"/>
    <w:rsid w:val="00C32CA4"/>
    <w:rsid w:val="00C55855"/>
    <w:rsid w:val="00CE1295"/>
    <w:rsid w:val="00D36431"/>
    <w:rsid w:val="00D564CC"/>
    <w:rsid w:val="00DC3982"/>
    <w:rsid w:val="00E56CDB"/>
    <w:rsid w:val="00EA48E4"/>
    <w:rsid w:val="00ED490F"/>
    <w:rsid w:val="00F037F7"/>
    <w:rsid w:val="00F3204F"/>
    <w:rsid w:val="00F430F9"/>
    <w:rsid w:val="00F46D3D"/>
    <w:rsid w:val="00FF45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AFB70"/>
  <w15:chartTrackingRefBased/>
  <w15:docId w15:val="{25AEAEF2-A6F7-4169-B5F5-84AEA926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F7"/>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03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3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3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03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3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03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03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7F7"/>
    <w:rPr>
      <w:rFonts w:eastAsiaTheme="majorEastAsia" w:cstheme="majorBidi"/>
      <w:color w:val="272727" w:themeColor="text1" w:themeTint="D8"/>
    </w:rPr>
  </w:style>
  <w:style w:type="paragraph" w:styleId="Title">
    <w:name w:val="Title"/>
    <w:basedOn w:val="Normal"/>
    <w:next w:val="Normal"/>
    <w:link w:val="TitleChar"/>
    <w:uiPriority w:val="10"/>
    <w:qFormat/>
    <w:rsid w:val="00F03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7F7"/>
    <w:pPr>
      <w:spacing w:before="160"/>
      <w:jc w:val="center"/>
    </w:pPr>
    <w:rPr>
      <w:i/>
      <w:iCs/>
      <w:color w:val="404040" w:themeColor="text1" w:themeTint="BF"/>
    </w:rPr>
  </w:style>
  <w:style w:type="character" w:customStyle="1" w:styleId="QuoteChar">
    <w:name w:val="Quote Char"/>
    <w:basedOn w:val="DefaultParagraphFont"/>
    <w:link w:val="Quote"/>
    <w:uiPriority w:val="29"/>
    <w:rsid w:val="00F037F7"/>
    <w:rPr>
      <w:i/>
      <w:iCs/>
      <w:color w:val="404040" w:themeColor="text1" w:themeTint="BF"/>
    </w:rPr>
  </w:style>
  <w:style w:type="paragraph" w:styleId="ListParagraph">
    <w:name w:val="List Paragraph"/>
    <w:basedOn w:val="Normal"/>
    <w:uiPriority w:val="34"/>
    <w:qFormat/>
    <w:rsid w:val="00F037F7"/>
    <w:pPr>
      <w:ind w:left="720"/>
      <w:contextualSpacing/>
    </w:pPr>
  </w:style>
  <w:style w:type="character" w:styleId="IntenseEmphasis">
    <w:name w:val="Intense Emphasis"/>
    <w:basedOn w:val="DefaultParagraphFont"/>
    <w:uiPriority w:val="21"/>
    <w:qFormat/>
    <w:rsid w:val="00F037F7"/>
    <w:rPr>
      <w:i/>
      <w:iCs/>
      <w:color w:val="2F5496" w:themeColor="accent1" w:themeShade="BF"/>
    </w:rPr>
  </w:style>
  <w:style w:type="paragraph" w:styleId="IntenseQuote">
    <w:name w:val="Intense Quote"/>
    <w:basedOn w:val="Normal"/>
    <w:next w:val="Normal"/>
    <w:link w:val="IntenseQuoteChar"/>
    <w:uiPriority w:val="30"/>
    <w:qFormat/>
    <w:rsid w:val="00F03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7F7"/>
    <w:rPr>
      <w:i/>
      <w:iCs/>
      <w:color w:val="2F5496" w:themeColor="accent1" w:themeShade="BF"/>
    </w:rPr>
  </w:style>
  <w:style w:type="character" w:styleId="IntenseReference">
    <w:name w:val="Intense Reference"/>
    <w:basedOn w:val="DefaultParagraphFont"/>
    <w:uiPriority w:val="32"/>
    <w:qFormat/>
    <w:rsid w:val="00F037F7"/>
    <w:rPr>
      <w:b/>
      <w:bCs/>
      <w:smallCaps/>
      <w:color w:val="2F5496" w:themeColor="accent1" w:themeShade="BF"/>
      <w:spacing w:val="5"/>
    </w:rPr>
  </w:style>
  <w:style w:type="paragraph" w:styleId="Header">
    <w:name w:val="header"/>
    <w:basedOn w:val="Normal"/>
    <w:link w:val="HeaderChar"/>
    <w:uiPriority w:val="99"/>
    <w:rsid w:val="00F037F7"/>
    <w:pPr>
      <w:tabs>
        <w:tab w:val="center" w:pos="4153"/>
        <w:tab w:val="right" w:pos="8306"/>
      </w:tabs>
    </w:pPr>
  </w:style>
  <w:style w:type="character" w:customStyle="1" w:styleId="HeaderChar">
    <w:name w:val="Header Char"/>
    <w:basedOn w:val="DefaultParagraphFont"/>
    <w:link w:val="Header"/>
    <w:uiPriority w:val="99"/>
    <w:rsid w:val="00F037F7"/>
    <w:rPr>
      <w:rFonts w:ascii="Arial" w:eastAsiaTheme="minorEastAsia" w:hAnsi="Arial" w:cs="Arial"/>
      <w:kern w:val="0"/>
      <w:sz w:val="24"/>
      <w:szCs w:val="24"/>
      <w14:ligatures w14:val="none"/>
    </w:rPr>
  </w:style>
  <w:style w:type="paragraph" w:styleId="Footer">
    <w:name w:val="footer"/>
    <w:basedOn w:val="Normal"/>
    <w:link w:val="FooterChar"/>
    <w:uiPriority w:val="99"/>
    <w:rsid w:val="00F037F7"/>
    <w:pPr>
      <w:tabs>
        <w:tab w:val="center" w:pos="4153"/>
        <w:tab w:val="right" w:pos="8306"/>
      </w:tabs>
    </w:pPr>
  </w:style>
  <w:style w:type="character" w:customStyle="1" w:styleId="FooterChar">
    <w:name w:val="Footer Char"/>
    <w:basedOn w:val="DefaultParagraphFont"/>
    <w:link w:val="Footer"/>
    <w:uiPriority w:val="99"/>
    <w:rsid w:val="00F037F7"/>
    <w:rPr>
      <w:rFonts w:ascii="Arial" w:eastAsiaTheme="minorEastAsia" w:hAnsi="Arial" w:cs="Arial"/>
      <w:kern w:val="0"/>
      <w:sz w:val="24"/>
      <w:szCs w:val="24"/>
      <w14:ligatures w14:val="none"/>
    </w:rPr>
  </w:style>
  <w:style w:type="paragraph" w:customStyle="1" w:styleId="Billname">
    <w:name w:val="Billname"/>
    <w:basedOn w:val="Normal"/>
    <w:uiPriority w:val="99"/>
    <w:rsid w:val="00F037F7"/>
    <w:pPr>
      <w:tabs>
        <w:tab w:val="left" w:pos="2400"/>
        <w:tab w:val="left" w:pos="2880"/>
      </w:tabs>
      <w:spacing w:before="1220" w:after="100"/>
    </w:pPr>
    <w:rPr>
      <w:b/>
      <w:bCs/>
      <w:sz w:val="40"/>
      <w:szCs w:val="40"/>
    </w:rPr>
  </w:style>
  <w:style w:type="paragraph" w:customStyle="1" w:styleId="madeunder">
    <w:name w:val="made under"/>
    <w:basedOn w:val="Normal"/>
    <w:uiPriority w:val="99"/>
    <w:rsid w:val="00F037F7"/>
    <w:pPr>
      <w:spacing w:before="180" w:after="60"/>
      <w:jc w:val="both"/>
    </w:pPr>
  </w:style>
  <w:style w:type="paragraph" w:customStyle="1" w:styleId="CoverActName">
    <w:name w:val="CoverActName"/>
    <w:basedOn w:val="Normal"/>
    <w:uiPriority w:val="99"/>
    <w:rsid w:val="00F037F7"/>
    <w:pPr>
      <w:tabs>
        <w:tab w:val="left" w:pos="2600"/>
      </w:tabs>
      <w:spacing w:before="200" w:after="60"/>
      <w:jc w:val="both"/>
    </w:pPr>
    <w:rPr>
      <w:b/>
      <w:bCs/>
    </w:rPr>
  </w:style>
  <w:style w:type="paragraph" w:customStyle="1" w:styleId="N-line3">
    <w:name w:val="N-line3"/>
    <w:basedOn w:val="Normal"/>
    <w:next w:val="Normal"/>
    <w:uiPriority w:val="99"/>
    <w:rsid w:val="00F037F7"/>
    <w:pPr>
      <w:pBdr>
        <w:bottom w:val="single" w:sz="12" w:space="1" w:color="auto"/>
      </w:pBdr>
      <w:jc w:val="both"/>
    </w:pPr>
  </w:style>
  <w:style w:type="paragraph" w:customStyle="1" w:styleId="Amain">
    <w:name w:val="A main"/>
    <w:basedOn w:val="Normal"/>
    <w:rsid w:val="00F037F7"/>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styleId="PageNumber">
    <w:name w:val="page number"/>
    <w:basedOn w:val="DefaultParagraphFont"/>
    <w:uiPriority w:val="99"/>
    <w:rsid w:val="00732565"/>
    <w:rPr>
      <w:rFonts w:ascii="Times New Roman" w:hAnsi="Times New Roman" w:cs="Times New Roman"/>
    </w:rPr>
  </w:style>
  <w:style w:type="paragraph" w:customStyle="1" w:styleId="TableColHd">
    <w:name w:val="TableColHd"/>
    <w:basedOn w:val="Normal"/>
    <w:rsid w:val="009C4B02"/>
    <w:pPr>
      <w:keepNext/>
      <w:tabs>
        <w:tab w:val="left" w:pos="0"/>
      </w:tabs>
      <w:spacing w:after="60"/>
    </w:pPr>
    <w:rPr>
      <w:rFonts w:eastAsia="Times New Roman" w:cs="Times New Roman"/>
      <w:b/>
      <w:sz w:val="18"/>
      <w:szCs w:val="20"/>
    </w:rPr>
  </w:style>
  <w:style w:type="paragraph" w:customStyle="1" w:styleId="TableText">
    <w:name w:val="TableText"/>
    <w:basedOn w:val="Normal"/>
    <w:rsid w:val="009C4B02"/>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F3204F"/>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F3204F"/>
    <w:rPr>
      <w:rFonts w:ascii="CG Times (WN)" w:eastAsia="Times New Roman" w:hAnsi="CG Times (WN)" w:cs="Times New Roman"/>
      <w:kern w:val="0"/>
      <w:sz w:val="24"/>
      <w:szCs w:val="24"/>
      <w:lang w:val="en-GB"/>
      <w14:ligatures w14:val="none"/>
    </w:rPr>
  </w:style>
  <w:style w:type="paragraph" w:customStyle="1" w:styleId="LongTitle">
    <w:name w:val="LongTitle"/>
    <w:basedOn w:val="Normal"/>
    <w:uiPriority w:val="99"/>
    <w:rsid w:val="008026D2"/>
    <w:pPr>
      <w:spacing w:before="240" w:after="60"/>
      <w:jc w:val="both"/>
    </w:pPr>
    <w:rPr>
      <w:rFonts w:ascii="Times New Roman" w:hAnsi="Times New Roman" w:cs="Times New Roman"/>
    </w:rPr>
  </w:style>
  <w:style w:type="table" w:styleId="TableGrid">
    <w:name w:val="Table Grid"/>
    <w:basedOn w:val="TableNormal"/>
    <w:uiPriority w:val="59"/>
    <w:rsid w:val="00A674B8"/>
    <w:pPr>
      <w:spacing w:after="0" w:line="240" w:lineRule="auto"/>
    </w:pPr>
    <w:rPr>
      <w:rFonts w:ascii="Times New Roman" w:eastAsiaTheme="minorEastAsia" w:hAnsi="Times New Roman"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1081</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2025-06-25T02:03:00Z</dcterms:created>
  <dcterms:modified xsi:type="dcterms:W3CDTF">2025-06-25T02:03:00Z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2025-06-11T00:32:53Z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a8da79d3-bbe8-4962-8973-2ce49ddaf8be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