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65B8" w14:textId="77777777" w:rsidR="00AE3380" w:rsidRDefault="001B4CA8">
      <w:pPr>
        <w:pStyle w:val="BodyText"/>
        <w:spacing w:before="62"/>
        <w:rPr>
          <w:rFonts w:ascii="Arial"/>
        </w:rPr>
      </w:pPr>
      <w:r>
        <w:rPr>
          <w:rFonts w:ascii="Arial"/>
        </w:rPr>
        <w:t>Australian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Capital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Territory</w:t>
      </w:r>
    </w:p>
    <w:p w14:paraId="0B3F65BB" w14:textId="3694792C" w:rsidR="00AE3380" w:rsidRDefault="001B4CA8" w:rsidP="00A1064A">
      <w:pPr>
        <w:pStyle w:val="Billname"/>
        <w:spacing w:before="700"/>
      </w:pPr>
      <w:bookmarkStart w:id="0" w:name="_Hlk199400396"/>
      <w:r>
        <w:t>Liquor (Reduction in Annual Licence Fee for</w:t>
      </w:r>
      <w:r w:rsidRPr="00A1064A">
        <w:t xml:space="preserve"> </w:t>
      </w:r>
      <w:r>
        <w:t>Eligible</w:t>
      </w:r>
      <w:r w:rsidRPr="00A1064A">
        <w:t xml:space="preserve"> </w:t>
      </w:r>
      <w:r>
        <w:t>Events)</w:t>
      </w:r>
      <w:r w:rsidRPr="00A1064A">
        <w:t xml:space="preserve"> </w:t>
      </w:r>
      <w:r>
        <w:t>Guidelines</w:t>
      </w:r>
      <w:r w:rsidRPr="00A1064A">
        <w:t xml:space="preserve"> </w:t>
      </w:r>
      <w:r w:rsidR="00362B36">
        <w:t xml:space="preserve">2025 </w:t>
      </w:r>
      <w:r>
        <w:t>(No</w:t>
      </w:r>
      <w:r w:rsidR="00A81E2F">
        <w:t xml:space="preserve"> </w:t>
      </w:r>
      <w:r w:rsidDel="00362B36">
        <w:t>1</w:t>
      </w:r>
      <w:r>
        <w:t>)</w:t>
      </w:r>
    </w:p>
    <w:bookmarkEnd w:id="0"/>
    <w:p w14:paraId="0B3F65BC" w14:textId="6139DE40" w:rsidR="00AE3380" w:rsidRPr="00A1064A" w:rsidRDefault="001B4CA8" w:rsidP="00A1064A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A1064A">
        <w:rPr>
          <w:rFonts w:ascii="Arial" w:eastAsia="Times New Roman" w:hAnsi="Arial" w:cs="Arial"/>
          <w:b/>
          <w:bCs/>
          <w:sz w:val="24"/>
          <w:szCs w:val="20"/>
          <w:lang w:val="en-AU"/>
        </w:rPr>
        <w:t>Disallowable instrument DI202</w:t>
      </w:r>
      <w:r w:rsidR="21B1A931" w:rsidRPr="00A1064A">
        <w:rPr>
          <w:rFonts w:ascii="Arial" w:eastAsia="Times New Roman" w:hAnsi="Arial" w:cs="Arial"/>
          <w:b/>
          <w:bCs/>
          <w:sz w:val="24"/>
          <w:szCs w:val="20"/>
          <w:lang w:val="en-AU"/>
        </w:rPr>
        <w:t>5</w:t>
      </w:r>
      <w:r w:rsidR="00D261F4">
        <w:rPr>
          <w:rFonts w:ascii="Arial" w:eastAsia="Times New Roman" w:hAnsi="Arial" w:cs="Arial"/>
          <w:b/>
          <w:bCs/>
          <w:sz w:val="24"/>
          <w:szCs w:val="20"/>
          <w:lang w:val="en-AU"/>
        </w:rPr>
        <w:t>-130</w:t>
      </w:r>
    </w:p>
    <w:p w14:paraId="0B3F65BE" w14:textId="77777777" w:rsidR="00AE3380" w:rsidRDefault="001B4CA8" w:rsidP="00A1064A">
      <w:pPr>
        <w:pStyle w:val="madeunder"/>
        <w:spacing w:before="300" w:after="0"/>
      </w:pPr>
      <w:r>
        <w:t>made</w:t>
      </w:r>
      <w:r w:rsidRPr="00A1064A">
        <w:t xml:space="preserve"> </w:t>
      </w:r>
      <w:r>
        <w:t xml:space="preserve">under </w:t>
      </w:r>
      <w:r w:rsidRPr="00A1064A">
        <w:t>the</w:t>
      </w:r>
    </w:p>
    <w:p w14:paraId="0B3F65C0" w14:textId="77777777" w:rsidR="00AE3380" w:rsidRPr="00190857" w:rsidRDefault="001B4CA8" w:rsidP="00A1064A">
      <w:pPr>
        <w:pStyle w:val="CoverActName"/>
        <w:spacing w:before="320" w:after="0"/>
        <w:rPr>
          <w:rFonts w:cs="Arial"/>
          <w:sz w:val="20"/>
        </w:rPr>
      </w:pPr>
      <w:r w:rsidRPr="00190857">
        <w:rPr>
          <w:rFonts w:cs="Arial"/>
          <w:sz w:val="20"/>
        </w:rPr>
        <w:t>Liquor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Act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2010,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s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32B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(Licence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–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reduction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in</w:t>
      </w:r>
      <w:r w:rsidRPr="00A1064A">
        <w:rPr>
          <w:rFonts w:cs="Arial"/>
          <w:sz w:val="20"/>
        </w:rPr>
        <w:t xml:space="preserve"> </w:t>
      </w:r>
      <w:r w:rsidRPr="00190857">
        <w:rPr>
          <w:rFonts w:cs="Arial"/>
          <w:sz w:val="20"/>
        </w:rPr>
        <w:t>annual</w:t>
      </w:r>
      <w:r w:rsidRPr="00A1064A">
        <w:rPr>
          <w:rFonts w:cs="Arial"/>
          <w:sz w:val="20"/>
        </w:rPr>
        <w:t xml:space="preserve"> fee)</w:t>
      </w:r>
    </w:p>
    <w:p w14:paraId="3D71BFD2" w14:textId="77777777" w:rsidR="00781CC4" w:rsidRDefault="00781CC4" w:rsidP="00781CC4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FD8A518" w14:textId="77777777" w:rsidR="00781CC4" w:rsidRDefault="00781CC4" w:rsidP="00781CC4">
      <w:pPr>
        <w:pStyle w:val="N-line3"/>
        <w:pBdr>
          <w:bottom w:val="none" w:sz="0" w:space="0" w:color="auto"/>
        </w:pBdr>
      </w:pPr>
    </w:p>
    <w:p w14:paraId="45426056" w14:textId="77777777" w:rsidR="00781CC4" w:rsidRDefault="00781CC4" w:rsidP="00781CC4">
      <w:pPr>
        <w:pStyle w:val="N-line3"/>
        <w:pBdr>
          <w:top w:val="single" w:sz="12" w:space="1" w:color="auto"/>
          <w:bottom w:val="none" w:sz="0" w:space="0" w:color="auto"/>
        </w:pBdr>
      </w:pPr>
    </w:p>
    <w:p w14:paraId="0B3F65C5" w14:textId="77777777" w:rsidR="00AE3380" w:rsidRDefault="001B4CA8">
      <w:pPr>
        <w:ind w:left="100"/>
        <w:rPr>
          <w:b/>
          <w:sz w:val="28"/>
        </w:rPr>
      </w:pPr>
      <w:r>
        <w:rPr>
          <w:b/>
          <w:spacing w:val="-2"/>
          <w:sz w:val="28"/>
        </w:rPr>
        <w:t>Introduction</w:t>
      </w:r>
    </w:p>
    <w:p w14:paraId="0B3F65C6" w14:textId="1C1CF500" w:rsidR="00AE3380" w:rsidRDefault="001B4CA8" w:rsidP="00995282">
      <w:pPr>
        <w:spacing w:before="201" w:line="312" w:lineRule="auto"/>
        <w:ind w:left="10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Liquor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2010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(the</w:t>
      </w:r>
      <w:r>
        <w:rPr>
          <w:spacing w:val="-5"/>
          <w:sz w:val="24"/>
        </w:rPr>
        <w:t xml:space="preserve"> </w:t>
      </w:r>
      <w:r>
        <w:rPr>
          <w:sz w:val="24"/>
        </w:rPr>
        <w:t>Act)</w:t>
      </w:r>
      <w:r>
        <w:rPr>
          <w:spacing w:val="-4"/>
          <w:sz w:val="24"/>
        </w:rPr>
        <w:t xml:space="preserve"> </w:t>
      </w:r>
      <w:r>
        <w:rPr>
          <w:sz w:val="24"/>
        </w:rPr>
        <w:t>regulates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liquor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ACT.</w:t>
      </w:r>
      <w:r>
        <w:rPr>
          <w:spacing w:val="-4"/>
          <w:sz w:val="24"/>
        </w:rPr>
        <w:t xml:space="preserve"> </w:t>
      </w:r>
      <w:r w:rsidR="00CB4089">
        <w:rPr>
          <w:spacing w:val="-4"/>
          <w:sz w:val="24"/>
        </w:rPr>
        <w:t>In 2024, a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broader</w:t>
      </w:r>
      <w:r>
        <w:rPr>
          <w:spacing w:val="-3"/>
          <w:sz w:val="24"/>
        </w:rPr>
        <w:t xml:space="preserve"> </w:t>
      </w:r>
      <w:r>
        <w:rPr>
          <w:sz w:val="24"/>
        </w:rPr>
        <w:t>reform</w:t>
      </w:r>
      <w:r>
        <w:rPr>
          <w:spacing w:val="-6"/>
          <w:sz w:val="24"/>
        </w:rPr>
        <w:t xml:space="preserve"> </w:t>
      </w:r>
      <w:r>
        <w:rPr>
          <w:sz w:val="24"/>
        </w:rPr>
        <w:t>package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3"/>
          <w:sz w:val="24"/>
        </w:rPr>
        <w:t xml:space="preserve"> </w:t>
      </w:r>
      <w:r>
        <w:rPr>
          <w:sz w:val="24"/>
        </w:rPr>
        <w:t>Canberra’s</w:t>
      </w:r>
      <w:r>
        <w:rPr>
          <w:spacing w:val="-5"/>
          <w:sz w:val="24"/>
        </w:rPr>
        <w:t xml:space="preserve"> </w:t>
      </w:r>
      <w:r>
        <w:rPr>
          <w:sz w:val="24"/>
        </w:rPr>
        <w:t>night-time</w:t>
      </w:r>
      <w:r>
        <w:rPr>
          <w:spacing w:val="-6"/>
          <w:sz w:val="24"/>
        </w:rPr>
        <w:t xml:space="preserve"> </w:t>
      </w:r>
      <w:r>
        <w:rPr>
          <w:sz w:val="24"/>
        </w:rPr>
        <w:t>economy, amendments</w:t>
      </w:r>
      <w:r>
        <w:rPr>
          <w:spacing w:val="-3"/>
          <w:sz w:val="24"/>
        </w:rPr>
        <w:t xml:space="preserve"> </w:t>
      </w:r>
      <w:r w:rsidR="00CB4089">
        <w:rPr>
          <w:spacing w:val="-3"/>
          <w:sz w:val="24"/>
        </w:rPr>
        <w:t xml:space="preserve">were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 via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Liquor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(Night-Time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Economy) Amendment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2024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 w:rsidR="00CB4089">
        <w:rPr>
          <w:sz w:val="24"/>
        </w:rPr>
        <w:t>included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z w:val="24"/>
        </w:rPr>
        <w:t>provision</w:t>
      </w:r>
      <w:r>
        <w:rPr>
          <w:spacing w:val="-14"/>
          <w:sz w:val="24"/>
        </w:rPr>
        <w:t xml:space="preserve"> </w:t>
      </w:r>
      <w:r>
        <w:rPr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Act,</w:t>
      </w:r>
      <w:r>
        <w:rPr>
          <w:spacing w:val="-13"/>
          <w:sz w:val="24"/>
        </w:rPr>
        <w:t xml:space="preserve"> </w:t>
      </w:r>
      <w:r>
        <w:rPr>
          <w:sz w:val="24"/>
        </w:rPr>
        <w:t>section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32B </w:t>
      </w:r>
      <w:r>
        <w:rPr>
          <w:b/>
          <w:sz w:val="24"/>
        </w:rPr>
        <w:t>Licence – reduction in annual fee</w:t>
      </w:r>
      <w:r>
        <w:rPr>
          <w:sz w:val="24"/>
        </w:rPr>
        <w:t>.</w:t>
      </w:r>
    </w:p>
    <w:p w14:paraId="0B3F65C7" w14:textId="2E8FDB5F" w:rsidR="00AE3380" w:rsidRDefault="001B4CA8" w:rsidP="00995282">
      <w:pPr>
        <w:pStyle w:val="BodyText"/>
        <w:spacing w:before="201" w:line="312" w:lineRule="auto"/>
        <w:ind w:left="102"/>
      </w:pP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 w:rsidR="00CB4089">
        <w:rPr>
          <w:spacing w:val="-2"/>
        </w:rPr>
        <w:t xml:space="preserve">was </w:t>
      </w:r>
      <w:r>
        <w:t>to</w:t>
      </w:r>
      <w:r>
        <w:rPr>
          <w:spacing w:val="-3"/>
        </w:rPr>
        <w:t xml:space="preserve"> </w:t>
      </w:r>
      <w:r>
        <w:t>incentivise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interstate</w:t>
      </w:r>
      <w:r>
        <w:rPr>
          <w:spacing w:val="-4"/>
        </w:rPr>
        <w:t xml:space="preserve"> </w:t>
      </w:r>
      <w:r>
        <w:rPr>
          <w:spacing w:val="-2"/>
        </w:rPr>
        <w:t>artists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eligible</w:t>
      </w:r>
      <w:r>
        <w:rPr>
          <w:spacing w:val="-4"/>
        </w:rPr>
        <w:t xml:space="preserve"> </w:t>
      </w:r>
      <w:r>
        <w:rPr>
          <w:spacing w:val="-2"/>
        </w:rPr>
        <w:t>licensees</w:t>
      </w:r>
      <w:r>
        <w:rPr>
          <w:spacing w:val="-5"/>
        </w:rPr>
        <w:t xml:space="preserve"> </w:t>
      </w:r>
      <w:r>
        <w:rPr>
          <w:spacing w:val="-2"/>
        </w:rPr>
        <w:t>holding</w:t>
      </w:r>
      <w:r>
        <w:rPr>
          <w:spacing w:val="-5"/>
        </w:rPr>
        <w:t xml:space="preserve"> </w:t>
      </w:r>
      <w:r>
        <w:rPr>
          <w:spacing w:val="-2"/>
        </w:rPr>
        <w:t>eligible</w:t>
      </w:r>
      <w:r>
        <w:rPr>
          <w:spacing w:val="-4"/>
        </w:rPr>
        <w:t xml:space="preserve"> </w:t>
      </w:r>
      <w:r>
        <w:rPr>
          <w:spacing w:val="-2"/>
        </w:rPr>
        <w:t>events</w:t>
      </w:r>
      <w:r>
        <w:rPr>
          <w:spacing w:val="-5"/>
        </w:rPr>
        <w:t xml:space="preserve"> </w:t>
      </w:r>
      <w:r w:rsidR="00012EC9">
        <w:rPr>
          <w:spacing w:val="-2"/>
        </w:rPr>
        <w:t>a</w:t>
      </w:r>
      <w:r>
        <w:rPr>
          <w:spacing w:val="-2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liquor</w:t>
      </w:r>
      <w:r>
        <w:rPr>
          <w:spacing w:val="-7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t>fees</w:t>
      </w:r>
      <w:r w:rsidR="0021567D">
        <w:t xml:space="preserve"> dependent on their occupancy level</w:t>
      </w:r>
      <w:r>
        <w:t>.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 w:rsidR="00CB4089">
        <w:t>incentive would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 circular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CB4089">
        <w:t>would</w:t>
      </w:r>
      <w:r w:rsidR="00CB4089">
        <w:rPr>
          <w:spacing w:val="-4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emerging </w:t>
      </w:r>
      <w:r>
        <w:rPr>
          <w:spacing w:val="-2"/>
        </w:rPr>
        <w:t>artists.</w:t>
      </w:r>
    </w:p>
    <w:p w14:paraId="0B3F65C8" w14:textId="2258998D" w:rsidR="00AE3380" w:rsidRDefault="001B4CA8" w:rsidP="00995282">
      <w:pPr>
        <w:pStyle w:val="BodyText"/>
        <w:spacing w:before="201" w:line="312" w:lineRule="auto"/>
        <w:ind w:left="102"/>
      </w:pPr>
      <w:r>
        <w:t>Additionally,</w:t>
      </w:r>
      <w:r>
        <w:rPr>
          <w:spacing w:val="-14"/>
        </w:rPr>
        <w:t xml:space="preserve"> </w:t>
      </w:r>
      <w:r w:rsidR="00CB4089">
        <w:rPr>
          <w:spacing w:val="-14"/>
        </w:rPr>
        <w:t xml:space="preserve">it was intended that </w:t>
      </w:r>
      <w:r>
        <w:t>the</w:t>
      </w:r>
      <w:r>
        <w:rPr>
          <w:spacing w:val="-14"/>
        </w:rPr>
        <w:t xml:space="preserve"> </w:t>
      </w:r>
      <w:r>
        <w:t>benefit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liquor</w:t>
      </w:r>
      <w:r>
        <w:rPr>
          <w:spacing w:val="-14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fee</w:t>
      </w:r>
      <w:r>
        <w:rPr>
          <w:spacing w:val="-14"/>
        </w:rPr>
        <w:t xml:space="preserve"> </w:t>
      </w:r>
      <w:r>
        <w:t>reduction</w:t>
      </w:r>
      <w:r>
        <w:rPr>
          <w:spacing w:val="-14"/>
        </w:rPr>
        <w:t xml:space="preserve"> </w:t>
      </w:r>
      <w:r w:rsidR="00CB4089">
        <w:rPr>
          <w:spacing w:val="-14"/>
        </w:rPr>
        <w:t xml:space="preserve">for supporting the arts </w:t>
      </w:r>
      <w:r w:rsidR="00CB4089">
        <w:t>would</w:t>
      </w:r>
      <w:r w:rsidR="00CB4089">
        <w:rPr>
          <w:spacing w:val="-13"/>
        </w:rPr>
        <w:t xml:space="preserve"> </w:t>
      </w:r>
      <w:r>
        <w:t>nurture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diverse</w:t>
      </w:r>
      <w:r>
        <w:rPr>
          <w:spacing w:val="-13"/>
        </w:rPr>
        <w:t xml:space="preserve"> </w:t>
      </w:r>
      <w:r>
        <w:t>and lively</w:t>
      </w:r>
      <w:r>
        <w:rPr>
          <w:spacing w:val="-5"/>
        </w:rPr>
        <w:t xml:space="preserve"> </w:t>
      </w:r>
      <w:r>
        <w:t>night-time</w:t>
      </w:r>
      <w:r>
        <w:rPr>
          <w:spacing w:val="-4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Canberra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Canberrans and</w:t>
      </w:r>
      <w:r>
        <w:rPr>
          <w:spacing w:val="-1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Canberra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entertainment</w:t>
      </w:r>
      <w:r>
        <w:rPr>
          <w:spacing w:val="-1"/>
        </w:rPr>
        <w:t xml:space="preserve"> </w:t>
      </w:r>
      <w:r>
        <w:t>sector.</w:t>
      </w:r>
    </w:p>
    <w:p w14:paraId="6C980375" w14:textId="7A5A4105" w:rsidR="00973953" w:rsidRDefault="001B4CA8" w:rsidP="00995282">
      <w:pPr>
        <w:pStyle w:val="BodyText"/>
        <w:spacing w:before="201" w:line="312" w:lineRule="auto"/>
        <w:ind w:left="102"/>
        <w:jc w:val="both"/>
        <w:rPr>
          <w:spacing w:val="-2"/>
        </w:rPr>
      </w:pPr>
      <w:r>
        <w:t>Under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32B</w:t>
      </w:r>
      <w:r>
        <w:rPr>
          <w:spacing w:val="-5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portfolio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 may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payable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liquor</w:t>
      </w:r>
      <w:r>
        <w:rPr>
          <w:spacing w:val="-8"/>
        </w:rPr>
        <w:t xml:space="preserve"> </w:t>
      </w:r>
      <w:r>
        <w:t>licence, consistent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objects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harm</w:t>
      </w:r>
      <w:r>
        <w:rPr>
          <w:spacing w:val="-13"/>
        </w:rPr>
        <w:t xml:space="preserve"> </w:t>
      </w:r>
      <w:r>
        <w:t>minimisation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 xml:space="preserve">safety </w:t>
      </w:r>
      <w:r>
        <w:rPr>
          <w:spacing w:val="-2"/>
        </w:rPr>
        <w:t>principles.</w:t>
      </w:r>
    </w:p>
    <w:p w14:paraId="0B3F65CB" w14:textId="089F915B" w:rsidR="00AE3380" w:rsidRDefault="001B4CA8" w:rsidP="00995282">
      <w:pPr>
        <w:pStyle w:val="BodyText"/>
        <w:spacing w:before="201" w:line="312" w:lineRule="auto"/>
        <w:ind w:left="102"/>
        <w:jc w:val="both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guidelines,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accompanying</w:t>
      </w:r>
      <w:r>
        <w:rPr>
          <w:spacing w:val="-6"/>
        </w:rPr>
        <w:t xml:space="preserve"> </w:t>
      </w:r>
      <w:r>
        <w:rPr>
          <w:spacing w:val="-2"/>
        </w:rPr>
        <w:t>explanatory</w:t>
      </w:r>
      <w:r>
        <w:rPr>
          <w:spacing w:val="-6"/>
        </w:rPr>
        <w:t xml:space="preserve"> </w:t>
      </w:r>
      <w:r>
        <w:rPr>
          <w:spacing w:val="-2"/>
        </w:rPr>
        <w:t>statement,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published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 xml:space="preserve">assist </w:t>
      </w:r>
      <w:r>
        <w:t>those</w:t>
      </w:r>
      <w:r>
        <w:rPr>
          <w:spacing w:val="-12"/>
        </w:rPr>
        <w:t xml:space="preserve"> </w:t>
      </w:r>
      <w:r>
        <w:t>liquor</w:t>
      </w:r>
      <w:r>
        <w:rPr>
          <w:spacing w:val="-12"/>
        </w:rPr>
        <w:t xml:space="preserve"> </w:t>
      </w:r>
      <w:r>
        <w:t>licensees</w:t>
      </w:r>
      <w:r>
        <w:rPr>
          <w:spacing w:val="-12"/>
        </w:rPr>
        <w:t xml:space="preserve"> </w:t>
      </w:r>
      <w:r>
        <w:t>seeking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reduce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liquor</w:t>
      </w:r>
      <w:r>
        <w:rPr>
          <w:spacing w:val="-12"/>
        </w:rPr>
        <w:t xml:space="preserve"> </w:t>
      </w:r>
      <w:r>
        <w:t>licence</w:t>
      </w:r>
      <w:r>
        <w:rPr>
          <w:spacing w:val="-12"/>
        </w:rPr>
        <w:t xml:space="preserve"> </w:t>
      </w:r>
      <w:r>
        <w:t>fee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supporting and showcasing</w:t>
      </w:r>
      <w:r>
        <w:rPr>
          <w:spacing w:val="-2"/>
        </w:rPr>
        <w:t xml:space="preserve"> </w:t>
      </w:r>
      <w:r>
        <w:t>artists,</w:t>
      </w:r>
      <w:r>
        <w:rPr>
          <w:spacing w:val="-4"/>
        </w:rPr>
        <w:t xml:space="preserve"> </w:t>
      </w:r>
      <w:r>
        <w:t>musicians,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activities.</w:t>
      </w:r>
    </w:p>
    <w:p w14:paraId="7A72250A" w14:textId="77777777" w:rsidR="00FA3521" w:rsidRPr="007D397A" w:rsidRDefault="00FA3521" w:rsidP="00D32695">
      <w:pPr>
        <w:pStyle w:val="BodyText"/>
        <w:spacing w:before="200" w:line="312" w:lineRule="auto"/>
        <w:rPr>
          <w:u w:val="single"/>
        </w:rPr>
      </w:pPr>
      <w:r w:rsidRPr="007D397A">
        <w:rPr>
          <w:u w:val="single"/>
        </w:rPr>
        <w:lastRenderedPageBreak/>
        <w:t>Amendments to the Guidelines</w:t>
      </w:r>
    </w:p>
    <w:p w14:paraId="303EA6A6" w14:textId="68506FA5" w:rsidR="00CB4089" w:rsidRDefault="00CB4089" w:rsidP="00D32695">
      <w:pPr>
        <w:pStyle w:val="BodyText"/>
        <w:spacing w:before="200" w:line="312" w:lineRule="auto"/>
      </w:pPr>
      <w:r>
        <w:t xml:space="preserve">Guidelines were originally made effective on 9 July 2024 [DI2024-208]. These have now been amended and the purpose of this Explanatory Statement is to outline these amendments. </w:t>
      </w:r>
    </w:p>
    <w:p w14:paraId="5A86E520" w14:textId="094DF5F6" w:rsidR="00D32695" w:rsidRDefault="00CB4089" w:rsidP="00D32695">
      <w:pPr>
        <w:pStyle w:val="BodyText"/>
        <w:spacing w:before="200" w:line="312" w:lineRule="auto"/>
      </w:pPr>
      <w:r>
        <w:t xml:space="preserve">The </w:t>
      </w:r>
      <w:r w:rsidR="007D397A" w:rsidRPr="00EE3CDA">
        <w:rPr>
          <w:i/>
          <w:iCs/>
          <w:lang w:val="en-AU"/>
        </w:rPr>
        <w:t>Who is eligible to apply for a reduction to an annual liquor fee?</w:t>
      </w:r>
      <w:r w:rsidR="007D397A" w:rsidRPr="007D397A">
        <w:rPr>
          <w:b/>
          <w:bCs/>
          <w:lang w:val="en-AU"/>
        </w:rPr>
        <w:t xml:space="preserve"> </w:t>
      </w:r>
      <w:r w:rsidR="005B4FFD">
        <w:t xml:space="preserve">section of the </w:t>
      </w:r>
      <w:r w:rsidR="005B73DF">
        <w:t>guidelines ha</w:t>
      </w:r>
      <w:r w:rsidR="00FA3521">
        <w:t>s</w:t>
      </w:r>
      <w:r w:rsidR="005B73DF">
        <w:t xml:space="preserve"> been updated </w:t>
      </w:r>
      <w:r w:rsidR="009A7BD4">
        <w:t xml:space="preserve">to </w:t>
      </w:r>
      <w:r w:rsidR="005B4FFD">
        <w:t xml:space="preserve">reflect </w:t>
      </w:r>
      <w:r>
        <w:t xml:space="preserve">that, </w:t>
      </w:r>
      <w:r w:rsidR="00066220">
        <w:t xml:space="preserve">beginning </w:t>
      </w:r>
      <w:r>
        <w:t xml:space="preserve">1 July 2025, </w:t>
      </w:r>
      <w:r w:rsidR="005B4FFD">
        <w:t xml:space="preserve">the </w:t>
      </w:r>
      <w:r>
        <w:t xml:space="preserve">liquor annual fee </w:t>
      </w:r>
      <w:r w:rsidR="005B4FFD">
        <w:t xml:space="preserve">reductions </w:t>
      </w:r>
      <w:r w:rsidR="00AB323F">
        <w:t>w</w:t>
      </w:r>
      <w:r w:rsidR="005B4FFD">
        <w:t xml:space="preserve">ill be expanded to eligible </w:t>
      </w:r>
      <w:r w:rsidR="004A4DB7">
        <w:t xml:space="preserve">licensees </w:t>
      </w:r>
      <w:r w:rsidR="005B4FFD">
        <w:t>with occupancies of 350 people or less. Additionally, the</w:t>
      </w:r>
      <w:r w:rsidR="003708AB">
        <w:t xml:space="preserve"> </w:t>
      </w:r>
      <w:r w:rsidR="007D397A">
        <w:rPr>
          <w:i/>
          <w:iCs/>
        </w:rPr>
        <w:t>W</w:t>
      </w:r>
      <w:r w:rsidR="005B4FFD" w:rsidRPr="007D397A">
        <w:rPr>
          <w:i/>
          <w:iCs/>
        </w:rPr>
        <w:t xml:space="preserve">hat will the reduction to the annual liquor licence </w:t>
      </w:r>
      <w:r w:rsidR="00FA3521" w:rsidRPr="007D397A">
        <w:rPr>
          <w:i/>
          <w:iCs/>
        </w:rPr>
        <w:t>fee</w:t>
      </w:r>
      <w:r w:rsidR="00FA3521">
        <w:t xml:space="preserve"> section </w:t>
      </w:r>
      <w:r w:rsidR="005B4FFD">
        <w:t>has been amended to reflect that e</w:t>
      </w:r>
      <w:r w:rsidR="00D61C7A">
        <w:t xml:space="preserve">ligible </w:t>
      </w:r>
      <w:r w:rsidR="004A4DB7">
        <w:t xml:space="preserve">licensees </w:t>
      </w:r>
      <w:r w:rsidR="005A25C8">
        <w:t>with an occupan</w:t>
      </w:r>
      <w:r w:rsidR="00214A09">
        <w:t>c</w:t>
      </w:r>
      <w:r w:rsidR="005A25C8">
        <w:t>y over 150</w:t>
      </w:r>
      <w:r w:rsidR="00214A09">
        <w:t xml:space="preserve"> people</w:t>
      </w:r>
      <w:r>
        <w:t>,</w:t>
      </w:r>
      <w:r w:rsidR="00214A09">
        <w:t xml:space="preserve"> but less than or equal to 350 people</w:t>
      </w:r>
      <w:r>
        <w:t>,</w:t>
      </w:r>
      <w:r w:rsidR="00214A09">
        <w:t xml:space="preserve"> </w:t>
      </w:r>
      <w:r w:rsidR="002C1B6A">
        <w:t xml:space="preserve">can apply for a 50 per cent reduction on their annual liquor licence fee. </w:t>
      </w:r>
      <w:r w:rsidR="00D32695">
        <w:t xml:space="preserve">The existing 80 per cent fee reductions for eligible </w:t>
      </w:r>
      <w:r w:rsidR="004A4DB7">
        <w:t xml:space="preserve">licensees </w:t>
      </w:r>
      <w:r w:rsidR="00D32695" w:rsidRPr="004F5A44">
        <w:t>with an occupancy of 150 </w:t>
      </w:r>
      <w:r w:rsidR="00D32695">
        <w:t>people or less remains.</w:t>
      </w:r>
    </w:p>
    <w:p w14:paraId="13667A4C" w14:textId="2C6B157F" w:rsidR="005B73DF" w:rsidRDefault="00F66E70" w:rsidP="005B73DF">
      <w:pPr>
        <w:pStyle w:val="BodyText"/>
        <w:spacing w:before="201" w:line="312" w:lineRule="auto"/>
        <w:ind w:left="102"/>
      </w:pPr>
      <w:r>
        <w:t>T</w:t>
      </w:r>
      <w:r w:rsidR="005B73DF">
        <w:t xml:space="preserve">his change ensures the reform benefits a larger number of hospitality businesses and venues that are critical for the strength and diversity of Canberra’s night-time economy, as well as fostering a broader range </w:t>
      </w:r>
      <w:r w:rsidR="00F04D2B">
        <w:t xml:space="preserve">of </w:t>
      </w:r>
      <w:r w:rsidR="005B73DF">
        <w:t>venues that are vital to support developing artists.</w:t>
      </w:r>
    </w:p>
    <w:p w14:paraId="5162C8C6" w14:textId="318480F5" w:rsidR="00D32695" w:rsidRDefault="005B4FFD" w:rsidP="007D397A">
      <w:pPr>
        <w:pStyle w:val="BodyText"/>
        <w:spacing w:before="201" w:line="312" w:lineRule="auto"/>
        <w:ind w:left="102"/>
      </w:pPr>
      <w:r>
        <w:t>The</w:t>
      </w:r>
      <w:r w:rsidR="00AB323F">
        <w:t xml:space="preserve"> </w:t>
      </w:r>
      <w:r w:rsidR="007D397A" w:rsidRPr="00EE3CDA">
        <w:rPr>
          <w:i/>
          <w:iCs/>
          <w:lang w:val="en-AU"/>
        </w:rPr>
        <w:t>What evidentiary requirements are there?</w:t>
      </w:r>
      <w:r w:rsidR="007D397A" w:rsidRPr="007D397A">
        <w:rPr>
          <w:b/>
          <w:bCs/>
          <w:lang w:val="en-AU"/>
        </w:rPr>
        <w:t xml:space="preserve"> </w:t>
      </w:r>
      <w:r w:rsidR="00AB323F">
        <w:t>section of the</w:t>
      </w:r>
      <w:r>
        <w:t xml:space="preserve"> guidelines h</w:t>
      </w:r>
      <w:r w:rsidR="00AB323F">
        <w:t>as</w:t>
      </w:r>
      <w:r w:rsidR="00D32695">
        <w:t xml:space="preserve"> </w:t>
      </w:r>
      <w:r w:rsidR="00FA3521">
        <w:t xml:space="preserve">also </w:t>
      </w:r>
      <w:r w:rsidR="00D32695">
        <w:t>been updated to</w:t>
      </w:r>
      <w:r>
        <w:t xml:space="preserve"> revise </w:t>
      </w:r>
      <w:r w:rsidR="00D32695">
        <w:t xml:space="preserve">the </w:t>
      </w:r>
      <w:r w:rsidR="00FA3521">
        <w:t>types of evidence that</w:t>
      </w:r>
      <w:r w:rsidR="00D32695">
        <w:t xml:space="preserve"> applicants can provide to demonstrate that an event has taken place</w:t>
      </w:r>
      <w:r w:rsidR="00267C44">
        <w:t xml:space="preserve">. Amendments will also </w:t>
      </w:r>
      <w:r w:rsidR="00D32695" w:rsidRPr="007D397A">
        <w:t>provide additional clarity around the provision of required information and possible outcomes of assessment</w:t>
      </w:r>
      <w:r w:rsidR="00AB323F">
        <w:t xml:space="preserve">. </w:t>
      </w:r>
    </w:p>
    <w:p w14:paraId="4CF91FF6" w14:textId="196CB40C" w:rsidR="00D32695" w:rsidRDefault="00D32695" w:rsidP="00D32695">
      <w:pPr>
        <w:pStyle w:val="BodyText"/>
        <w:spacing w:before="201" w:line="312" w:lineRule="auto"/>
      </w:pPr>
      <w:r>
        <w:t xml:space="preserve">These amendments have been made </w:t>
      </w:r>
      <w:r w:rsidR="00AB323F">
        <w:t xml:space="preserve">to reflect learnings from implementing the guidelines </w:t>
      </w:r>
      <w:r w:rsidR="00FA3521">
        <w:t>since their introduction</w:t>
      </w:r>
      <w:r w:rsidR="00AB323F">
        <w:t xml:space="preserve"> in July 2024</w:t>
      </w:r>
      <w:r w:rsidR="00FA3521">
        <w:t>. The changes</w:t>
      </w:r>
      <w:r w:rsidR="00AB323F">
        <w:t xml:space="preserve"> will</w:t>
      </w:r>
      <w:r>
        <w:t xml:space="preserve"> support the consideration and approval </w:t>
      </w:r>
      <w:r w:rsidR="00267C44">
        <w:t xml:space="preserve">process </w:t>
      </w:r>
      <w:r>
        <w:t>of applications.</w:t>
      </w:r>
    </w:p>
    <w:p w14:paraId="6CEE828D" w14:textId="5A5BB874" w:rsidR="00AB323F" w:rsidRDefault="00AB323F" w:rsidP="007D397A">
      <w:pPr>
        <w:pStyle w:val="BodyText"/>
        <w:spacing w:before="201" w:line="312" w:lineRule="auto"/>
      </w:pPr>
      <w:r>
        <w:t>The</w:t>
      </w:r>
      <w:r w:rsidRPr="007D397A">
        <w:t xml:space="preserve"> </w:t>
      </w:r>
      <w:r>
        <w:t xml:space="preserve">guidelines have also been updated to reflect that applications will be refused if the required information is not provided. </w:t>
      </w:r>
    </w:p>
    <w:p w14:paraId="0B3F65CC" w14:textId="77777777" w:rsidR="00AE3380" w:rsidRDefault="001B4CA8" w:rsidP="00995282">
      <w:pPr>
        <w:pStyle w:val="Heading1"/>
        <w:spacing w:before="201"/>
        <w:ind w:left="102"/>
      </w:pPr>
      <w:r>
        <w:rPr>
          <w:spacing w:val="-4"/>
        </w:rPr>
        <w:t>Fees</w:t>
      </w:r>
    </w:p>
    <w:p w14:paraId="0B3F65CD" w14:textId="77777777" w:rsidR="00AE3380" w:rsidRDefault="001B4CA8" w:rsidP="00995282">
      <w:pPr>
        <w:pStyle w:val="BodyText"/>
        <w:spacing w:before="201" w:line="312" w:lineRule="auto"/>
        <w:ind w:left="102"/>
      </w:pPr>
      <w:r>
        <w:t>Section</w:t>
      </w:r>
      <w:r>
        <w:rPr>
          <w:spacing w:val="-2"/>
        </w:rPr>
        <w:t xml:space="preserve"> </w:t>
      </w:r>
      <w:r>
        <w:t>227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Minister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Act. Section</w:t>
      </w:r>
      <w:r>
        <w:rPr>
          <w:spacing w:val="-2"/>
        </w:rPr>
        <w:t xml:space="preserve"> </w:t>
      </w:r>
      <w:r>
        <w:t>32A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Commissioner</w:t>
      </w:r>
      <w:r>
        <w:rPr>
          <w:spacing w:val="-3"/>
        </w:rPr>
        <w:t xml:space="preserve"> </w:t>
      </w:r>
      <w:r>
        <w:t>the annual</w:t>
      </w:r>
      <w:r>
        <w:rPr>
          <w:spacing w:val="-14"/>
        </w:rPr>
        <w:t xml:space="preserve"> </w:t>
      </w:r>
      <w:r>
        <w:t>fee</w:t>
      </w:r>
      <w:r>
        <w:rPr>
          <w:spacing w:val="-14"/>
        </w:rPr>
        <w:t xml:space="preserve"> </w:t>
      </w:r>
      <w:r>
        <w:t>determined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licence.</w:t>
      </w:r>
      <w:r>
        <w:rPr>
          <w:spacing w:val="-14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fees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calculated</w:t>
      </w:r>
      <w:r>
        <w:rPr>
          <w:spacing w:val="-13"/>
        </w:rPr>
        <w:t xml:space="preserve"> </w:t>
      </w:r>
      <w:r>
        <w:t>based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t>of licence,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occupancy</w:t>
      </w:r>
      <w:r>
        <w:rPr>
          <w:spacing w:val="-5"/>
        </w:rPr>
        <w:t xml:space="preserve"> </w:t>
      </w:r>
      <w:r>
        <w:t>loading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is permitted to serve alcohol up to.</w:t>
      </w:r>
    </w:p>
    <w:p w14:paraId="0B3F65CE" w14:textId="7F275CF4" w:rsidR="00AE3380" w:rsidRDefault="001B4CA8" w:rsidP="00995282">
      <w:pPr>
        <w:pStyle w:val="BodyText"/>
        <w:spacing w:before="201" w:line="312" w:lineRule="auto"/>
        <w:ind w:left="102"/>
      </w:pPr>
      <w:r>
        <w:t>The</w:t>
      </w:r>
      <w:r>
        <w:rPr>
          <w:spacing w:val="-14"/>
        </w:rPr>
        <w:t xml:space="preserve"> </w:t>
      </w:r>
      <w:r>
        <w:t>latest</w:t>
      </w:r>
      <w:r>
        <w:rPr>
          <w:spacing w:val="-14"/>
        </w:rPr>
        <w:t xml:space="preserve"> </w:t>
      </w:r>
      <w:r>
        <w:t>version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Fee</w:t>
      </w:r>
      <w:r>
        <w:rPr>
          <w:spacing w:val="-14"/>
        </w:rPr>
        <w:t xml:space="preserve"> </w:t>
      </w:r>
      <w:r>
        <w:t>Determination</w:t>
      </w:r>
      <w:r>
        <w:rPr>
          <w:spacing w:val="-13"/>
        </w:rPr>
        <w:t xml:space="preserve"> </w:t>
      </w:r>
      <w:r>
        <w:t>Instrument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found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ACT Legislation Register </w:t>
      </w:r>
      <w:hyperlink r:id="rId10">
        <w:r w:rsidR="00AE3380">
          <w:rPr>
            <w:color w:val="0000FF"/>
            <w:u w:val="single" w:color="0000FF"/>
          </w:rPr>
          <w:t>here</w:t>
        </w:r>
      </w:hyperlink>
      <w:r w:rsidR="00E13C90">
        <w:t xml:space="preserve"> (click on the “Regulations &amp; Instruments” tab)</w:t>
      </w:r>
      <w:r>
        <w:t>.</w:t>
      </w:r>
    </w:p>
    <w:p w14:paraId="0B3F65CF" w14:textId="77777777" w:rsidR="00AE3380" w:rsidRDefault="001B4CA8" w:rsidP="00E521C3">
      <w:pPr>
        <w:pStyle w:val="Heading1"/>
        <w:spacing w:before="201"/>
        <w:ind w:left="102"/>
      </w:pPr>
      <w:r>
        <w:rPr>
          <w:spacing w:val="-2"/>
        </w:rPr>
        <w:lastRenderedPageBreak/>
        <w:t>Purpose</w:t>
      </w:r>
    </w:p>
    <w:p w14:paraId="0B3F65D0" w14:textId="77777777" w:rsidR="00AE3380" w:rsidRDefault="001B4CA8" w:rsidP="00995282">
      <w:pPr>
        <w:pStyle w:val="BodyText"/>
        <w:spacing w:before="201"/>
        <w:ind w:left="102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guidelines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intended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prescriptive</w:t>
      </w:r>
      <w:r>
        <w:rPr>
          <w:spacing w:val="-5"/>
        </w:rPr>
        <w:t xml:space="preserve"> </w:t>
      </w:r>
      <w:r>
        <w:rPr>
          <w:spacing w:val="-2"/>
        </w:rPr>
        <w:t>manual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assist</w:t>
      </w:r>
      <w:r>
        <w:rPr>
          <w:spacing w:val="-5"/>
        </w:rPr>
        <w:t xml:space="preserve"> </w:t>
      </w:r>
      <w:r>
        <w:rPr>
          <w:spacing w:val="-2"/>
        </w:rPr>
        <w:t>liquor</w:t>
      </w:r>
      <w:r>
        <w:rPr>
          <w:spacing w:val="-5"/>
        </w:rPr>
        <w:t xml:space="preserve"> </w:t>
      </w:r>
      <w:r>
        <w:rPr>
          <w:spacing w:val="-2"/>
        </w:rPr>
        <w:t>licensees</w:t>
      </w:r>
      <w:r>
        <w:rPr>
          <w:spacing w:val="-5"/>
        </w:rPr>
        <w:t xml:space="preserve"> to:</w:t>
      </w:r>
    </w:p>
    <w:p w14:paraId="0B3F65D1" w14:textId="77777777" w:rsidR="00AE3380" w:rsidRDefault="001B4CA8" w:rsidP="000678BF">
      <w:pPr>
        <w:pStyle w:val="ListParagraph"/>
        <w:numPr>
          <w:ilvl w:val="0"/>
          <w:numId w:val="1"/>
        </w:numPr>
        <w:tabs>
          <w:tab w:val="left" w:pos="868"/>
        </w:tabs>
        <w:spacing w:before="290"/>
        <w:ind w:left="867" w:hanging="357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showcasing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reform;</w:t>
      </w:r>
    </w:p>
    <w:p w14:paraId="0B3F65D2" w14:textId="77777777" w:rsidR="00AE3380" w:rsidRDefault="001B4CA8" w:rsidP="000678BF">
      <w:pPr>
        <w:pStyle w:val="ListParagraph"/>
        <w:numPr>
          <w:ilvl w:val="0"/>
          <w:numId w:val="1"/>
        </w:numPr>
        <w:tabs>
          <w:tab w:val="left" w:pos="868"/>
        </w:tabs>
        <w:ind w:left="867" w:hanging="357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licensees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reform;</w:t>
      </w:r>
    </w:p>
    <w:p w14:paraId="0B3F65D3" w14:textId="77777777" w:rsidR="00AE3380" w:rsidRDefault="001B4CA8" w:rsidP="000678BF">
      <w:pPr>
        <w:pStyle w:val="ListParagraph"/>
        <w:numPr>
          <w:ilvl w:val="0"/>
          <w:numId w:val="1"/>
        </w:numPr>
        <w:tabs>
          <w:tab w:val="left" w:pos="868"/>
        </w:tabs>
        <w:ind w:left="867" w:hanging="357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licensees;</w:t>
      </w:r>
    </w:p>
    <w:p w14:paraId="0B3F65D4" w14:textId="77777777" w:rsidR="00AE3380" w:rsidRDefault="001B4CA8" w:rsidP="000678BF">
      <w:pPr>
        <w:pStyle w:val="ListParagraph"/>
        <w:numPr>
          <w:ilvl w:val="0"/>
          <w:numId w:val="1"/>
        </w:numPr>
        <w:tabs>
          <w:tab w:val="left" w:pos="868"/>
        </w:tabs>
        <w:spacing w:before="290" w:line="307" w:lineRule="auto"/>
        <w:ind w:left="867" w:hanging="357"/>
        <w:rPr>
          <w:sz w:val="24"/>
        </w:rPr>
      </w:pPr>
      <w:r>
        <w:rPr>
          <w:sz w:val="24"/>
        </w:rPr>
        <w:t>understand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criteria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eligible</w:t>
      </w:r>
      <w:r>
        <w:rPr>
          <w:spacing w:val="-13"/>
          <w:sz w:val="24"/>
        </w:rPr>
        <w:t xml:space="preserve"> </w:t>
      </w:r>
      <w:r>
        <w:rPr>
          <w:sz w:val="24"/>
        </w:rPr>
        <w:t>licensee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meet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order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considered for the fee reduction;</w:t>
      </w:r>
    </w:p>
    <w:p w14:paraId="0B3F65D5" w14:textId="77777777" w:rsidR="00AE3380" w:rsidRDefault="001B4CA8" w:rsidP="000678BF">
      <w:pPr>
        <w:pStyle w:val="ListParagraph"/>
        <w:numPr>
          <w:ilvl w:val="0"/>
          <w:numId w:val="1"/>
        </w:numPr>
        <w:tabs>
          <w:tab w:val="left" w:pos="868"/>
        </w:tabs>
        <w:spacing w:line="307" w:lineRule="auto"/>
        <w:ind w:left="867" w:hanging="357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evidentiary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application </w:t>
      </w:r>
      <w:r>
        <w:rPr>
          <w:sz w:val="24"/>
        </w:rPr>
        <w:t>for the fee reduction;</w:t>
      </w:r>
    </w:p>
    <w:p w14:paraId="0B3F65D6" w14:textId="77777777" w:rsidR="00AE3380" w:rsidRDefault="001B4CA8" w:rsidP="00197449">
      <w:pPr>
        <w:pStyle w:val="ListParagraph"/>
        <w:numPr>
          <w:ilvl w:val="0"/>
          <w:numId w:val="1"/>
        </w:numPr>
        <w:tabs>
          <w:tab w:val="left" w:pos="868"/>
        </w:tabs>
        <w:ind w:left="867" w:hanging="357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licensee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reduction;</w:t>
      </w:r>
    </w:p>
    <w:p w14:paraId="0B3F65D7" w14:textId="77777777" w:rsidR="00AE3380" w:rsidRDefault="001B4CA8" w:rsidP="000678BF">
      <w:pPr>
        <w:pStyle w:val="ListParagraph"/>
        <w:numPr>
          <w:ilvl w:val="0"/>
          <w:numId w:val="1"/>
        </w:numPr>
        <w:tabs>
          <w:tab w:val="left" w:pos="868"/>
        </w:tabs>
        <w:spacing w:line="310" w:lineRule="auto"/>
        <w:ind w:left="867" w:hanging="357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Fair</w:t>
      </w:r>
      <w:r>
        <w:rPr>
          <w:spacing w:val="-1"/>
          <w:sz w:val="24"/>
        </w:rPr>
        <w:t xml:space="preserve"> </w:t>
      </w:r>
      <w:r>
        <w:rPr>
          <w:sz w:val="24"/>
        </w:rPr>
        <w:t>Trading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decide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an application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fee</w:t>
      </w:r>
      <w:r>
        <w:rPr>
          <w:spacing w:val="-14"/>
          <w:sz w:val="24"/>
        </w:rPr>
        <w:t xml:space="preserve"> </w:t>
      </w:r>
      <w:r>
        <w:rPr>
          <w:sz w:val="24"/>
        </w:rPr>
        <w:t>reduction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successful,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how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fee</w:t>
      </w:r>
      <w:r>
        <w:rPr>
          <w:spacing w:val="-14"/>
          <w:sz w:val="24"/>
        </w:rPr>
        <w:t xml:space="preserve"> </w:t>
      </w:r>
      <w:r>
        <w:rPr>
          <w:sz w:val="24"/>
        </w:rPr>
        <w:t>reduction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be applied; and</w:t>
      </w:r>
    </w:p>
    <w:p w14:paraId="0B3F65D8" w14:textId="77777777" w:rsidR="00AE3380" w:rsidRDefault="001B4CA8" w:rsidP="000678BF">
      <w:pPr>
        <w:pStyle w:val="ListParagraph"/>
        <w:numPr>
          <w:ilvl w:val="0"/>
          <w:numId w:val="1"/>
        </w:numPr>
        <w:tabs>
          <w:tab w:val="left" w:pos="868"/>
        </w:tabs>
        <w:ind w:left="867" w:hanging="357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obligations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minimising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risk.</w:t>
      </w:r>
    </w:p>
    <w:p w14:paraId="0B3F65DA" w14:textId="77777777" w:rsidR="00AE3380" w:rsidRDefault="001B4CA8" w:rsidP="00E521C3">
      <w:pPr>
        <w:pStyle w:val="Heading1"/>
        <w:spacing w:before="201"/>
        <w:ind w:left="102"/>
      </w:pPr>
      <w:r>
        <w:t>Consistency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rPr>
          <w:spacing w:val="-2"/>
        </w:rPr>
        <w:t>rights</w:t>
      </w:r>
    </w:p>
    <w:p w14:paraId="74C851D7" w14:textId="2E716313" w:rsidR="001B4CA8" w:rsidRDefault="001B4CA8" w:rsidP="00E13C90">
      <w:pPr>
        <w:spacing w:before="201" w:line="312" w:lineRule="auto"/>
        <w:ind w:left="1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compatibility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Liquor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(Reduction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Licence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Eligible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Events) Guidelines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202</w:t>
      </w:r>
      <w:r w:rsidR="00FA3521">
        <w:rPr>
          <w:i/>
          <w:sz w:val="24"/>
        </w:rPr>
        <w:t>5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2004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(HR</w:t>
      </w:r>
      <w:r>
        <w:rPr>
          <w:spacing w:val="-14"/>
          <w:sz w:val="24"/>
        </w:rPr>
        <w:t xml:space="preserve"> </w:t>
      </w:r>
      <w:r>
        <w:rPr>
          <w:sz w:val="24"/>
        </w:rPr>
        <w:t>Act)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1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3"/>
          <w:sz w:val="24"/>
        </w:rPr>
        <w:t xml:space="preserve"> </w:t>
      </w:r>
      <w:r>
        <w:rPr>
          <w:sz w:val="24"/>
        </w:rPr>
        <w:t>during its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-4"/>
          <w:sz w:val="24"/>
        </w:rPr>
        <w:t xml:space="preserve"> </w:t>
      </w:r>
      <w:r w:rsidR="0021567D">
        <w:rPr>
          <w:spacing w:val="-4"/>
          <w:sz w:val="24"/>
        </w:rPr>
        <w:t xml:space="preserve">The declaration does not engage any human rights under the HR </w:t>
      </w:r>
      <w:r w:rsidR="00AB323F">
        <w:rPr>
          <w:spacing w:val="-4"/>
          <w:sz w:val="24"/>
        </w:rPr>
        <w:t>A</w:t>
      </w:r>
      <w:r w:rsidR="0021567D">
        <w:rPr>
          <w:spacing w:val="-4"/>
          <w:sz w:val="24"/>
        </w:rPr>
        <w:t>ct and therefore is consistent with the Act.</w:t>
      </w:r>
    </w:p>
    <w:sectPr w:rsidR="001B4CA8" w:rsidSect="00A106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00" w:right="1559" w:bottom="940" w:left="170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8916" w14:textId="77777777" w:rsidR="008874F6" w:rsidRDefault="008874F6">
      <w:r>
        <w:separator/>
      </w:r>
    </w:p>
  </w:endnote>
  <w:endnote w:type="continuationSeparator" w:id="0">
    <w:p w14:paraId="2BEAC016" w14:textId="77777777" w:rsidR="008874F6" w:rsidRDefault="008874F6">
      <w:r>
        <w:continuationSeparator/>
      </w:r>
    </w:p>
  </w:endnote>
  <w:endnote w:type="continuationNotice" w:id="1">
    <w:p w14:paraId="5FB8B823" w14:textId="77777777" w:rsidR="008874F6" w:rsidRDefault="00887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46C4" w14:textId="77777777" w:rsidR="00963283" w:rsidRDefault="00963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907A" w14:textId="3C0F3570" w:rsidR="00190857" w:rsidRPr="00963283" w:rsidRDefault="00963283" w:rsidP="00963283">
    <w:pPr>
      <w:pStyle w:val="Footer"/>
      <w:jc w:val="center"/>
      <w:rPr>
        <w:rFonts w:ascii="Arial" w:hAnsi="Arial" w:cs="Arial"/>
        <w:sz w:val="14"/>
        <w:szCs w:val="14"/>
      </w:rPr>
    </w:pPr>
    <w:r w:rsidRPr="0096328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7317" w14:textId="77777777" w:rsidR="00963283" w:rsidRDefault="00963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15AE" w14:textId="77777777" w:rsidR="008874F6" w:rsidRDefault="008874F6">
      <w:r>
        <w:separator/>
      </w:r>
    </w:p>
  </w:footnote>
  <w:footnote w:type="continuationSeparator" w:id="0">
    <w:p w14:paraId="17C42585" w14:textId="77777777" w:rsidR="008874F6" w:rsidRDefault="008874F6">
      <w:r>
        <w:continuationSeparator/>
      </w:r>
    </w:p>
  </w:footnote>
  <w:footnote w:type="continuationNotice" w:id="1">
    <w:p w14:paraId="628B386A" w14:textId="77777777" w:rsidR="008874F6" w:rsidRDefault="00887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6521" w14:textId="77777777" w:rsidR="00963283" w:rsidRDefault="00963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2318" w14:textId="77777777" w:rsidR="00963283" w:rsidRDefault="00963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0DDE" w14:textId="77777777" w:rsidR="00963283" w:rsidRDefault="00963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7166"/>
    <w:multiLevelType w:val="hybridMultilevel"/>
    <w:tmpl w:val="45960FD6"/>
    <w:lvl w:ilvl="0" w:tplc="DCCAEE32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EE439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9898A468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C78AAA4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EC889FCA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B75CC934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 w:tplc="788C3548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7" w:tplc="86D295C4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8" w:tplc="F46C999E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197AD6"/>
    <w:multiLevelType w:val="hybridMultilevel"/>
    <w:tmpl w:val="EFCC13C6"/>
    <w:lvl w:ilvl="0" w:tplc="34FE6F44"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10E4A8E"/>
    <w:multiLevelType w:val="hybridMultilevel"/>
    <w:tmpl w:val="D02497C0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EDB631C"/>
    <w:multiLevelType w:val="hybridMultilevel"/>
    <w:tmpl w:val="F67C9740"/>
    <w:lvl w:ilvl="0" w:tplc="88BC378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925677">
    <w:abstractNumId w:val="0"/>
  </w:num>
  <w:num w:numId="2" w16cid:durableId="901789359">
    <w:abstractNumId w:val="1"/>
  </w:num>
  <w:num w:numId="3" w16cid:durableId="2089112406">
    <w:abstractNumId w:val="2"/>
  </w:num>
  <w:num w:numId="4" w16cid:durableId="183267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80"/>
    <w:rsid w:val="000072BD"/>
    <w:rsid w:val="00012EC9"/>
    <w:rsid w:val="00066220"/>
    <w:rsid w:val="000678BF"/>
    <w:rsid w:val="0007393C"/>
    <w:rsid w:val="00086739"/>
    <w:rsid w:val="000A5CFA"/>
    <w:rsid w:val="000F2FC6"/>
    <w:rsid w:val="00104F05"/>
    <w:rsid w:val="0011588D"/>
    <w:rsid w:val="0012405C"/>
    <w:rsid w:val="0013726B"/>
    <w:rsid w:val="001417CD"/>
    <w:rsid w:val="00162282"/>
    <w:rsid w:val="001622B0"/>
    <w:rsid w:val="00165582"/>
    <w:rsid w:val="00190857"/>
    <w:rsid w:val="001936CA"/>
    <w:rsid w:val="00197449"/>
    <w:rsid w:val="001A40E8"/>
    <w:rsid w:val="001B4475"/>
    <w:rsid w:val="001B4CA8"/>
    <w:rsid w:val="001C6CC2"/>
    <w:rsid w:val="001D44FA"/>
    <w:rsid w:val="00214A09"/>
    <w:rsid w:val="0021567D"/>
    <w:rsid w:val="00266A53"/>
    <w:rsid w:val="00267C44"/>
    <w:rsid w:val="00292361"/>
    <w:rsid w:val="002C1B6A"/>
    <w:rsid w:val="0030731B"/>
    <w:rsid w:val="00340EF3"/>
    <w:rsid w:val="00344CF2"/>
    <w:rsid w:val="00347DD0"/>
    <w:rsid w:val="00347FCB"/>
    <w:rsid w:val="00352465"/>
    <w:rsid w:val="00355278"/>
    <w:rsid w:val="00362B36"/>
    <w:rsid w:val="003708AB"/>
    <w:rsid w:val="003B5A6B"/>
    <w:rsid w:val="003C0DB3"/>
    <w:rsid w:val="003E71B4"/>
    <w:rsid w:val="003F779C"/>
    <w:rsid w:val="00446163"/>
    <w:rsid w:val="00463DFB"/>
    <w:rsid w:val="004A256E"/>
    <w:rsid w:val="004A4DB7"/>
    <w:rsid w:val="004C1A36"/>
    <w:rsid w:val="004D140F"/>
    <w:rsid w:val="004F5A44"/>
    <w:rsid w:val="00506482"/>
    <w:rsid w:val="0050752E"/>
    <w:rsid w:val="00553255"/>
    <w:rsid w:val="00567FEF"/>
    <w:rsid w:val="00583025"/>
    <w:rsid w:val="005836AE"/>
    <w:rsid w:val="005A25C8"/>
    <w:rsid w:val="005B4FFD"/>
    <w:rsid w:val="005B73DF"/>
    <w:rsid w:val="005F3720"/>
    <w:rsid w:val="00640FE0"/>
    <w:rsid w:val="0066755A"/>
    <w:rsid w:val="006A3483"/>
    <w:rsid w:val="006A631A"/>
    <w:rsid w:val="006E30F5"/>
    <w:rsid w:val="006E3472"/>
    <w:rsid w:val="007056BF"/>
    <w:rsid w:val="00744D5F"/>
    <w:rsid w:val="00756726"/>
    <w:rsid w:val="00775F37"/>
    <w:rsid w:val="00781CC4"/>
    <w:rsid w:val="00782799"/>
    <w:rsid w:val="007A719A"/>
    <w:rsid w:val="007A779E"/>
    <w:rsid w:val="007C2E38"/>
    <w:rsid w:val="007D397A"/>
    <w:rsid w:val="007E6F77"/>
    <w:rsid w:val="00805BA1"/>
    <w:rsid w:val="00825D60"/>
    <w:rsid w:val="00841E79"/>
    <w:rsid w:val="008509EC"/>
    <w:rsid w:val="0086571D"/>
    <w:rsid w:val="008802D2"/>
    <w:rsid w:val="008874F6"/>
    <w:rsid w:val="008908C9"/>
    <w:rsid w:val="008B693E"/>
    <w:rsid w:val="008B7F3F"/>
    <w:rsid w:val="008D2F4F"/>
    <w:rsid w:val="00914C80"/>
    <w:rsid w:val="00937455"/>
    <w:rsid w:val="00962501"/>
    <w:rsid w:val="00963283"/>
    <w:rsid w:val="00973953"/>
    <w:rsid w:val="0099525A"/>
    <w:rsid w:val="00995282"/>
    <w:rsid w:val="009975F9"/>
    <w:rsid w:val="009A7BD4"/>
    <w:rsid w:val="009B176E"/>
    <w:rsid w:val="009B7DF8"/>
    <w:rsid w:val="009C7013"/>
    <w:rsid w:val="00A1064A"/>
    <w:rsid w:val="00A3135D"/>
    <w:rsid w:val="00A81E2F"/>
    <w:rsid w:val="00A84C56"/>
    <w:rsid w:val="00AA35BC"/>
    <w:rsid w:val="00AB011B"/>
    <w:rsid w:val="00AB29D5"/>
    <w:rsid w:val="00AB323F"/>
    <w:rsid w:val="00AD269D"/>
    <w:rsid w:val="00AE0C9B"/>
    <w:rsid w:val="00AE3380"/>
    <w:rsid w:val="00B214BE"/>
    <w:rsid w:val="00B22C52"/>
    <w:rsid w:val="00B47680"/>
    <w:rsid w:val="00B54295"/>
    <w:rsid w:val="00B9117C"/>
    <w:rsid w:val="00BB136D"/>
    <w:rsid w:val="00BC05F2"/>
    <w:rsid w:val="00BE47A6"/>
    <w:rsid w:val="00BE7372"/>
    <w:rsid w:val="00BF1FC5"/>
    <w:rsid w:val="00C01FF5"/>
    <w:rsid w:val="00C12B04"/>
    <w:rsid w:val="00C238BE"/>
    <w:rsid w:val="00C4520E"/>
    <w:rsid w:val="00C859B6"/>
    <w:rsid w:val="00C9366B"/>
    <w:rsid w:val="00C94015"/>
    <w:rsid w:val="00C97D09"/>
    <w:rsid w:val="00CA64A5"/>
    <w:rsid w:val="00CB1AC7"/>
    <w:rsid w:val="00CB4089"/>
    <w:rsid w:val="00CB5B04"/>
    <w:rsid w:val="00CB6572"/>
    <w:rsid w:val="00CC5F71"/>
    <w:rsid w:val="00CE4492"/>
    <w:rsid w:val="00D13249"/>
    <w:rsid w:val="00D221B1"/>
    <w:rsid w:val="00D261F4"/>
    <w:rsid w:val="00D32695"/>
    <w:rsid w:val="00D35B22"/>
    <w:rsid w:val="00D42367"/>
    <w:rsid w:val="00D434B7"/>
    <w:rsid w:val="00D561B0"/>
    <w:rsid w:val="00D61582"/>
    <w:rsid w:val="00D61C7A"/>
    <w:rsid w:val="00D74174"/>
    <w:rsid w:val="00D751AA"/>
    <w:rsid w:val="00DA4B81"/>
    <w:rsid w:val="00DA4DCF"/>
    <w:rsid w:val="00DC5CE9"/>
    <w:rsid w:val="00DD04E1"/>
    <w:rsid w:val="00DF0939"/>
    <w:rsid w:val="00E13C90"/>
    <w:rsid w:val="00E521C3"/>
    <w:rsid w:val="00E54CAC"/>
    <w:rsid w:val="00E61CBA"/>
    <w:rsid w:val="00E62592"/>
    <w:rsid w:val="00E71134"/>
    <w:rsid w:val="00EE3CDA"/>
    <w:rsid w:val="00EF149B"/>
    <w:rsid w:val="00F04D2B"/>
    <w:rsid w:val="00F100F9"/>
    <w:rsid w:val="00F32A93"/>
    <w:rsid w:val="00F35D79"/>
    <w:rsid w:val="00F56F8D"/>
    <w:rsid w:val="00F66E70"/>
    <w:rsid w:val="00FA158E"/>
    <w:rsid w:val="00FA3521"/>
    <w:rsid w:val="00FB4285"/>
    <w:rsid w:val="00FE57A0"/>
    <w:rsid w:val="00FF6FC7"/>
    <w:rsid w:val="21B1A931"/>
    <w:rsid w:val="4C10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F65B8"/>
  <w15:docId w15:val="{8CC10543-C20B-4434-8244-8448A7A5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 w:right="25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before="287"/>
      <w:ind w:left="8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54295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4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B4C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C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7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3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31B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73DF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52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521"/>
    <w:rPr>
      <w:rFonts w:ascii="Calibri" w:eastAsia="Calibri" w:hAnsi="Calibri" w:cs="Calibri"/>
      <w:b/>
      <w:bCs/>
      <w:sz w:val="20"/>
      <w:szCs w:val="20"/>
    </w:rPr>
  </w:style>
  <w:style w:type="paragraph" w:customStyle="1" w:styleId="Billname">
    <w:name w:val="Billname"/>
    <w:basedOn w:val="Normal"/>
    <w:rsid w:val="00190857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eastAsia="Times New Roman" w:hAnsi="Arial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90857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190857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781CC4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egislation.act.gov.au/a/2010-3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114e-1845-4934-a9b6-6f4b8968ecfb" xsi:nil="true"/>
    <ACTSANDREGULATIONS xmlns="84ab0b94-4cef-4d05-9a94-801728506d15" xsi:nil="true"/>
    <lcf76f155ced4ddcb4097134ff3c332f xmlns="84ab0b94-4cef-4d05-9a94-801728506d15">
      <Terms xmlns="http://schemas.microsoft.com/office/infopath/2007/PartnerControls"/>
    </lcf76f155ced4ddcb4097134ff3c332f>
    <OTHERJURISDICTIONS xmlns="84ab0b94-4cef-4d05-9a94-801728506d15" xsi:nil="true"/>
    <Dateandtime xmlns="84ab0b94-4cef-4d05-9a94-801728506d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1FC089426D44081D69165A207EBC8" ma:contentTypeVersion="17" ma:contentTypeDescription="Create a new document." ma:contentTypeScope="" ma:versionID="b233f1fce2ea091955c49ad33bb100c7">
  <xsd:schema xmlns:xsd="http://www.w3.org/2001/XMLSchema" xmlns:xs="http://www.w3.org/2001/XMLSchema" xmlns:p="http://schemas.microsoft.com/office/2006/metadata/properties" xmlns:ns2="84ab0b94-4cef-4d05-9a94-801728506d15" xmlns:ns3="0502114e-1845-4934-a9b6-6f4b8968ecfb" targetNamespace="http://schemas.microsoft.com/office/2006/metadata/properties" ma:root="true" ma:fieldsID="44faef819e8a695a057a3c02bbffb4eb" ns2:_="" ns3:_="">
    <xsd:import namespace="84ab0b94-4cef-4d05-9a94-801728506d15"/>
    <xsd:import namespace="0502114e-1845-4934-a9b6-6f4b8968e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CTSANDREGULATIONS" minOccurs="0"/>
                <xsd:element ref="ns2:OTHERJURISDICTION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b0b94-4cef-4d05-9a94-801728506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CTSANDREGULATIONS" ma:index="12" nillable="true" ma:displayName="ACTS AND REGULATIONS" ma:description="A list of ACT Acts and Regulations which regulation the NT&amp;EE " ma:format="Dropdown" ma:internalName="ACTSANDREGULATIONS">
      <xsd:simpleType>
        <xsd:restriction base="dms:Note">
          <xsd:maxLength value="255"/>
        </xsd:restriction>
      </xsd:simpleType>
    </xsd:element>
    <xsd:element name="OTHERJURISDICTIONS" ma:index="13" nillable="true" ma:displayName="OTHER JURISDICTIONS" ma:description="Webpages of the work of other jurisdictions on NT&amp;EE matters" ma:format="Dropdown" ma:internalName="OTHERJURISDICTION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114e-1845-4934-a9b6-6f4b8968e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ece451-cbd5-4624-824c-423b3e1b3608}" ma:internalName="TaxCatchAll" ma:showField="CatchAllData" ma:web="0502114e-1845-4934-a9b6-6f4b8968e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81F0C-D01A-40A0-859A-42138B47BB78}">
  <ds:schemaRefs>
    <ds:schemaRef ds:uri="http://schemas.microsoft.com/office/2006/metadata/properties"/>
    <ds:schemaRef ds:uri="http://schemas.microsoft.com/office/infopath/2007/PartnerControls"/>
    <ds:schemaRef ds:uri="0502114e-1845-4934-a9b6-6f4b8968ecfb"/>
    <ds:schemaRef ds:uri="84ab0b94-4cef-4d05-9a94-801728506d15"/>
  </ds:schemaRefs>
</ds:datastoreItem>
</file>

<file path=customXml/itemProps2.xml><?xml version="1.0" encoding="utf-8"?>
<ds:datastoreItem xmlns:ds="http://schemas.openxmlformats.org/officeDocument/2006/customXml" ds:itemID="{D87D8240-A3A8-49A6-A3AC-18FD1F3E8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9865A-3C36-41AE-AD99-A93774D0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b0b94-4cef-4d05-9a94-801728506d15"/>
    <ds:schemaRef ds:uri="0502114e-1845-4934-a9b6-6f4b8968e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4423</Characters>
  <Application>Microsoft Office Word</Application>
  <DocSecurity>0</DocSecurity>
  <Lines>83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dcterms:created xsi:type="dcterms:W3CDTF">2025-06-26T01:47:00Z</dcterms:created>
  <dcterms:modified xsi:type="dcterms:W3CDTF">2025-06-26T01:47:00Z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2025-05-06T00:00:00Z</vt:filetime>
  </property>
  <property fmtid="{D5CDD505-2E9C-101B-9397-08002B2CF9AE}" pid="5" name="MSIP_Label_69af8531-eb46-4968-8cb3-105d2f5ea87e_ActionId">
    <vt:lpwstr>6e5cc663-4506-4714-8580-ccd586da7ae6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2024-04-17T23:45:17Z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0x010100E1C1FC089426D44081D69165A207EBC8</vt:lpwstr>
  </property>
  <property fmtid="{D5CDD505-2E9C-101B-9397-08002B2CF9AE}" pid="14" name="MediaServiceImageTags">
    <vt:lpwstr/>
  </property>
</Properties>
</file>