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3D1E" w14:textId="77777777" w:rsidR="005D70F1" w:rsidRPr="001B59B2" w:rsidRDefault="005D70F1" w:rsidP="00AC372A">
      <w:pPr>
        <w:spacing w:before="120"/>
        <w:rPr>
          <w:rFonts w:ascii="Arial" w:hAnsi="Arial" w:cs="Arial"/>
        </w:rPr>
      </w:pPr>
      <w:bookmarkStart w:id="0" w:name="_Toc44738651"/>
      <w:r w:rsidRPr="001B59B2">
        <w:rPr>
          <w:rFonts w:ascii="Arial" w:hAnsi="Arial" w:cs="Arial"/>
        </w:rPr>
        <w:t>Australian Capital Territory</w:t>
      </w:r>
    </w:p>
    <w:p w14:paraId="3BB16D22" w14:textId="17511C5D" w:rsidR="00FD13E7" w:rsidRPr="001B59B2" w:rsidRDefault="00EB460C" w:rsidP="00AC372A">
      <w:pPr>
        <w:pStyle w:val="Billname"/>
        <w:spacing w:before="700"/>
      </w:pPr>
      <w:r w:rsidRPr="001B59B2">
        <w:t>Taxation Administration (Amounts Payable—Home Buyer Conce</w:t>
      </w:r>
      <w:r w:rsidR="00F96354" w:rsidRPr="001B59B2">
        <w:t xml:space="preserve">ssion Scheme) Determination </w:t>
      </w:r>
      <w:r w:rsidR="000E302C" w:rsidRPr="001B59B2">
        <w:t>20</w:t>
      </w:r>
      <w:r w:rsidR="000E302C">
        <w:t>25</w:t>
      </w:r>
      <w:r w:rsidR="00840739">
        <w:t xml:space="preserve"> (No 2)</w:t>
      </w:r>
    </w:p>
    <w:p w14:paraId="20B484E6" w14:textId="7EC166E6" w:rsidR="00FD13E7" w:rsidRPr="001B59B2" w:rsidRDefault="005D70F1" w:rsidP="00AC372A">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0E302C" w:rsidRPr="001B59B2">
        <w:rPr>
          <w:rFonts w:ascii="Arial" w:hAnsi="Arial" w:cs="Arial"/>
          <w:b/>
          <w:bCs/>
          <w:szCs w:val="26"/>
        </w:rPr>
        <w:t>DI</w:t>
      </w:r>
      <w:r w:rsidR="000E302C" w:rsidRPr="001B59B2">
        <w:rPr>
          <w:rFonts w:ascii="Arial" w:hAnsi="Arial" w:cs="Arial"/>
          <w:b/>
          <w:bCs/>
          <w:iCs/>
          <w:szCs w:val="26"/>
        </w:rPr>
        <w:t>20</w:t>
      </w:r>
      <w:r w:rsidR="000E302C">
        <w:rPr>
          <w:rFonts w:ascii="Arial" w:hAnsi="Arial" w:cs="Arial"/>
          <w:b/>
          <w:bCs/>
          <w:iCs/>
          <w:szCs w:val="26"/>
        </w:rPr>
        <w:t>25</w:t>
      </w:r>
      <w:r w:rsidR="007276F9" w:rsidRPr="001B59B2">
        <w:rPr>
          <w:rFonts w:ascii="Arial" w:hAnsi="Arial" w:cs="Arial"/>
          <w:b/>
          <w:bCs/>
          <w:szCs w:val="26"/>
        </w:rPr>
        <w:t>–</w:t>
      </w:r>
      <w:r w:rsidR="00C66495">
        <w:rPr>
          <w:rFonts w:ascii="Arial" w:hAnsi="Arial" w:cs="Arial"/>
          <w:b/>
          <w:bCs/>
          <w:szCs w:val="26"/>
        </w:rPr>
        <w:t>146</w:t>
      </w:r>
    </w:p>
    <w:p w14:paraId="485B3356" w14:textId="77777777" w:rsidR="005D70F1" w:rsidRPr="001B59B2" w:rsidRDefault="005D70F1" w:rsidP="00AC372A">
      <w:pPr>
        <w:spacing w:before="240" w:after="60"/>
      </w:pPr>
      <w:r w:rsidRPr="001B59B2">
        <w:t xml:space="preserve">made under the  </w:t>
      </w:r>
    </w:p>
    <w:p w14:paraId="6DCD4487" w14:textId="77777777" w:rsidR="005D70F1" w:rsidRPr="001B59B2" w:rsidRDefault="00EB460C" w:rsidP="00AC372A">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76CAEA86" w14:textId="77777777" w:rsidR="005D70F1" w:rsidRPr="001B59B2" w:rsidRDefault="005D70F1" w:rsidP="00AC372A">
      <w:pPr>
        <w:spacing w:before="360"/>
        <w:ind w:right="565"/>
        <w:rPr>
          <w:rFonts w:ascii="Arial" w:hAnsi="Arial" w:cs="Arial"/>
          <w:b/>
          <w:bCs/>
          <w:sz w:val="28"/>
          <w:szCs w:val="28"/>
        </w:rPr>
      </w:pPr>
      <w:r w:rsidRPr="001B59B2">
        <w:rPr>
          <w:rFonts w:ascii="Arial" w:hAnsi="Arial" w:cs="Arial"/>
          <w:b/>
          <w:bCs/>
          <w:sz w:val="28"/>
          <w:szCs w:val="28"/>
        </w:rPr>
        <w:t>EXPLANATORY STATEMENT</w:t>
      </w:r>
    </w:p>
    <w:p w14:paraId="6193FDB4" w14:textId="77777777" w:rsidR="005D70F1" w:rsidRPr="001B59B2" w:rsidRDefault="005D70F1" w:rsidP="00AC372A">
      <w:pPr>
        <w:pStyle w:val="N-line3"/>
        <w:pBdr>
          <w:bottom w:val="none" w:sz="0" w:space="0" w:color="auto"/>
        </w:pBdr>
      </w:pPr>
    </w:p>
    <w:p w14:paraId="0578D94E" w14:textId="77777777" w:rsidR="005D70F1" w:rsidRPr="001B59B2" w:rsidRDefault="005D70F1" w:rsidP="00AC372A">
      <w:pPr>
        <w:pStyle w:val="N-line3"/>
        <w:pBdr>
          <w:top w:val="single" w:sz="12" w:space="1" w:color="auto"/>
          <w:bottom w:val="none" w:sz="0" w:space="0" w:color="auto"/>
        </w:pBdr>
      </w:pPr>
    </w:p>
    <w:bookmarkEnd w:id="0"/>
    <w:p w14:paraId="257B1DD5" w14:textId="77777777" w:rsidR="00983C0A" w:rsidRDefault="00983C0A" w:rsidP="00AC372A"/>
    <w:p w14:paraId="083542EE" w14:textId="5B224CC3" w:rsidR="00EB460C" w:rsidRPr="001B59B2" w:rsidRDefault="00EB460C" w:rsidP="00AC372A">
      <w:r w:rsidRPr="001B59B2">
        <w:t xml:space="preserve">This instrument commences on </w:t>
      </w:r>
      <w:r w:rsidR="00840739">
        <w:t>1 July 2025</w:t>
      </w:r>
      <w:r w:rsidR="003940D4">
        <w:t>.</w:t>
      </w:r>
    </w:p>
    <w:p w14:paraId="7E5563C6" w14:textId="77777777" w:rsidR="000341B5" w:rsidRPr="001B59B2" w:rsidRDefault="000341B5" w:rsidP="00AC372A"/>
    <w:p w14:paraId="2CE18F6D" w14:textId="2A93ABF2" w:rsidR="000341B5" w:rsidRPr="001B59B2" w:rsidRDefault="000341B5" w:rsidP="00AC372A">
      <w:r w:rsidRPr="001B59B2">
        <w:t xml:space="preserve">The </w:t>
      </w:r>
      <w:r w:rsidRPr="001B59B2">
        <w:rPr>
          <w:i/>
          <w:iCs/>
        </w:rPr>
        <w:t>Taxation Administration Act 1999</w:t>
      </w:r>
      <w:r w:rsidRPr="001B59B2">
        <w:t xml:space="preserve"> (the TA</w:t>
      </w:r>
      <w:r w:rsidR="00861DAE">
        <w:t xml:space="preserve"> </w:t>
      </w:r>
      <w:r w:rsidRPr="001B59B2">
        <w:t>A</w:t>
      </w:r>
      <w:r w:rsidR="00861DAE">
        <w:t>ct</w:t>
      </w:r>
      <w:r w:rsidRPr="001B59B2">
        <w:t>) deals with the administration of various tax laws relating to the imposition of certain taxes, duties and fees. These tax laws are specified in section 4 of the TA</w:t>
      </w:r>
      <w:r w:rsidR="00861DAE">
        <w:t xml:space="preserve"> </w:t>
      </w:r>
      <w:r w:rsidRPr="001B59B2">
        <w:t>A</w:t>
      </w:r>
      <w:r w:rsidR="00861DAE">
        <w:t>ct</w:t>
      </w:r>
      <w:r w:rsidRPr="001B59B2">
        <w:t>. Section 139 of the TA</w:t>
      </w:r>
      <w:r w:rsidR="00861DAE">
        <w:t xml:space="preserve"> </w:t>
      </w:r>
      <w:r w:rsidRPr="001B59B2">
        <w:t>A</w:t>
      </w:r>
      <w:r w:rsidR="00861DAE">
        <w:t>ct</w:t>
      </w:r>
      <w:r w:rsidRPr="001B59B2">
        <w:t xml:space="preserve"> empowers the Minister to determine amounts payable for taxes, duties and</w:t>
      </w:r>
      <w:r w:rsidR="00ED0D29">
        <w:t xml:space="preserve"> licence</w:t>
      </w:r>
      <w:r w:rsidRPr="001B59B2">
        <w:t xml:space="preserve"> fees, and the method by which an amount is to be calculated.</w:t>
      </w:r>
    </w:p>
    <w:p w14:paraId="64482309" w14:textId="77777777" w:rsidR="000341B5" w:rsidRPr="001B59B2" w:rsidRDefault="000341B5" w:rsidP="00AC372A"/>
    <w:p w14:paraId="3E74F353" w14:textId="4036C204" w:rsidR="000341B5" w:rsidRPr="001B59B2" w:rsidRDefault="000341B5" w:rsidP="00AC372A">
      <w:r w:rsidRPr="001B59B2">
        <w:t>One of the specified tax laws</w:t>
      </w:r>
      <w:r w:rsidR="00ED0D29">
        <w:t xml:space="preserve"> under section 4</w:t>
      </w:r>
      <w:r w:rsidRPr="001B59B2">
        <w:t xml:space="preserve"> is the </w:t>
      </w:r>
      <w:r w:rsidRPr="001B59B2">
        <w:rPr>
          <w:i/>
          <w:iCs/>
        </w:rPr>
        <w:t>Duties Act 1999</w:t>
      </w:r>
      <w:r w:rsidRPr="001B59B2">
        <w:t xml:space="preserve"> (the Act)</w:t>
      </w:r>
      <w:r w:rsidR="002D113F">
        <w:t xml:space="preserve">. </w:t>
      </w:r>
      <w:r w:rsidRPr="001B59B2">
        <w:t>Chapter 2 of the Act deals with the imposition of duty on the grant of a Crown lease and the transfer or agreement for the transfer of a Crown lease, which are subject to duty</w:t>
      </w:r>
      <w:r w:rsidR="002D113F">
        <w:t xml:space="preserve">. </w:t>
      </w:r>
      <w:r w:rsidRPr="001B59B2">
        <w:t>Section 12 of the Act states that the duty is payable by the transferee</w:t>
      </w:r>
      <w:r w:rsidRPr="001B59B2">
        <w:rPr>
          <w:i/>
          <w:iCs/>
        </w:rPr>
        <w:t>,</w:t>
      </w:r>
      <w:r w:rsidRPr="001B59B2">
        <w:t xml:space="preserve"> and section 5 of the Act states that the duty</w:t>
      </w:r>
      <w:r w:rsidR="00496240">
        <w:t xml:space="preserve"> liability</w:t>
      </w:r>
      <w:r w:rsidRPr="001B59B2">
        <w:t xml:space="preserve"> is </w:t>
      </w:r>
      <w:r w:rsidR="00496240">
        <w:t xml:space="preserve">debt due </w:t>
      </w:r>
      <w:r w:rsidRPr="001B59B2">
        <w:t>to the Territory.</w:t>
      </w:r>
    </w:p>
    <w:p w14:paraId="27A795F0" w14:textId="77777777" w:rsidR="000341B5" w:rsidRPr="001B59B2" w:rsidRDefault="000341B5" w:rsidP="00AC372A"/>
    <w:p w14:paraId="632FE968" w14:textId="77777777" w:rsidR="005C64EE" w:rsidRPr="001B59B2" w:rsidRDefault="0086473D" w:rsidP="00AC372A">
      <w:pPr>
        <w:rPr>
          <w:rFonts w:ascii="Arial" w:hAnsi="Arial" w:cs="Arial"/>
          <w:b/>
          <w:sz w:val="26"/>
          <w:szCs w:val="26"/>
        </w:rPr>
      </w:pPr>
      <w:r w:rsidRPr="001B59B2">
        <w:rPr>
          <w:rFonts w:ascii="Arial" w:hAnsi="Arial" w:cs="Arial"/>
          <w:b/>
          <w:sz w:val="26"/>
          <w:szCs w:val="26"/>
        </w:rPr>
        <w:t xml:space="preserve">Home Buyer Concession Scheme </w:t>
      </w:r>
    </w:p>
    <w:p w14:paraId="401A3716" w14:textId="77777777" w:rsidR="005C64EE" w:rsidRPr="001B59B2" w:rsidRDefault="005C64EE" w:rsidP="00AC372A"/>
    <w:p w14:paraId="48C02DF2" w14:textId="72220D62" w:rsidR="00EB460C" w:rsidRPr="001B59B2" w:rsidRDefault="000341B5" w:rsidP="00AC372A">
      <w:r w:rsidRPr="001B59B2">
        <w:t xml:space="preserve">The Home Buyer Concession Scheme (HBC) is an ACT Government initiative administered by the ACT Revenue Office to assist people in purchasing a home or vacant land </w:t>
      </w:r>
      <w:r w:rsidR="00FF5C0C">
        <w:t xml:space="preserve">to build a home </w:t>
      </w:r>
      <w:r w:rsidRPr="001B59B2">
        <w:t>by charging duty at a concessional rate.</w:t>
      </w:r>
    </w:p>
    <w:p w14:paraId="0FAF666C" w14:textId="77777777" w:rsidR="000341B5" w:rsidRPr="001B59B2" w:rsidRDefault="000341B5" w:rsidP="00AC372A"/>
    <w:p w14:paraId="56F8F7FA" w14:textId="1F685CD1" w:rsidR="0001776D" w:rsidRDefault="000341B5" w:rsidP="00AC372A">
      <w:r w:rsidRPr="001B59B2">
        <w:t>This instrument determines</w:t>
      </w:r>
      <w:r w:rsidR="00217E47" w:rsidRPr="001B59B2">
        <w:t>,</w:t>
      </w:r>
      <w:r w:rsidR="0001776D" w:rsidRPr="001B59B2">
        <w:t xml:space="preserve"> for the purposes of the </w:t>
      </w:r>
      <w:r w:rsidR="00217E47" w:rsidRPr="001B59B2">
        <w:t>HBC</w:t>
      </w:r>
      <w:r w:rsidR="0001776D" w:rsidRPr="001B59B2">
        <w:t>:</w:t>
      </w:r>
    </w:p>
    <w:p w14:paraId="4558156D" w14:textId="77777777" w:rsidR="00372917" w:rsidRPr="001B59B2" w:rsidRDefault="00372917" w:rsidP="00AC372A"/>
    <w:p w14:paraId="476E23F0" w14:textId="1E20FB6B" w:rsidR="00BE4ED7" w:rsidRPr="001B59B2" w:rsidRDefault="00BE4ED7" w:rsidP="00AC372A">
      <w:pPr>
        <w:pStyle w:val="ListParagraph"/>
        <w:numPr>
          <w:ilvl w:val="0"/>
          <w:numId w:val="21"/>
        </w:numPr>
      </w:pPr>
      <w:r w:rsidRPr="001B59B2">
        <w:t>the eligibility requirements, including property ownership</w:t>
      </w:r>
      <w:r w:rsidR="003F4465">
        <w:t>, income</w:t>
      </w:r>
      <w:r w:rsidRPr="001B59B2">
        <w:t xml:space="preserve"> and residency</w:t>
      </w:r>
      <w:r>
        <w:t>; and</w:t>
      </w:r>
    </w:p>
    <w:p w14:paraId="330482D3" w14:textId="53B0D795" w:rsidR="0001776D" w:rsidRPr="001B59B2" w:rsidRDefault="0001776D" w:rsidP="00AC372A">
      <w:pPr>
        <w:pStyle w:val="ListParagraph"/>
        <w:numPr>
          <w:ilvl w:val="0"/>
          <w:numId w:val="21"/>
        </w:numPr>
      </w:pPr>
      <w:r w:rsidRPr="001B59B2">
        <w:t>the method of calculation of duty payable under section 31 of the Act</w:t>
      </w:r>
      <w:r w:rsidR="00BE4ED7">
        <w:t>.</w:t>
      </w:r>
    </w:p>
    <w:p w14:paraId="4F1BA813" w14:textId="4E1316D7" w:rsidR="0001776D" w:rsidRPr="001B59B2" w:rsidRDefault="0001776D" w:rsidP="00AC372A">
      <w:pPr>
        <w:pStyle w:val="ListParagraph"/>
      </w:pPr>
    </w:p>
    <w:p w14:paraId="730BCF6B" w14:textId="77777777" w:rsidR="0066239F" w:rsidRPr="004F3B84" w:rsidRDefault="0066239F" w:rsidP="00AC372A"/>
    <w:p w14:paraId="27213901" w14:textId="77777777" w:rsidR="00D2391E" w:rsidRPr="004F3B84" w:rsidRDefault="0086473D" w:rsidP="00AC372A">
      <w:pPr>
        <w:keepNext/>
        <w:rPr>
          <w:rFonts w:ascii="Arial" w:hAnsi="Arial" w:cs="Arial"/>
          <w:b/>
          <w:sz w:val="26"/>
          <w:szCs w:val="26"/>
        </w:rPr>
      </w:pPr>
      <w:r w:rsidRPr="004F3B84">
        <w:rPr>
          <w:rFonts w:ascii="Arial" w:hAnsi="Arial" w:cs="Arial"/>
          <w:b/>
          <w:sz w:val="26"/>
          <w:szCs w:val="26"/>
        </w:rPr>
        <w:lastRenderedPageBreak/>
        <w:t>Updates</w:t>
      </w:r>
    </w:p>
    <w:p w14:paraId="1925441A" w14:textId="13C0D0DB" w:rsidR="00BE4ED7" w:rsidRPr="00E12664" w:rsidRDefault="00BE4ED7" w:rsidP="00AC372A">
      <w:pPr>
        <w:keepNext/>
        <w:rPr>
          <w:szCs w:val="24"/>
          <w:lang w:eastAsia="en-AU"/>
        </w:rPr>
      </w:pPr>
    </w:p>
    <w:p w14:paraId="7FB32542" w14:textId="77777777" w:rsidR="00840739" w:rsidRDefault="00840739" w:rsidP="00840739">
      <w:pPr>
        <w:keepNext/>
      </w:pPr>
      <w:bookmarkStart w:id="1" w:name="_Hlk148506649"/>
      <w:r>
        <w:t>The concession will be indexed using the most recent Consumer Price Index (CPI) for Canberra rounded down to the nearest $5,000. The most recent CPI is from March 2025 at 2.2 per cent for Canberra, which is $22,000. The value of the dutiable amount increased from $1 million to $1,020,000.</w:t>
      </w:r>
    </w:p>
    <w:p w14:paraId="1E06FF97" w14:textId="77777777" w:rsidR="000C3116" w:rsidRDefault="000C3116" w:rsidP="00840739">
      <w:pPr>
        <w:keepNext/>
      </w:pPr>
    </w:p>
    <w:p w14:paraId="67D6C15E" w14:textId="4C27C5FF" w:rsidR="003B38DB" w:rsidRPr="003B38DB" w:rsidRDefault="000C3116" w:rsidP="00840739">
      <w:pPr>
        <w:keepNext/>
      </w:pPr>
      <w:r>
        <w:t>The family violence provision</w:t>
      </w:r>
      <w:r w:rsidR="00784673">
        <w:t xml:space="preserve"> has been expanded</w:t>
      </w:r>
      <w:r w:rsidR="00D715B0">
        <w:t xml:space="preserve"> to </w:t>
      </w:r>
      <w:r w:rsidR="003B38DB">
        <w:t xml:space="preserve">enable a competent person declaration to be provided as evidence supporting the eligible home buyer’s application for a </w:t>
      </w:r>
      <w:r w:rsidR="009C2D76">
        <w:t>HBC</w:t>
      </w:r>
      <w:r w:rsidR="003B38DB">
        <w:t xml:space="preserve"> on the basis that the eligible home buyer, or their dependent child, has experience</w:t>
      </w:r>
      <w:r w:rsidR="00E22F91">
        <w:t>d</w:t>
      </w:r>
      <w:r w:rsidR="003B38DB">
        <w:t xml:space="preserve"> family violence within the previous 5 years. The concept of ‘</w:t>
      </w:r>
      <w:r w:rsidR="007C1522">
        <w:t>competent</w:t>
      </w:r>
      <w:r w:rsidR="003B38DB">
        <w:t xml:space="preserve"> person’ and ‘competent person declaration’ ha</w:t>
      </w:r>
      <w:r w:rsidR="00D715B0">
        <w:t>s</w:t>
      </w:r>
      <w:r w:rsidR="003B38DB">
        <w:t xml:space="preserve"> been based on the material in the </w:t>
      </w:r>
      <w:r w:rsidR="003B38DB">
        <w:rPr>
          <w:i/>
          <w:iCs/>
        </w:rPr>
        <w:t xml:space="preserve">Residential Tenancies Act 1997 </w:t>
      </w:r>
      <w:r w:rsidR="003B38DB">
        <w:t xml:space="preserve">and the </w:t>
      </w:r>
      <w:r w:rsidR="003B38DB">
        <w:rPr>
          <w:i/>
          <w:iCs/>
        </w:rPr>
        <w:t>Residential Tenancies Regulation 1998</w:t>
      </w:r>
      <w:r w:rsidR="003B38DB">
        <w:t xml:space="preserve"> but repurposed for </w:t>
      </w:r>
      <w:r w:rsidR="007C1522">
        <w:t>a taxation context</w:t>
      </w:r>
      <w:r w:rsidR="00784673">
        <w:t xml:space="preserve"> and defined in the instrument.</w:t>
      </w:r>
      <w:r w:rsidR="007C1522">
        <w:t xml:space="preserve"> </w:t>
      </w:r>
    </w:p>
    <w:p w14:paraId="0E777C10" w14:textId="77777777" w:rsidR="001E4DBB" w:rsidRDefault="001E4DBB" w:rsidP="00840739">
      <w:pPr>
        <w:keepNext/>
      </w:pPr>
    </w:p>
    <w:p w14:paraId="4DB75FBE" w14:textId="39A8BA34" w:rsidR="00CD490B" w:rsidRDefault="00D715B0" w:rsidP="00720DA0">
      <w:pPr>
        <w:keepNext/>
      </w:pPr>
      <w:r>
        <w:t>To ensure the supporting evidence is credible and reliable</w:t>
      </w:r>
      <w:r w:rsidR="007727CC">
        <w:t xml:space="preserve"> for the purpose of eligibility for the concession – </w:t>
      </w:r>
      <w:r>
        <w:t xml:space="preserve"> the</w:t>
      </w:r>
      <w:r w:rsidR="00720DA0">
        <w:t xml:space="preserve"> new provisions enable </w:t>
      </w:r>
      <w:r w:rsidR="00CD490B">
        <w:t>a range of specific (</w:t>
      </w:r>
      <w:r w:rsidR="00720DA0">
        <w:t>competent</w:t>
      </w:r>
      <w:r w:rsidR="00CD490B">
        <w:t>)</w:t>
      </w:r>
      <w:r w:rsidR="00720DA0">
        <w:t xml:space="preserve"> people</w:t>
      </w:r>
      <w:r w:rsidR="007C1522">
        <w:t xml:space="preserve"> to make a non-specific declaration/statement about the eligible home buyer or their dependent child for the purposes of </w:t>
      </w:r>
      <w:r w:rsidR="00CD490B">
        <w:t>HBC</w:t>
      </w:r>
      <w:r w:rsidR="007C1522">
        <w:t xml:space="preserve"> for family violence. </w:t>
      </w:r>
    </w:p>
    <w:p w14:paraId="6225C20A" w14:textId="77777777" w:rsidR="00CD490B" w:rsidRDefault="00CD490B" w:rsidP="00720DA0">
      <w:pPr>
        <w:keepNext/>
      </w:pPr>
    </w:p>
    <w:p w14:paraId="134798C4" w14:textId="688CFD06" w:rsidR="007C1522" w:rsidRDefault="007C1522" w:rsidP="00327CA6">
      <w:pPr>
        <w:keepNext/>
      </w:pPr>
      <w:r>
        <w:t xml:space="preserve">The declaration will be based on the competent person’s professional capacity and knowledge about the circumstances of the eligible home buyer and/or their dependent child </w:t>
      </w:r>
      <w:r w:rsidR="00720DA0">
        <w:t>from</w:t>
      </w:r>
      <w:r>
        <w:t xml:space="preserve"> their previous consultation</w:t>
      </w:r>
      <w:r w:rsidR="00720DA0">
        <w:t>/s</w:t>
      </w:r>
      <w:r>
        <w:t xml:space="preserve">. The people intended to be captured as a competent person are professionals who provide actual substantive professional service in their area of employ (e.g. </w:t>
      </w:r>
      <w:r w:rsidR="00766340">
        <w:t>doctors, social workers, nurses, psychologists and other professionals who work with</w:t>
      </w:r>
      <w:r>
        <w:t xml:space="preserve"> vulnerable people experiencing domestic violence). The term ‘professional’ is used to exclude or limit people who are employed in an administrative capacity, an administrative staff or</w:t>
      </w:r>
      <w:r w:rsidR="00766340">
        <w:t xml:space="preserve"> people</w:t>
      </w:r>
      <w:r>
        <w:t xml:space="preserve"> in other non-professional roles (e.g. reception staff working at a medical practice). </w:t>
      </w:r>
    </w:p>
    <w:p w14:paraId="3CBC63C8" w14:textId="77777777" w:rsidR="007C1522" w:rsidRDefault="007C1522" w:rsidP="007C1522">
      <w:pPr>
        <w:keepNext/>
        <w:jc w:val="both"/>
      </w:pPr>
    </w:p>
    <w:p w14:paraId="6E0BF6CB" w14:textId="47F0027A" w:rsidR="001E3D5A" w:rsidRDefault="001E3D5A" w:rsidP="007C1522">
      <w:pPr>
        <w:keepNext/>
        <w:jc w:val="both"/>
      </w:pPr>
      <w:r>
        <w:t xml:space="preserve">Where a competent person has been requested by an eligible home buyer to make a competent person declaration for the purposes of supporting the eligible home buyer’s </w:t>
      </w:r>
      <w:r w:rsidR="00D2351E">
        <w:t xml:space="preserve">HBC application – the competent person </w:t>
      </w:r>
      <w:r w:rsidR="006752E1">
        <w:t>must have</w:t>
      </w:r>
      <w:r w:rsidR="00D2351E">
        <w:t>, in their professional capacity previously attended to</w:t>
      </w:r>
      <w:r w:rsidR="006752E1">
        <w:t>,</w:t>
      </w:r>
      <w:r w:rsidR="00D2351E">
        <w:t xml:space="preserve"> or consulted with</w:t>
      </w:r>
      <w:r w:rsidR="006752E1">
        <w:t>,</w:t>
      </w:r>
      <w:r w:rsidR="00D2351E">
        <w:t xml:space="preserve"> the eligible home buyer or their dependent child in the previous 5 years (the previous consultation requirement</w:t>
      </w:r>
      <w:r w:rsidR="00D2351E" w:rsidRPr="00327CA6">
        <w:t xml:space="preserve">). The competent person declaration </w:t>
      </w:r>
      <w:r w:rsidR="00327CA6">
        <w:t>must</w:t>
      </w:r>
      <w:r w:rsidR="00D2351E" w:rsidRPr="00327CA6">
        <w:t xml:space="preserve"> be completed by the competent person </w:t>
      </w:r>
      <w:r w:rsidR="00327CA6" w:rsidRPr="00327CA6">
        <w:rPr>
          <w:u w:val="single"/>
        </w:rPr>
        <w:t>before</w:t>
      </w:r>
      <w:r w:rsidR="00D2351E" w:rsidRPr="00327CA6">
        <w:t xml:space="preserve"> the eligible home buyer has </w:t>
      </w:r>
      <w:r w:rsidR="00923DC4" w:rsidRPr="00327CA6">
        <w:t xml:space="preserve">entered into a contract to </w:t>
      </w:r>
      <w:r w:rsidR="00D2351E" w:rsidRPr="00327CA6">
        <w:t>purchase the property (exchanged contracts</w:t>
      </w:r>
      <w:r w:rsidR="0016093B">
        <w:t>)</w:t>
      </w:r>
      <w:r w:rsidR="00923DC4" w:rsidRPr="00327CA6">
        <w:t xml:space="preserve">. </w:t>
      </w:r>
      <w:r w:rsidR="00327CA6">
        <w:t xml:space="preserve">This approach of aligning the exemption evidence with the transaction date is consistent with the rest of the exemption provisions for allowed interests, such as court orders that must be sealed prior to the transaction date. </w:t>
      </w:r>
    </w:p>
    <w:p w14:paraId="078D809B" w14:textId="77777777" w:rsidR="006E7E6E" w:rsidRDefault="006E7E6E" w:rsidP="007C1522">
      <w:pPr>
        <w:keepNext/>
        <w:jc w:val="both"/>
      </w:pPr>
    </w:p>
    <w:p w14:paraId="224CBB90" w14:textId="2A461441" w:rsidR="007C1522" w:rsidRDefault="007C1522" w:rsidP="007C1522">
      <w:pPr>
        <w:keepNext/>
        <w:jc w:val="both"/>
      </w:pPr>
      <w:r>
        <w:t xml:space="preserve">The competent person’s </w:t>
      </w:r>
      <w:r w:rsidR="006752E1">
        <w:t>declaration</w:t>
      </w:r>
      <w:r>
        <w:t xml:space="preserve"> about the family violence </w:t>
      </w:r>
      <w:r w:rsidR="006752E1">
        <w:t>experienced by the eligible home buyer</w:t>
      </w:r>
      <w:r w:rsidR="005644A4">
        <w:t>,</w:t>
      </w:r>
      <w:r w:rsidR="006752E1">
        <w:t xml:space="preserve"> </w:t>
      </w:r>
      <w:r w:rsidR="005644A4">
        <w:t xml:space="preserve">or their dependent child, </w:t>
      </w:r>
      <w:r w:rsidR="006D511C">
        <w:t>must be</w:t>
      </w:r>
      <w:r w:rsidR="005644A4">
        <w:t xml:space="preserve"> based on </w:t>
      </w:r>
      <w:r>
        <w:t>their substantive professional knowledge and understanding about the eligible home buyer</w:t>
      </w:r>
      <w:r w:rsidR="005644A4">
        <w:t>,</w:t>
      </w:r>
      <w:r>
        <w:t xml:space="preserve"> or their</w:t>
      </w:r>
      <w:r w:rsidR="00D6151A">
        <w:t xml:space="preserve"> </w:t>
      </w:r>
      <w:r w:rsidR="00D6151A">
        <w:lastRenderedPageBreak/>
        <w:t>dependent</w:t>
      </w:r>
      <w:r>
        <w:t xml:space="preserve"> child’s circumstances (</w:t>
      </w:r>
      <w:r w:rsidR="005644A4">
        <w:t xml:space="preserve">the statement and </w:t>
      </w:r>
      <w:r>
        <w:t>reasonable belief requirement</w:t>
      </w:r>
      <w:r w:rsidR="005644A4">
        <w:t xml:space="preserve"> in the declaration</w:t>
      </w:r>
      <w:r>
        <w:t>).</w:t>
      </w:r>
    </w:p>
    <w:p w14:paraId="1A6FBF17" w14:textId="77777777" w:rsidR="00DA1059" w:rsidRDefault="00DA1059" w:rsidP="007C1522">
      <w:pPr>
        <w:keepNext/>
        <w:jc w:val="both"/>
      </w:pPr>
    </w:p>
    <w:p w14:paraId="525F1E07" w14:textId="0C78605A" w:rsidR="00DA1059" w:rsidRPr="00327CA6" w:rsidRDefault="005644A4" w:rsidP="007C1522">
      <w:pPr>
        <w:keepNext/>
        <w:jc w:val="both"/>
        <w:rPr>
          <w:i/>
          <w:iCs/>
        </w:rPr>
      </w:pPr>
      <w:r>
        <w:t>The</w:t>
      </w:r>
      <w:r w:rsidR="00DA1059">
        <w:t xml:space="preserve"> competent person declaration</w:t>
      </w:r>
      <w:r>
        <w:t xml:space="preserve"> at no point </w:t>
      </w:r>
      <w:r w:rsidR="00DA1059">
        <w:t xml:space="preserve">seeks any detail (specific or general) about the family violence or for the details about the family violence to be substantiated or outlined by the competent person. </w:t>
      </w:r>
    </w:p>
    <w:p w14:paraId="16A95A34" w14:textId="77777777" w:rsidR="00840739" w:rsidRDefault="00840739" w:rsidP="00840739">
      <w:pPr>
        <w:keepNext/>
      </w:pPr>
    </w:p>
    <w:p w14:paraId="0B2A5281" w14:textId="6B420050" w:rsidR="0016664E" w:rsidRDefault="00AC4ACE" w:rsidP="00A83F5E">
      <w:pPr>
        <w:keepNext/>
      </w:pPr>
      <w:r>
        <w:t xml:space="preserve">A competent person </w:t>
      </w:r>
      <w:r w:rsidRPr="00327CA6">
        <w:rPr>
          <w:u w:val="single"/>
        </w:rPr>
        <w:t>may refuse</w:t>
      </w:r>
      <w:r>
        <w:t xml:space="preserve"> to complete a competent person declaration. It is an optional declaration to be completed by the competent person. An eligible home buyer who has experienced family violence may have consulted with </w:t>
      </w:r>
      <w:r w:rsidR="00A83F5E">
        <w:t>many</w:t>
      </w:r>
      <w:r>
        <w:t xml:space="preserve"> professionals</w:t>
      </w:r>
      <w:r w:rsidR="00DA1059">
        <w:t xml:space="preserve"> who met the definition of competent person</w:t>
      </w:r>
      <w:r>
        <w:t xml:space="preserve">. </w:t>
      </w:r>
      <w:r w:rsidR="00A83F5E">
        <w:t xml:space="preserve">Only one competent person declaration is required as evidence.  </w:t>
      </w:r>
    </w:p>
    <w:p w14:paraId="006FEE16" w14:textId="77777777" w:rsidR="00A83F5E" w:rsidRDefault="00A83F5E" w:rsidP="00327CA6">
      <w:pPr>
        <w:keepNext/>
      </w:pPr>
    </w:p>
    <w:p w14:paraId="33820947" w14:textId="0AF5560F" w:rsidR="00015D07" w:rsidRDefault="00015D07" w:rsidP="00AC372A">
      <w:r>
        <w:t>All other elements of the instrument remain unchanged.</w:t>
      </w:r>
    </w:p>
    <w:p w14:paraId="6FD793C0" w14:textId="7843477F" w:rsidR="00015D07" w:rsidRPr="00015D07" w:rsidRDefault="00015D07" w:rsidP="00AC372A"/>
    <w:p w14:paraId="3C4C1CEB" w14:textId="02F4AD5E" w:rsidR="00015D07" w:rsidRPr="00015D07" w:rsidRDefault="00015D07" w:rsidP="00AC372A">
      <w:pPr>
        <w:pStyle w:val="ListParagraph"/>
        <w:numPr>
          <w:ilvl w:val="0"/>
          <w:numId w:val="24"/>
        </w:numPr>
      </w:pPr>
      <w:r w:rsidRPr="00015D07">
        <w:t xml:space="preserve">The income threshold for all eligible home buyers and their domestic partners </w:t>
      </w:r>
      <w:r>
        <w:t xml:space="preserve">is </w:t>
      </w:r>
      <w:r w:rsidRPr="00015D07">
        <w:t>$250,000. The income threshold amount per dependent child (as defined in the </w:t>
      </w:r>
      <w:r w:rsidRPr="00FC2F18">
        <w:rPr>
          <w:i/>
          <w:iCs/>
        </w:rPr>
        <w:t>Social Security Act 1991</w:t>
      </w:r>
      <w:r w:rsidRPr="00015D07">
        <w:t> (Cwlth) </w:t>
      </w:r>
      <w:r>
        <w:t>is</w:t>
      </w:r>
      <w:r w:rsidRPr="00015D07">
        <w:t xml:space="preserve"> $4,600 for up to 5 children.</w:t>
      </w:r>
    </w:p>
    <w:p w14:paraId="4EFE459A" w14:textId="13EA57CE" w:rsidR="00015D07" w:rsidRPr="00015D07" w:rsidRDefault="00015D07" w:rsidP="00AC372A"/>
    <w:p w14:paraId="0BC103CF" w14:textId="4B7E038C" w:rsidR="00015D07" w:rsidRPr="00015D07" w:rsidRDefault="00015D07" w:rsidP="00AC372A">
      <w:pPr>
        <w:pStyle w:val="ListParagraph"/>
        <w:numPr>
          <w:ilvl w:val="0"/>
          <w:numId w:val="24"/>
        </w:numPr>
      </w:pPr>
      <w:r w:rsidRPr="00015D07">
        <w:t>All eligible home buyers and their domestic partners must not have held a legal or equitable interest in land for the previous 5 years</w:t>
      </w:r>
      <w:r>
        <w:t>.</w:t>
      </w:r>
    </w:p>
    <w:p w14:paraId="06BBCE08" w14:textId="6474EBE0" w:rsidR="00015D07" w:rsidRPr="00015D07" w:rsidRDefault="00015D07" w:rsidP="00AC372A"/>
    <w:p w14:paraId="6DDBB45D" w14:textId="63877C60" w:rsidR="00015D07" w:rsidRPr="00015D07" w:rsidRDefault="00015D07" w:rsidP="00AC372A">
      <w:pPr>
        <w:pStyle w:val="ListParagraph"/>
        <w:numPr>
          <w:ilvl w:val="0"/>
          <w:numId w:val="24"/>
        </w:numPr>
      </w:pPr>
      <w:r>
        <w:t>F</w:t>
      </w:r>
      <w:r w:rsidRPr="00015D07">
        <w:t xml:space="preserve">or </w:t>
      </w:r>
      <w:r w:rsidR="00FC2F18">
        <w:t xml:space="preserve">people who </w:t>
      </w:r>
      <w:r w:rsidRPr="00015D07">
        <w:t>have experienced family violence</w:t>
      </w:r>
      <w:r w:rsidR="00FC2F18">
        <w:t>, pr</w:t>
      </w:r>
      <w:r w:rsidRPr="00015D07">
        <w:t xml:space="preserve">ior legal or equitable interests in land </w:t>
      </w:r>
      <w:r>
        <w:t xml:space="preserve">is </w:t>
      </w:r>
      <w:r w:rsidRPr="00015D07">
        <w:t xml:space="preserve">deemed as an ‘allowed interest’ and excluded from the eligible transaction test if the eligible home buyer or their dependent child has experienced family violence within the past 5 years. </w:t>
      </w:r>
    </w:p>
    <w:p w14:paraId="20A33B1D" w14:textId="3B892978" w:rsidR="00015D07" w:rsidRPr="00015D07" w:rsidRDefault="00015D07" w:rsidP="00AC372A"/>
    <w:p w14:paraId="7B3694A8" w14:textId="77777777" w:rsidR="00015D07" w:rsidRPr="00015D07" w:rsidRDefault="00015D07" w:rsidP="00AC372A">
      <w:pPr>
        <w:pStyle w:val="ListParagraph"/>
        <w:numPr>
          <w:ilvl w:val="0"/>
          <w:numId w:val="24"/>
        </w:numPr>
      </w:pPr>
      <w:r w:rsidRPr="00015D07">
        <w:t>A domestic partner's income will be excluded from the income requirement if the eligible home buyer or their dependent child has experienced family violence related to the domestic partner within the previous 5 years.</w:t>
      </w:r>
    </w:p>
    <w:p w14:paraId="77F1DB94" w14:textId="78D5BEE3" w:rsidR="00015D07" w:rsidRPr="00015D07" w:rsidRDefault="00015D07" w:rsidP="00AC372A"/>
    <w:p w14:paraId="1481A1FF" w14:textId="4D5DFF89" w:rsidR="00015D07" w:rsidRPr="00015D07" w:rsidRDefault="00FC2F18" w:rsidP="00AC372A">
      <w:pPr>
        <w:pStyle w:val="ListParagraph"/>
        <w:numPr>
          <w:ilvl w:val="0"/>
          <w:numId w:val="24"/>
        </w:numPr>
      </w:pPr>
      <w:r>
        <w:t>T</w:t>
      </w:r>
      <w:r w:rsidR="00015D07" w:rsidRPr="00015D07">
        <w:t>he domestic partner referenced in the family violence order or injunction cannot occupy or reside in the eligible property for the duration of the residence period.</w:t>
      </w:r>
    </w:p>
    <w:p w14:paraId="4C307666" w14:textId="46CD13E1" w:rsidR="00015D07" w:rsidRPr="00015D07" w:rsidRDefault="00015D07" w:rsidP="00AC372A">
      <w:pPr>
        <w:ind w:firstLine="60"/>
      </w:pPr>
    </w:p>
    <w:p w14:paraId="1D64D09C" w14:textId="77777777" w:rsidR="00015D07" w:rsidRPr="00015D07" w:rsidRDefault="00015D07" w:rsidP="00AC372A">
      <w:pPr>
        <w:pStyle w:val="ListParagraph"/>
        <w:numPr>
          <w:ilvl w:val="0"/>
          <w:numId w:val="24"/>
        </w:numPr>
      </w:pPr>
      <w:r w:rsidRPr="00015D07">
        <w:t>Schedule 1 sets out an ‘allowed interest’ in respect of prior legal or equitable interests in land.</w:t>
      </w:r>
    </w:p>
    <w:p w14:paraId="3FA3A785" w14:textId="48FC3488" w:rsidR="00015D07" w:rsidRPr="00015D07" w:rsidRDefault="00015D07" w:rsidP="00AC372A">
      <w:pPr>
        <w:ind w:firstLine="60"/>
      </w:pPr>
    </w:p>
    <w:p w14:paraId="045E71A9" w14:textId="77777777" w:rsidR="00015D07" w:rsidRDefault="00015D07" w:rsidP="00AC372A">
      <w:pPr>
        <w:pStyle w:val="ListParagraph"/>
        <w:numPr>
          <w:ilvl w:val="0"/>
          <w:numId w:val="24"/>
        </w:numPr>
      </w:pPr>
      <w:r w:rsidRPr="00015D07">
        <w:t>Schedule 2 sets out the ‘income requirements’ outlining the taxable income and, if applicable, gross income tests against the income threshold.</w:t>
      </w:r>
    </w:p>
    <w:p w14:paraId="5469B2BE" w14:textId="77777777" w:rsidR="00CA1DA4" w:rsidRDefault="00CA1DA4" w:rsidP="00AC372A">
      <w:pPr>
        <w:pStyle w:val="ListParagraph"/>
      </w:pPr>
    </w:p>
    <w:p w14:paraId="27647859" w14:textId="29779102" w:rsidR="00CA1DA4" w:rsidRPr="00015D07" w:rsidRDefault="00CA1DA4" w:rsidP="00AC372A">
      <w:pPr>
        <w:pStyle w:val="ListParagraph"/>
        <w:numPr>
          <w:ilvl w:val="0"/>
          <w:numId w:val="24"/>
        </w:numPr>
      </w:pPr>
      <w:r w:rsidRPr="00CA1DA4">
        <w:t>Schedule 3 sets out the ongoing requirements for the ‘residence period’ and ‘residence start date’ in respect of the purchased property subject to the concession.</w:t>
      </w:r>
    </w:p>
    <w:p w14:paraId="363B19CA" w14:textId="0A75B1F1" w:rsidR="00015D07" w:rsidRPr="00015D07" w:rsidRDefault="00015D07" w:rsidP="00AC372A">
      <w:pPr>
        <w:ind w:firstLine="60"/>
      </w:pPr>
    </w:p>
    <w:bookmarkEnd w:id="1"/>
    <w:p w14:paraId="333A1595" w14:textId="76428D0A" w:rsidR="008602C8" w:rsidRPr="00AD2319" w:rsidRDefault="00136F26" w:rsidP="00AC372A">
      <w:pPr>
        <w:rPr>
          <w:rFonts w:ascii="Arial" w:hAnsi="Arial" w:cs="Arial"/>
          <w:b/>
          <w:sz w:val="26"/>
          <w:szCs w:val="26"/>
        </w:rPr>
      </w:pPr>
      <w:r>
        <w:rPr>
          <w:rFonts w:ascii="Arial" w:hAnsi="Arial" w:cs="Arial"/>
          <w:b/>
          <w:sz w:val="26"/>
          <w:szCs w:val="26"/>
        </w:rPr>
        <w:t>Application of HBC</w:t>
      </w:r>
    </w:p>
    <w:p w14:paraId="565AC66D" w14:textId="77777777" w:rsidR="008602C8" w:rsidRPr="00AC372A" w:rsidRDefault="008602C8" w:rsidP="00AC372A">
      <w:pPr>
        <w:rPr>
          <w:szCs w:val="24"/>
          <w:lang w:eastAsia="en-AU"/>
        </w:rPr>
      </w:pPr>
    </w:p>
    <w:p w14:paraId="737B2082" w14:textId="3FDE06ED" w:rsidR="008602C8" w:rsidRDefault="008602C8" w:rsidP="00AC372A">
      <w:r w:rsidRPr="00AD2319">
        <w:t xml:space="preserve">This instrument applies to grants, transfers or agreements for </w:t>
      </w:r>
      <w:r w:rsidR="008C3474">
        <w:t xml:space="preserve">the </w:t>
      </w:r>
      <w:r w:rsidRPr="00AD2319">
        <w:t xml:space="preserve">sale or transfer </w:t>
      </w:r>
      <w:r w:rsidR="00682893" w:rsidRPr="00AD2319">
        <w:t xml:space="preserve">of eligible property </w:t>
      </w:r>
      <w:r w:rsidR="00AD2319" w:rsidRPr="00AD2319">
        <w:t xml:space="preserve">with a transaction date </w:t>
      </w:r>
      <w:r w:rsidR="00682893" w:rsidRPr="00AD2319">
        <w:t xml:space="preserve">on or after </w:t>
      </w:r>
      <w:r w:rsidR="00840739">
        <w:t>1 July 2025</w:t>
      </w:r>
      <w:r w:rsidR="00CA1DA4" w:rsidRPr="00CA1DA4">
        <w:t>.</w:t>
      </w:r>
      <w:r w:rsidR="00682893" w:rsidRPr="00AD2319">
        <w:t xml:space="preserve"> </w:t>
      </w:r>
      <w:r w:rsidR="00AD2319" w:rsidRPr="00AD2319">
        <w:t xml:space="preserve">The transaction date </w:t>
      </w:r>
      <w:r w:rsidR="00AD2319" w:rsidRPr="00AD2319">
        <w:lastRenderedPageBreak/>
        <w:t>is the date that liability for duty arises under section 11 of the Act</w:t>
      </w:r>
      <w:r w:rsidR="00EF5287">
        <w:t>,</w:t>
      </w:r>
      <w:r w:rsidR="00AD2319" w:rsidRPr="00AD2319">
        <w:t xml:space="preserve"> that is, when </w:t>
      </w:r>
      <w:r w:rsidR="008C3474">
        <w:t>a transfer occurs, or if a transfer is effected by an instrument</w:t>
      </w:r>
      <w:r w:rsidR="00802FF5" w:rsidRPr="00F57C45">
        <w:rPr>
          <w:b/>
        </w:rPr>
        <w:t>—</w:t>
      </w:r>
      <w:r w:rsidR="008C3474">
        <w:t>the date the instrument</w:t>
      </w:r>
      <w:r w:rsidR="00AD2319" w:rsidRPr="00AD2319">
        <w:t xml:space="preserve"> is first executed.</w:t>
      </w:r>
    </w:p>
    <w:p w14:paraId="2ACCFC82" w14:textId="77777777" w:rsidR="00DC69FE" w:rsidRPr="00AD2319" w:rsidRDefault="00DC69FE" w:rsidP="00AC372A"/>
    <w:p w14:paraId="36114F68" w14:textId="77777777" w:rsidR="00D96ECB" w:rsidRPr="00D96ECB" w:rsidRDefault="00D96ECB" w:rsidP="00AC372A">
      <w:pPr>
        <w:rPr>
          <w:rFonts w:ascii="Arial" w:hAnsi="Arial" w:cs="Arial"/>
          <w:b/>
          <w:sz w:val="26"/>
          <w:szCs w:val="26"/>
        </w:rPr>
      </w:pPr>
      <w:r w:rsidRPr="00D96ECB">
        <w:rPr>
          <w:rFonts w:ascii="Arial" w:hAnsi="Arial" w:cs="Arial"/>
          <w:b/>
          <w:sz w:val="26"/>
          <w:szCs w:val="26"/>
        </w:rPr>
        <w:t>Eligible properties</w:t>
      </w:r>
    </w:p>
    <w:p w14:paraId="512006F9" w14:textId="77777777" w:rsidR="00D96ECB" w:rsidRPr="00D96ECB" w:rsidRDefault="00D96ECB" w:rsidP="00AC372A"/>
    <w:p w14:paraId="54B84F27" w14:textId="7229C26C" w:rsidR="00D96ECB" w:rsidRPr="00D96ECB" w:rsidRDefault="00D96ECB" w:rsidP="00AC372A">
      <w:r w:rsidRPr="00D96ECB">
        <w:t xml:space="preserve">The HBC </w:t>
      </w:r>
      <w:r w:rsidR="008C3474">
        <w:t xml:space="preserve">applies to </w:t>
      </w:r>
      <w:r w:rsidRPr="00D96ECB">
        <w:t>homes</w:t>
      </w:r>
      <w:r w:rsidR="00BE4ED7">
        <w:t xml:space="preserve"> (including off the plan units)</w:t>
      </w:r>
      <w:r w:rsidRPr="00D96ECB">
        <w:t xml:space="preserve"> and vacant land</w:t>
      </w:r>
      <w:r w:rsidR="008C3474">
        <w:t xml:space="preserve"> purchased by eligible home buyers</w:t>
      </w:r>
      <w:r w:rsidRPr="00D96ECB">
        <w:t xml:space="preserve">. </w:t>
      </w:r>
    </w:p>
    <w:p w14:paraId="3DC17D0F" w14:textId="77777777" w:rsidR="00D96ECB" w:rsidRPr="00AC372A" w:rsidRDefault="00D96ECB" w:rsidP="00AC372A">
      <w:pPr>
        <w:rPr>
          <w:szCs w:val="24"/>
          <w:lang w:eastAsia="en-AU"/>
        </w:rPr>
      </w:pPr>
    </w:p>
    <w:p w14:paraId="31463DF9" w14:textId="08CFDC63" w:rsidR="00BE4ED7" w:rsidRDefault="007671B5" w:rsidP="00AC372A">
      <w:r w:rsidRPr="00CD5FF5">
        <w:t>T</w:t>
      </w:r>
      <w:r w:rsidR="001973A8" w:rsidRPr="00CD5FF5">
        <w:t xml:space="preserve">he </w:t>
      </w:r>
      <w:r w:rsidR="00310C47">
        <w:t xml:space="preserve">amount of </w:t>
      </w:r>
      <w:r w:rsidR="001973A8" w:rsidRPr="00CD5FF5">
        <w:t xml:space="preserve">duty </w:t>
      </w:r>
      <w:r w:rsidR="00310C47">
        <w:t xml:space="preserve">concession for an eligible transaction </w:t>
      </w:r>
      <w:r w:rsidRPr="00CD5FF5">
        <w:t xml:space="preserve">is </w:t>
      </w:r>
      <w:r w:rsidR="00310C47">
        <w:t xml:space="preserve">based on </w:t>
      </w:r>
      <w:r w:rsidR="001973A8" w:rsidRPr="00CD5FF5">
        <w:t xml:space="preserve">the dutiable value of </w:t>
      </w:r>
      <w:r w:rsidR="00310C47">
        <w:t xml:space="preserve">the </w:t>
      </w:r>
      <w:r w:rsidR="001973A8" w:rsidRPr="00CD5FF5">
        <w:t>eligible propert</w:t>
      </w:r>
      <w:r w:rsidR="00310C47">
        <w:t>y up to the capped amount</w:t>
      </w:r>
      <w:r w:rsidR="00D7440F">
        <w:t>.</w:t>
      </w:r>
      <w:r w:rsidR="008C3474">
        <w:t xml:space="preserve"> </w:t>
      </w:r>
    </w:p>
    <w:p w14:paraId="7B944999" w14:textId="77777777" w:rsidR="00BE4ED7" w:rsidRDefault="00BE4ED7" w:rsidP="00AC372A"/>
    <w:p w14:paraId="0C265512" w14:textId="77777777" w:rsidR="0037075D" w:rsidRPr="00A61F7C" w:rsidRDefault="000C183A" w:rsidP="00AC372A">
      <w:pPr>
        <w:rPr>
          <w:rFonts w:ascii="Arial" w:hAnsi="Arial" w:cs="Arial"/>
          <w:b/>
          <w:sz w:val="26"/>
          <w:szCs w:val="26"/>
        </w:rPr>
      </w:pPr>
      <w:r w:rsidRPr="00A61F7C">
        <w:rPr>
          <w:rFonts w:ascii="Arial" w:hAnsi="Arial" w:cs="Arial"/>
          <w:b/>
          <w:sz w:val="26"/>
          <w:szCs w:val="26"/>
        </w:rPr>
        <w:t>Eligibility</w:t>
      </w:r>
      <w:r w:rsidR="00136F26">
        <w:rPr>
          <w:rFonts w:ascii="Arial" w:hAnsi="Arial" w:cs="Arial"/>
          <w:b/>
          <w:sz w:val="26"/>
          <w:szCs w:val="26"/>
        </w:rPr>
        <w:t xml:space="preserve"> requirements</w:t>
      </w:r>
    </w:p>
    <w:p w14:paraId="359A53AE" w14:textId="77777777" w:rsidR="00967574" w:rsidRPr="00A61F7C" w:rsidRDefault="00967574" w:rsidP="00AC372A"/>
    <w:p w14:paraId="7C890044" w14:textId="4714AAEF" w:rsidR="000C183A" w:rsidRPr="00A61F7C" w:rsidRDefault="000C183A" w:rsidP="00AC372A">
      <w:r w:rsidRPr="00A61F7C">
        <w:t>A transaction is deemed eligible for the HBC</w:t>
      </w:r>
      <w:r w:rsidR="009C2D76">
        <w:t xml:space="preserve"> </w:t>
      </w:r>
      <w:r w:rsidR="00E4756B" w:rsidRPr="00A61F7C">
        <w:t>if the eligibility requirements specified in the instrument are met.</w:t>
      </w:r>
    </w:p>
    <w:p w14:paraId="2EDC2A8A" w14:textId="77777777" w:rsidR="00845D84" w:rsidRPr="00A61F7C" w:rsidRDefault="00845D84" w:rsidP="00AC372A"/>
    <w:p w14:paraId="4F58B118" w14:textId="77777777" w:rsidR="00A61F7C" w:rsidRPr="00A61F7C" w:rsidRDefault="00A61F7C" w:rsidP="00AC372A">
      <w:pPr>
        <w:rPr>
          <w:rFonts w:ascii="Arial" w:hAnsi="Arial" w:cs="Arial"/>
          <w:b/>
          <w:sz w:val="26"/>
          <w:szCs w:val="26"/>
        </w:rPr>
      </w:pPr>
      <w:r w:rsidRPr="00A61F7C">
        <w:rPr>
          <w:rFonts w:ascii="Arial" w:hAnsi="Arial" w:cs="Arial"/>
          <w:b/>
          <w:sz w:val="26"/>
          <w:szCs w:val="26"/>
        </w:rPr>
        <w:t>Property requirements</w:t>
      </w:r>
    </w:p>
    <w:p w14:paraId="188ED211" w14:textId="77777777" w:rsidR="00A61F7C" w:rsidRPr="00A61F7C" w:rsidRDefault="00A61F7C" w:rsidP="00AC372A"/>
    <w:p w14:paraId="3A1DA2AE" w14:textId="7EEE7CD8" w:rsidR="00A61F7C" w:rsidRPr="00A61F7C" w:rsidRDefault="00A61F7C" w:rsidP="00AC372A">
      <w:pPr>
        <w:rPr>
          <w:bCs/>
        </w:rPr>
      </w:pPr>
      <w:r w:rsidRPr="00A61F7C">
        <w:t xml:space="preserve">A </w:t>
      </w:r>
      <w:r w:rsidRPr="00A61F7C">
        <w:rPr>
          <w:bCs/>
        </w:rPr>
        <w:t xml:space="preserve">transaction is not eligible for the HBC if, in the </w:t>
      </w:r>
      <w:r w:rsidR="006E5FA2">
        <w:rPr>
          <w:bCs/>
        </w:rPr>
        <w:t>5</w:t>
      </w:r>
      <w:r w:rsidR="00DC7B99" w:rsidRPr="00A61F7C">
        <w:rPr>
          <w:bCs/>
        </w:rPr>
        <w:t xml:space="preserve"> </w:t>
      </w:r>
      <w:r w:rsidRPr="00A61F7C">
        <w:rPr>
          <w:bCs/>
        </w:rPr>
        <w:t>years preceding the day of the transaction date, a transferee</w:t>
      </w:r>
      <w:r w:rsidR="008847BF">
        <w:rPr>
          <w:bCs/>
        </w:rPr>
        <w:t xml:space="preserve"> or a transferee’s domestic partner</w:t>
      </w:r>
      <w:r w:rsidRPr="00A61F7C">
        <w:rPr>
          <w:bCs/>
        </w:rPr>
        <w:t xml:space="preserve"> held an interest in land </w:t>
      </w:r>
      <w:r w:rsidR="00B6435B">
        <w:rPr>
          <w:bCs/>
        </w:rPr>
        <w:t xml:space="preserve">(either a legal or equitable interest) </w:t>
      </w:r>
      <w:r w:rsidRPr="00A61F7C">
        <w:rPr>
          <w:bCs/>
        </w:rPr>
        <w:t>ot</w:t>
      </w:r>
      <w:r w:rsidR="008847BF">
        <w:rPr>
          <w:bCs/>
        </w:rPr>
        <w:t xml:space="preserve">her than </w:t>
      </w:r>
      <w:r w:rsidR="008B4C2F">
        <w:rPr>
          <w:bCs/>
        </w:rPr>
        <w:t xml:space="preserve">in </w:t>
      </w:r>
      <w:r w:rsidR="008847BF">
        <w:rPr>
          <w:bCs/>
        </w:rPr>
        <w:t>the eligible property.</w:t>
      </w:r>
      <w:r w:rsidR="00D9101F">
        <w:rPr>
          <w:bCs/>
        </w:rPr>
        <w:t xml:space="preserve"> An interest in land is not limited to </w:t>
      </w:r>
      <w:r w:rsidR="005931F6">
        <w:rPr>
          <w:bCs/>
        </w:rPr>
        <w:t xml:space="preserve">a particular geographical location, such as land in the ACT. </w:t>
      </w:r>
    </w:p>
    <w:p w14:paraId="1DF6B226" w14:textId="77777777" w:rsidR="00A61F7C" w:rsidRPr="00A61F7C" w:rsidRDefault="00A61F7C" w:rsidP="00AC372A">
      <w:pPr>
        <w:rPr>
          <w:bCs/>
        </w:rPr>
      </w:pPr>
    </w:p>
    <w:p w14:paraId="1C1D137B" w14:textId="77777777" w:rsidR="00A61F7C" w:rsidRDefault="00A61F7C" w:rsidP="00AC372A">
      <w:r w:rsidRPr="00A61F7C">
        <w:rPr>
          <w:bCs/>
        </w:rPr>
        <w:t xml:space="preserve">Exceptions apply if </w:t>
      </w:r>
      <w:r w:rsidRPr="00A61F7C">
        <w:t>a court order, financial agreement, or domestic relationship agreement required the other property to be relinquished. However, these orders or agreements must be made before the transaction date.</w:t>
      </w:r>
    </w:p>
    <w:p w14:paraId="70572C49" w14:textId="77777777" w:rsidR="000467DA" w:rsidRDefault="000467DA" w:rsidP="00AC372A"/>
    <w:p w14:paraId="2793999E" w14:textId="4BB8BCFD" w:rsidR="00EE3994" w:rsidRDefault="004C1141" w:rsidP="00AC372A">
      <w:r>
        <w:t>The p</w:t>
      </w:r>
      <w:r w:rsidR="000467DA">
        <w:t>roperty interests of an eligible home buyer’s</w:t>
      </w:r>
      <w:r>
        <w:t xml:space="preserve"> domestic partner, who is a </w:t>
      </w:r>
      <w:r w:rsidR="000467DA">
        <w:t>spouse</w:t>
      </w:r>
      <w:r>
        <w:t xml:space="preserve">, </w:t>
      </w:r>
      <w:r w:rsidR="000467DA">
        <w:t xml:space="preserve">is also excluded where there has been a dissolution, annulment or irretrievable breakdown of the domestic relationship. This only applies if the eligible home buyer is not cohabitating with the spouse and there is no likelihood of cohabitation being resumed. </w:t>
      </w:r>
    </w:p>
    <w:p w14:paraId="560E4158" w14:textId="77777777" w:rsidR="00DA11A8" w:rsidRDefault="00DA11A8" w:rsidP="00AC372A"/>
    <w:p w14:paraId="38B5FBC1" w14:textId="1E386B7F" w:rsidR="00EE3994" w:rsidRPr="00A61F7C" w:rsidRDefault="00394614" w:rsidP="00AC372A">
      <w:r>
        <w:t>Eligible home buyers who have experienced family violence</w:t>
      </w:r>
      <w:r w:rsidR="008B7618">
        <w:t>, or whose dependent child has experienced family violence</w:t>
      </w:r>
      <w:r>
        <w:t xml:space="preserve"> can have their prior property interests excluded for 5 years. </w:t>
      </w:r>
    </w:p>
    <w:p w14:paraId="22810797" w14:textId="77777777" w:rsidR="00A61F7C" w:rsidRPr="00A61F7C" w:rsidRDefault="00A61F7C" w:rsidP="00AC372A"/>
    <w:p w14:paraId="4B0CDE48" w14:textId="3AC2576F" w:rsidR="00A61F7C" w:rsidRPr="008A6077" w:rsidRDefault="00A61F7C" w:rsidP="00AC372A">
      <w:r w:rsidRPr="008A6077">
        <w:t xml:space="preserve">Exceptions also apply if the other property </w:t>
      </w:r>
      <w:r w:rsidR="00456F2A">
        <w:t xml:space="preserve">interest arises from </w:t>
      </w:r>
      <w:r w:rsidRPr="008A6077">
        <w:t>a will, or if the transferee had entered an agreement to purchase the property and subsequently cancelled (rescinded) the agreement to purchase th</w:t>
      </w:r>
      <w:r w:rsidR="00456F2A">
        <w:t>at</w:t>
      </w:r>
      <w:r w:rsidRPr="008A6077">
        <w:t xml:space="preserve"> property.</w:t>
      </w:r>
    </w:p>
    <w:p w14:paraId="522776F5" w14:textId="38800473" w:rsidR="000467DA" w:rsidRPr="008A6077" w:rsidRDefault="000467DA" w:rsidP="00AC372A"/>
    <w:p w14:paraId="0562DD26" w14:textId="77777777" w:rsidR="00626A08" w:rsidRPr="008A6077" w:rsidRDefault="0086473D" w:rsidP="00AC372A">
      <w:pPr>
        <w:rPr>
          <w:rFonts w:ascii="Arial" w:hAnsi="Arial" w:cs="Arial"/>
          <w:b/>
          <w:sz w:val="26"/>
          <w:szCs w:val="26"/>
        </w:rPr>
      </w:pPr>
      <w:r w:rsidRPr="008A6077">
        <w:rPr>
          <w:rFonts w:ascii="Arial" w:hAnsi="Arial" w:cs="Arial"/>
          <w:b/>
          <w:sz w:val="26"/>
          <w:szCs w:val="26"/>
        </w:rPr>
        <w:t>Income requirements</w:t>
      </w:r>
    </w:p>
    <w:p w14:paraId="3CCA9D6C" w14:textId="77777777" w:rsidR="00626A08" w:rsidRPr="008A6077" w:rsidRDefault="00626A08" w:rsidP="00AC372A"/>
    <w:p w14:paraId="2C11F7B4" w14:textId="7580B8E1" w:rsidR="00B65B1A" w:rsidRDefault="00DA1245" w:rsidP="00AC372A">
      <w:r w:rsidRPr="008A6077">
        <w:t xml:space="preserve">To be eligible for the HBC, </w:t>
      </w:r>
      <w:r w:rsidR="00874E3D" w:rsidRPr="008A6077">
        <w:t>t</w:t>
      </w:r>
      <w:r w:rsidR="001E6C23" w:rsidRPr="008A6077">
        <w:t>h</w:t>
      </w:r>
      <w:r w:rsidRPr="008A6077">
        <w:t xml:space="preserve">e </w:t>
      </w:r>
      <w:r w:rsidR="002F72EF" w:rsidRPr="007C44EF">
        <w:t>taxable</w:t>
      </w:r>
      <w:r w:rsidR="00626A08" w:rsidRPr="007C44EF">
        <w:t xml:space="preserve"> income</w:t>
      </w:r>
      <w:r w:rsidR="00874E3D" w:rsidRPr="007C44EF">
        <w:t xml:space="preserve"> of all transferees and their domestic partners (if any) </w:t>
      </w:r>
      <w:r w:rsidRPr="007C44EF">
        <w:t>in the previous financial year must be less than or equal to the income threshold.</w:t>
      </w:r>
      <w:r w:rsidR="007B785B" w:rsidRPr="007C44EF">
        <w:t xml:space="preserve"> </w:t>
      </w:r>
      <w:r w:rsidR="002F72EF" w:rsidRPr="007C44EF">
        <w:t xml:space="preserve">Taxable income is defined under the </w:t>
      </w:r>
      <w:r w:rsidR="002F72EF" w:rsidRPr="007C44EF">
        <w:rPr>
          <w:i/>
        </w:rPr>
        <w:t xml:space="preserve">Income Tax Assessment Act 1997 </w:t>
      </w:r>
      <w:r w:rsidR="002F72EF" w:rsidRPr="007C44EF">
        <w:t>(Cwlth)</w:t>
      </w:r>
      <w:r w:rsidR="00610F02" w:rsidRPr="007C44EF">
        <w:t xml:space="preserve"> </w:t>
      </w:r>
      <w:r w:rsidR="00456F2A" w:rsidRPr="007C44EF">
        <w:t>and</w:t>
      </w:r>
      <w:r w:rsidR="00610F02" w:rsidRPr="007C44EF">
        <w:t xml:space="preserve"> determined by the notice of assessment issued by the Commissioner of Taxation relating to the previous financial year</w:t>
      </w:r>
      <w:r w:rsidR="002F72EF" w:rsidRPr="007C44EF">
        <w:t>.</w:t>
      </w:r>
    </w:p>
    <w:p w14:paraId="3728E8E5" w14:textId="77777777" w:rsidR="005E4CF1" w:rsidRDefault="005E4CF1" w:rsidP="00AC372A"/>
    <w:p w14:paraId="47061D5F" w14:textId="0F7B8A95" w:rsidR="00CB460C" w:rsidRDefault="005E4CF1" w:rsidP="00AC372A">
      <w:r>
        <w:lastRenderedPageBreak/>
        <w:t xml:space="preserve">If a person does not have a taxable income assessed for the previous financial year, then their </w:t>
      </w:r>
      <w:r w:rsidR="00B365B3">
        <w:t xml:space="preserve">gross </w:t>
      </w:r>
      <w:r>
        <w:t xml:space="preserve">income for the previous financial year must be below the income threshold. </w:t>
      </w:r>
      <w:r w:rsidR="00B365B3">
        <w:t>Gross i</w:t>
      </w:r>
      <w:r>
        <w:t xml:space="preserve">ncome is defined as being income from all sources with </w:t>
      </w:r>
      <w:r w:rsidR="000C7D9E">
        <w:t>exception for</w:t>
      </w:r>
      <w:r w:rsidR="000E302C">
        <w:t xml:space="preserve"> employment termination payments for a genuine redundancy package</w:t>
      </w:r>
      <w:r w:rsidR="000C7D9E">
        <w:t xml:space="preserve">. </w:t>
      </w:r>
      <w:r w:rsidR="00B365B3">
        <w:t>Gross i</w:t>
      </w:r>
      <w:r w:rsidR="000C7D9E">
        <w:t xml:space="preserve">ncome is broadly defined and would include salaried income, fringe benefits, </w:t>
      </w:r>
      <w:r w:rsidR="00360816">
        <w:t xml:space="preserve">foreign income, reportable superannuation contributions etc. </w:t>
      </w:r>
      <w:r w:rsidR="00B365B3">
        <w:t>Exempt income is employment termination payments for a genuine redundancy package</w:t>
      </w:r>
      <w:r w:rsidR="00CB460C">
        <w:t>.</w:t>
      </w:r>
      <w:r w:rsidR="00B365B3">
        <w:t xml:space="preserve"> </w:t>
      </w:r>
    </w:p>
    <w:p w14:paraId="760194FE" w14:textId="77777777" w:rsidR="00CB460C" w:rsidRDefault="00CB460C" w:rsidP="00AC372A"/>
    <w:p w14:paraId="6CBC04C7" w14:textId="55D7DD03" w:rsidR="005E4CF1" w:rsidRPr="008A6077" w:rsidRDefault="00360816" w:rsidP="00AC372A">
      <w:r>
        <w:t xml:space="preserve">The income for a self-employed person is their business’s trading profit not the business’s turnover. </w:t>
      </w:r>
      <w:r w:rsidR="00CB460C">
        <w:t xml:space="preserve">A person is deemed to be self-employed if they are a sole trader, not if they are a director, shareholder and/or employee of their company. </w:t>
      </w:r>
    </w:p>
    <w:p w14:paraId="37777A02" w14:textId="77777777" w:rsidR="00DA1245" w:rsidRPr="008A6077" w:rsidRDefault="00DA1245" w:rsidP="00AC372A"/>
    <w:p w14:paraId="7D906561" w14:textId="1E3FF14C" w:rsidR="003C1C8E" w:rsidRDefault="00DA1245" w:rsidP="00AC372A">
      <w:r w:rsidRPr="008A6077">
        <w:t>T</w:t>
      </w:r>
      <w:r w:rsidR="00626A08" w:rsidRPr="008A6077">
        <w:t xml:space="preserve">he income threshold </w:t>
      </w:r>
      <w:r w:rsidRPr="00044D3E">
        <w:t>is</w:t>
      </w:r>
      <w:r w:rsidR="00626A08" w:rsidRPr="00044D3E">
        <w:t xml:space="preserve"> $</w:t>
      </w:r>
      <w:r w:rsidR="00337B6A" w:rsidRPr="00044D3E">
        <w:t>250</w:t>
      </w:r>
      <w:r w:rsidR="007C44EF" w:rsidRPr="00044D3E">
        <w:t>,</w:t>
      </w:r>
      <w:r w:rsidR="00626A08" w:rsidRPr="00044D3E">
        <w:t>000 per year.</w:t>
      </w:r>
      <w:r w:rsidR="0034365E" w:rsidRPr="00044D3E">
        <w:t xml:space="preserve"> An additional allowance of </w:t>
      </w:r>
      <w:r w:rsidR="002F72EF" w:rsidRPr="00044D3E">
        <w:t xml:space="preserve">$4,600 per year </w:t>
      </w:r>
      <w:r w:rsidR="0034365E" w:rsidRPr="00044D3E">
        <w:t>is pr</w:t>
      </w:r>
      <w:r w:rsidR="0034365E" w:rsidRPr="00AC576E">
        <w:t xml:space="preserve">ovided for </w:t>
      </w:r>
      <w:r w:rsidR="003C1C8E" w:rsidRPr="00AC576E">
        <w:t xml:space="preserve">each </w:t>
      </w:r>
      <w:r w:rsidR="005759AF" w:rsidRPr="00AC576E">
        <w:t xml:space="preserve">dependent child of </w:t>
      </w:r>
      <w:r w:rsidR="008847BF" w:rsidRPr="00AC576E">
        <w:t xml:space="preserve">a </w:t>
      </w:r>
      <w:r w:rsidR="00874E3D" w:rsidRPr="00AC576E">
        <w:t>transferee or domestic partner</w:t>
      </w:r>
      <w:r w:rsidR="00D85AC6" w:rsidRPr="00AC576E">
        <w:t>.</w:t>
      </w:r>
      <w:r w:rsidR="00D85AC6" w:rsidRPr="008A6077">
        <w:t xml:space="preserve"> </w:t>
      </w:r>
      <w:r w:rsidR="004C4333" w:rsidRPr="008A6077">
        <w:t xml:space="preserve">Each </w:t>
      </w:r>
      <w:r w:rsidR="001E6C23" w:rsidRPr="008A6077">
        <w:t>person’s</w:t>
      </w:r>
      <w:r w:rsidR="004C4333" w:rsidRPr="008A6077">
        <w:t xml:space="preserve"> dependent children are added together for this purpose.</w:t>
      </w:r>
      <w:r w:rsidRPr="008A6077">
        <w:t xml:space="preserve"> </w:t>
      </w:r>
      <w:r w:rsidR="003C1C8E" w:rsidRPr="008A6077">
        <w:t>Dependent child is de</w:t>
      </w:r>
      <w:r w:rsidR="005759AF" w:rsidRPr="008A6077">
        <w:t xml:space="preserve">fined by reference to the </w:t>
      </w:r>
      <w:r w:rsidR="005759AF" w:rsidRPr="008A6077">
        <w:rPr>
          <w:i/>
        </w:rPr>
        <w:t>Social Security Act 1991</w:t>
      </w:r>
      <w:r w:rsidR="005759AF" w:rsidRPr="008A6077">
        <w:t xml:space="preserve"> (Cwlth)</w:t>
      </w:r>
      <w:r w:rsidR="00C86538">
        <w:t>.</w:t>
      </w:r>
    </w:p>
    <w:p w14:paraId="6C42B822" w14:textId="77777777" w:rsidR="004C1141" w:rsidRDefault="004C1141" w:rsidP="00AC372A"/>
    <w:p w14:paraId="278E4575" w14:textId="790868E0" w:rsidR="0034365E" w:rsidRDefault="006308D6" w:rsidP="00AC372A">
      <w:pPr>
        <w:rPr>
          <w:szCs w:val="24"/>
          <w:lang w:eastAsia="en-AU"/>
        </w:rPr>
      </w:pPr>
      <w:r>
        <w:rPr>
          <w:szCs w:val="24"/>
          <w:lang w:eastAsia="en-AU"/>
        </w:rPr>
        <w:t>A</w:t>
      </w:r>
      <w:r w:rsidR="005F0C24" w:rsidRPr="005F0C24">
        <w:rPr>
          <w:szCs w:val="24"/>
          <w:lang w:eastAsia="en-AU"/>
        </w:rPr>
        <w:t xml:space="preserve"> domestic partner</w:t>
      </w:r>
      <w:r w:rsidR="00456F2A">
        <w:rPr>
          <w:szCs w:val="24"/>
          <w:lang w:eastAsia="en-AU"/>
        </w:rPr>
        <w:t>’</w:t>
      </w:r>
      <w:r w:rsidR="005F0C24" w:rsidRPr="005F0C24">
        <w:rPr>
          <w:szCs w:val="24"/>
          <w:lang w:eastAsia="en-AU"/>
        </w:rPr>
        <w:t xml:space="preserve">s income </w:t>
      </w:r>
      <w:r w:rsidR="000467DA">
        <w:rPr>
          <w:szCs w:val="24"/>
          <w:lang w:eastAsia="en-AU"/>
        </w:rPr>
        <w:t xml:space="preserve">is </w:t>
      </w:r>
      <w:r w:rsidR="005F0C24" w:rsidRPr="005F0C24">
        <w:rPr>
          <w:szCs w:val="24"/>
          <w:lang w:eastAsia="en-AU"/>
        </w:rPr>
        <w:t xml:space="preserve">excluded from the income requirement if the eligible home buyer or their dependent child has experienced family violence </w:t>
      </w:r>
      <w:r w:rsidR="00C86538">
        <w:rPr>
          <w:szCs w:val="24"/>
          <w:lang w:eastAsia="en-AU"/>
        </w:rPr>
        <w:t>by</w:t>
      </w:r>
      <w:r>
        <w:rPr>
          <w:szCs w:val="24"/>
          <w:lang w:eastAsia="en-AU"/>
        </w:rPr>
        <w:t xml:space="preserve"> the</w:t>
      </w:r>
      <w:r w:rsidR="005F0C24" w:rsidRPr="005F0C24">
        <w:rPr>
          <w:szCs w:val="24"/>
          <w:lang w:eastAsia="en-AU"/>
        </w:rPr>
        <w:t xml:space="preserve"> domestic partner within the previous 5 years</w:t>
      </w:r>
      <w:r w:rsidR="005F0C24">
        <w:rPr>
          <w:szCs w:val="24"/>
          <w:lang w:eastAsia="en-AU"/>
        </w:rPr>
        <w:t xml:space="preserve"> as </w:t>
      </w:r>
      <w:r w:rsidR="00C86538">
        <w:rPr>
          <w:szCs w:val="24"/>
          <w:lang w:eastAsia="en-AU"/>
        </w:rPr>
        <w:t>evidenc</w:t>
      </w:r>
      <w:r w:rsidR="005F0C24">
        <w:rPr>
          <w:szCs w:val="24"/>
          <w:lang w:eastAsia="en-AU"/>
        </w:rPr>
        <w:t>ed by</w:t>
      </w:r>
      <w:r w:rsidR="00A83F5E">
        <w:rPr>
          <w:szCs w:val="24"/>
          <w:lang w:eastAsia="en-AU"/>
        </w:rPr>
        <w:t xml:space="preserve">: </w:t>
      </w:r>
      <w:r w:rsidR="005F0C24">
        <w:rPr>
          <w:szCs w:val="24"/>
          <w:lang w:eastAsia="en-AU"/>
        </w:rPr>
        <w:t>a family violence order</w:t>
      </w:r>
      <w:r w:rsidR="00A83F5E">
        <w:rPr>
          <w:szCs w:val="24"/>
          <w:lang w:eastAsia="en-AU"/>
        </w:rPr>
        <w:t xml:space="preserve">; </w:t>
      </w:r>
      <w:r w:rsidR="005F0C24">
        <w:rPr>
          <w:szCs w:val="24"/>
          <w:lang w:eastAsia="en-AU"/>
        </w:rPr>
        <w:t xml:space="preserve">an injunction made under the </w:t>
      </w:r>
      <w:r w:rsidR="005F0C24">
        <w:rPr>
          <w:i/>
          <w:iCs/>
          <w:szCs w:val="24"/>
          <w:lang w:eastAsia="en-AU"/>
        </w:rPr>
        <w:t xml:space="preserve">Family Law Act 1975 </w:t>
      </w:r>
      <w:r w:rsidR="005F0C24">
        <w:rPr>
          <w:szCs w:val="24"/>
          <w:lang w:eastAsia="en-AU"/>
        </w:rPr>
        <w:t>(Cwlth), sections 68B or 114</w:t>
      </w:r>
      <w:r w:rsidR="00A83F5E">
        <w:rPr>
          <w:szCs w:val="24"/>
          <w:lang w:eastAsia="en-AU"/>
        </w:rPr>
        <w:t>; or a competent person declaration made by a competent person.</w:t>
      </w:r>
    </w:p>
    <w:p w14:paraId="3F46D3B2" w14:textId="77777777" w:rsidR="00044D3E" w:rsidRDefault="00044D3E" w:rsidP="00AC372A"/>
    <w:p w14:paraId="53462D8A" w14:textId="36D8DC76" w:rsidR="004C1141" w:rsidRDefault="004C1141" w:rsidP="00AC372A">
      <w:r>
        <w:t>The income of an eligible home buyer’s domestic partner, who is a spouse, is also excluded where there has been a dissolution, annulment or irretrievable breakdown of the domestic relationship. This only applies if the eligible home buyer is not cohabitating with the spouse and there is no likelihood of cohabitation being resumed.</w:t>
      </w:r>
    </w:p>
    <w:p w14:paraId="0E77B40A" w14:textId="77777777" w:rsidR="000467DA" w:rsidRPr="008A6077" w:rsidRDefault="000467DA" w:rsidP="00AC372A"/>
    <w:p w14:paraId="5E4DA3D4" w14:textId="3411A98B" w:rsidR="00BC1954" w:rsidRPr="00B74A89" w:rsidRDefault="00BC1954" w:rsidP="00AC372A">
      <w:pPr>
        <w:rPr>
          <w:rFonts w:ascii="Arial" w:hAnsi="Arial" w:cs="Arial"/>
          <w:b/>
          <w:sz w:val="26"/>
          <w:szCs w:val="26"/>
        </w:rPr>
      </w:pPr>
      <w:r w:rsidRPr="00B74A89">
        <w:rPr>
          <w:rFonts w:ascii="Arial" w:hAnsi="Arial" w:cs="Arial"/>
          <w:b/>
          <w:sz w:val="26"/>
          <w:szCs w:val="26"/>
        </w:rPr>
        <w:t>Residence requirements</w:t>
      </w:r>
    </w:p>
    <w:p w14:paraId="6392EB5B" w14:textId="77777777" w:rsidR="00DA6CBE" w:rsidRPr="00AC372A" w:rsidRDefault="00DA6CBE" w:rsidP="00AC372A"/>
    <w:p w14:paraId="165BFF1E" w14:textId="036B91F4" w:rsidR="00BC1954" w:rsidRPr="00B74A89" w:rsidRDefault="00390519" w:rsidP="00AC372A">
      <w:r w:rsidRPr="00B74A89">
        <w:t xml:space="preserve">At least one of the </w:t>
      </w:r>
      <w:r w:rsidR="00A61F7C" w:rsidRPr="00B74A89">
        <w:t>transferee</w:t>
      </w:r>
      <w:r w:rsidRPr="00B74A89">
        <w:t xml:space="preserve">s </w:t>
      </w:r>
      <w:r w:rsidR="008A6077" w:rsidRPr="00B74A89">
        <w:t>of</w:t>
      </w:r>
      <w:r w:rsidR="00BC1954" w:rsidRPr="00B74A89">
        <w:t xml:space="preserve"> the eligible property </w:t>
      </w:r>
      <w:r w:rsidRPr="00B74A89">
        <w:t xml:space="preserve">must </w:t>
      </w:r>
      <w:r w:rsidR="00DA6CBE" w:rsidRPr="00B74A89">
        <w:t xml:space="preserve">occupy </w:t>
      </w:r>
      <w:r w:rsidRPr="00B74A89">
        <w:t xml:space="preserve">the </w:t>
      </w:r>
      <w:r w:rsidR="00720F3B" w:rsidRPr="00B74A89">
        <w:t>property</w:t>
      </w:r>
      <w:r w:rsidRPr="00B74A89">
        <w:t xml:space="preserve"> as their principal place of residence continuously for a period of </w:t>
      </w:r>
      <w:r w:rsidR="001F1F9A" w:rsidRPr="00B74A89">
        <w:t xml:space="preserve">at least </w:t>
      </w:r>
      <w:r w:rsidR="00DC7B99" w:rsidRPr="00B74A89">
        <w:t xml:space="preserve">one </w:t>
      </w:r>
      <w:r w:rsidRPr="00B74A89">
        <w:t xml:space="preserve">year. That period must commence within </w:t>
      </w:r>
      <w:r w:rsidR="00DC7B99" w:rsidRPr="00B74A89">
        <w:t xml:space="preserve">one </w:t>
      </w:r>
      <w:r w:rsidRPr="00B74A89">
        <w:t>year of completion of the</w:t>
      </w:r>
      <w:r w:rsidR="001F1F9A" w:rsidRPr="00B74A89">
        <w:t xml:space="preserve"> transfer for a home</w:t>
      </w:r>
      <w:r w:rsidRPr="00B74A89">
        <w:t xml:space="preserve">, or the date </w:t>
      </w:r>
      <w:r w:rsidR="001F1F9A" w:rsidRPr="00B74A89">
        <w:t>that</w:t>
      </w:r>
      <w:r w:rsidRPr="00B74A89">
        <w:t xml:space="preserve"> the certificate of occupancy is issued following co</w:t>
      </w:r>
      <w:r w:rsidR="001F1F9A" w:rsidRPr="00B74A89">
        <w:t xml:space="preserve">mpletion of </w:t>
      </w:r>
      <w:r w:rsidR="00C70AA7" w:rsidRPr="00B74A89">
        <w:t xml:space="preserve">the </w:t>
      </w:r>
      <w:r w:rsidR="001F1F9A" w:rsidRPr="00B74A89">
        <w:t xml:space="preserve">construction of a home for vacant </w:t>
      </w:r>
      <w:r w:rsidR="0063087D" w:rsidRPr="00B74A89">
        <w:t>land</w:t>
      </w:r>
      <w:r w:rsidR="001F1F9A" w:rsidRPr="00B74A89">
        <w:t>.</w:t>
      </w:r>
      <w:r w:rsidR="00BC1954" w:rsidRPr="00B74A89">
        <w:t xml:space="preserve"> </w:t>
      </w:r>
    </w:p>
    <w:p w14:paraId="6256DB71" w14:textId="77777777" w:rsidR="00BC1954" w:rsidRPr="00B74A89" w:rsidRDefault="00BC1954" w:rsidP="00AC372A"/>
    <w:p w14:paraId="392D6B12" w14:textId="7079EABB" w:rsidR="005B6486" w:rsidRDefault="005B6486" w:rsidP="00AC372A">
      <w:r w:rsidRPr="00B74A89">
        <w:t xml:space="preserve">The domestic partner of a transferee can only fulfil the residence requirements if they are a transferee themselves; that is, they are named in the grant, transfer or agreement and they hold a relevant interest in the </w:t>
      </w:r>
      <w:r w:rsidR="00EE5A1D" w:rsidRPr="00B74A89">
        <w:t xml:space="preserve">eligible </w:t>
      </w:r>
      <w:r w:rsidRPr="00B74A89">
        <w:t>property.</w:t>
      </w:r>
    </w:p>
    <w:p w14:paraId="0FA24D19" w14:textId="77777777" w:rsidR="00B0234C" w:rsidRDefault="00B0234C" w:rsidP="00AC372A"/>
    <w:p w14:paraId="710F336C" w14:textId="54E01992" w:rsidR="00B0234C" w:rsidRPr="00B74A89" w:rsidRDefault="00B0234C" w:rsidP="00AC372A">
      <w:r>
        <w:t xml:space="preserve">However, if the eligible home buyer has used the exemptions relating to prior property interests or income to </w:t>
      </w:r>
      <w:r w:rsidR="00861DAE">
        <w:t>meet</w:t>
      </w:r>
      <w:r>
        <w:t xml:space="preserve"> the criterion of an eligible transaction and the domestic partner is referenced in the family violence order or the injunction, the domestic partner must not occupy or reside in the eligible property</w:t>
      </w:r>
      <w:r w:rsidR="00266233">
        <w:t xml:space="preserve"> during the time of the residence requirement. </w:t>
      </w:r>
    </w:p>
    <w:p w14:paraId="1E717665" w14:textId="77777777" w:rsidR="00390519" w:rsidRPr="00B74A89" w:rsidRDefault="00390519" w:rsidP="00AC372A">
      <w:pPr>
        <w:rPr>
          <w:rFonts w:ascii="Arial" w:hAnsi="Arial" w:cs="Arial"/>
          <w:b/>
          <w:sz w:val="22"/>
          <w:szCs w:val="22"/>
        </w:rPr>
      </w:pPr>
    </w:p>
    <w:p w14:paraId="01D7C6E7" w14:textId="7B396E19" w:rsidR="007141C0" w:rsidRPr="00B74A89" w:rsidRDefault="00390519" w:rsidP="00AC372A">
      <w:r w:rsidRPr="00B74A89">
        <w:t xml:space="preserve">A principal place of residence is defined as the home </w:t>
      </w:r>
      <w:r w:rsidR="007F2FEC" w:rsidRPr="00B74A89">
        <w:t xml:space="preserve">a person primarily occupies, on an ongoing and permanent basis, </w:t>
      </w:r>
      <w:r w:rsidR="001F1F9A" w:rsidRPr="00B74A89">
        <w:t xml:space="preserve">as their </w:t>
      </w:r>
      <w:r w:rsidRPr="00B74A89">
        <w:t xml:space="preserve">settled or usual home. </w:t>
      </w:r>
      <w:r w:rsidR="00C70AA7" w:rsidRPr="00B74A89">
        <w:t>W</w:t>
      </w:r>
      <w:r w:rsidRPr="00B74A89">
        <w:t>hen the occupation is transient, temporary or of a passing nature, this is not sufficient to establish occupation as a principal place of residence</w:t>
      </w:r>
      <w:r w:rsidR="00720F3B" w:rsidRPr="00B74A89">
        <w:t>.</w:t>
      </w:r>
    </w:p>
    <w:p w14:paraId="4E5EBB97" w14:textId="77777777" w:rsidR="003655E7" w:rsidRPr="00B74A89" w:rsidRDefault="003655E7" w:rsidP="00AC372A"/>
    <w:p w14:paraId="47C66376" w14:textId="58AA58A3" w:rsidR="003655E7" w:rsidRPr="00B74A89" w:rsidRDefault="003655E7" w:rsidP="00AC372A">
      <w:r w:rsidRPr="00B74A89">
        <w:t>This instrument also gives the Commissioner the discretion to extend the time for a transferee to meet the residence requirement</w:t>
      </w:r>
      <w:r w:rsidR="00103E42" w:rsidRPr="00B74A89">
        <w:t>s</w:t>
      </w:r>
      <w:r w:rsidRPr="00B74A89">
        <w:t xml:space="preserve">, to approve a residence period shorter than </w:t>
      </w:r>
      <w:r w:rsidR="00DC7B99" w:rsidRPr="00B74A89">
        <w:t xml:space="preserve">one </w:t>
      </w:r>
      <w:r w:rsidRPr="00B74A89">
        <w:t>ye</w:t>
      </w:r>
      <w:r w:rsidR="0028523C" w:rsidRPr="00B74A89">
        <w:t xml:space="preserve">ar, </w:t>
      </w:r>
      <w:r w:rsidR="00A06A8D" w:rsidRPr="00B74A89">
        <w:t xml:space="preserve">or to exempt the transferee from the residence requirements, </w:t>
      </w:r>
      <w:r w:rsidRPr="00B74A89">
        <w:t xml:space="preserve">in the event of unforeseen circumstances (such as, health-related issues). </w:t>
      </w:r>
    </w:p>
    <w:p w14:paraId="20E2749E" w14:textId="77777777" w:rsidR="003655E7" w:rsidRPr="00B74A89" w:rsidRDefault="003655E7" w:rsidP="00AC372A"/>
    <w:p w14:paraId="2AA0A791" w14:textId="1A173D7C" w:rsidR="003655E7" w:rsidRPr="007C2BF5" w:rsidRDefault="0014228A" w:rsidP="00AC372A">
      <w:r w:rsidRPr="00B74A89">
        <w:t xml:space="preserve">The Commissioner can exercise discretion in relation to residence requirements only </w:t>
      </w:r>
      <w:r w:rsidR="003655E7" w:rsidRPr="00B74A89">
        <w:t>where a written request to exercise them is made within 18 months of completion of the transfer for a home, or the date that the certificate of occupancy is issued following completion of the construction of a home for vacant land.</w:t>
      </w:r>
    </w:p>
    <w:p w14:paraId="201CC223" w14:textId="77777777" w:rsidR="008E3CEB" w:rsidRPr="008A6077" w:rsidRDefault="008E3CEB" w:rsidP="00AC372A"/>
    <w:p w14:paraId="34ADADA7" w14:textId="77777777" w:rsidR="00C3325C" w:rsidRPr="007C2BF5" w:rsidRDefault="00C3325C" w:rsidP="00AC372A">
      <w:pPr>
        <w:rPr>
          <w:rFonts w:ascii="Arial" w:hAnsi="Arial" w:cs="Arial"/>
          <w:b/>
          <w:sz w:val="26"/>
          <w:szCs w:val="26"/>
        </w:rPr>
      </w:pPr>
      <w:r>
        <w:rPr>
          <w:rFonts w:ascii="Arial" w:hAnsi="Arial" w:cs="Arial"/>
          <w:b/>
          <w:sz w:val="26"/>
          <w:szCs w:val="26"/>
        </w:rPr>
        <w:t xml:space="preserve">Required Age </w:t>
      </w:r>
    </w:p>
    <w:p w14:paraId="05EB9E16" w14:textId="77777777" w:rsidR="00C3325C" w:rsidRPr="007C2BF5" w:rsidRDefault="00C3325C" w:rsidP="00AC372A"/>
    <w:p w14:paraId="3B1C713B" w14:textId="77777777" w:rsidR="00C3325C" w:rsidRPr="007C2BF5" w:rsidRDefault="00C3325C" w:rsidP="00AC372A">
      <w:r w:rsidRPr="007C2BF5">
        <w:t xml:space="preserve">This instrument gives the Commissioner the discretion to </w:t>
      </w:r>
      <w:r>
        <w:t>accept</w:t>
      </w:r>
      <w:r w:rsidRPr="007C2BF5">
        <w:t xml:space="preserve"> a transferee under 18</w:t>
      </w:r>
      <w:r>
        <w:t> </w:t>
      </w:r>
      <w:r w:rsidRPr="007C2BF5">
        <w:t>years of age if satisfied that it is fair and reasonable to do so.</w:t>
      </w:r>
    </w:p>
    <w:p w14:paraId="4D30C9F6" w14:textId="77777777" w:rsidR="00C3325C" w:rsidRPr="007C2BF5" w:rsidRDefault="00C3325C" w:rsidP="00AC372A"/>
    <w:p w14:paraId="0A507D6D" w14:textId="77777777" w:rsidR="008E3CEB" w:rsidRPr="00160FF7" w:rsidRDefault="0086473D" w:rsidP="00AC372A">
      <w:pPr>
        <w:rPr>
          <w:rFonts w:ascii="Arial" w:hAnsi="Arial" w:cs="Arial"/>
          <w:b/>
          <w:sz w:val="26"/>
          <w:szCs w:val="26"/>
        </w:rPr>
      </w:pPr>
      <w:r w:rsidRPr="00160FF7">
        <w:rPr>
          <w:rFonts w:ascii="Arial" w:hAnsi="Arial" w:cs="Arial"/>
          <w:b/>
          <w:sz w:val="26"/>
          <w:szCs w:val="26"/>
        </w:rPr>
        <w:t>Failure to comply with requirement</w:t>
      </w:r>
      <w:r w:rsidR="008A6077" w:rsidRPr="00160FF7">
        <w:rPr>
          <w:rFonts w:ascii="Arial" w:hAnsi="Arial" w:cs="Arial"/>
          <w:b/>
          <w:sz w:val="26"/>
          <w:szCs w:val="26"/>
        </w:rPr>
        <w:t>s</w:t>
      </w:r>
    </w:p>
    <w:p w14:paraId="4CE887BA" w14:textId="77777777" w:rsidR="008E3CEB" w:rsidRPr="00160FF7" w:rsidRDefault="008E3CEB" w:rsidP="00AC372A"/>
    <w:p w14:paraId="0FABCF34" w14:textId="52AC5AB3" w:rsidR="008E3CEB" w:rsidRPr="00160FF7" w:rsidRDefault="001D337D" w:rsidP="00AC372A">
      <w:r>
        <w:t>If a transaction ceases to be eligible for the HBC—</w:t>
      </w:r>
      <w:r w:rsidRPr="00717299">
        <w:t xml:space="preserve">for example, because a person </w:t>
      </w:r>
      <w:r w:rsidR="00367B6F" w:rsidRPr="00717299">
        <w:t xml:space="preserve">failed </w:t>
      </w:r>
      <w:r w:rsidR="008E3CEB" w:rsidRPr="00717299">
        <w:t xml:space="preserve">to comply with </w:t>
      </w:r>
      <w:r w:rsidRPr="00717299">
        <w:t>an</w:t>
      </w:r>
      <w:r w:rsidR="008E3CEB" w:rsidRPr="00717299">
        <w:t xml:space="preserve"> </w:t>
      </w:r>
      <w:r w:rsidRPr="00717299">
        <w:t>eligibility requirement—this</w:t>
      </w:r>
      <w:r>
        <w:t xml:space="preserve"> instrument requires written notice of that fact to be provided</w:t>
      </w:r>
      <w:r w:rsidRPr="00160FF7">
        <w:t xml:space="preserve"> to the Commissioner.</w:t>
      </w:r>
      <w:r w:rsidR="008E3CEB" w:rsidRPr="00160FF7">
        <w:t xml:space="preserve"> The notice should advise about the failure to</w:t>
      </w:r>
      <w:r w:rsidR="00A21390" w:rsidRPr="00160FF7">
        <w:t xml:space="preserve"> meet the requirement. Notice </w:t>
      </w:r>
      <w:r w:rsidR="008E3CEB" w:rsidRPr="00160FF7">
        <w:t>must be given within 14 days after the end of the period allowed for compliance with the requirement</w:t>
      </w:r>
      <w:r w:rsidR="00C70AA7">
        <w:t>,</w:t>
      </w:r>
      <w:r w:rsidR="008E3CEB" w:rsidRPr="00160FF7">
        <w:t xml:space="preserve"> or the date </w:t>
      </w:r>
      <w:r w:rsidR="00C53A54">
        <w:t>the transferee</w:t>
      </w:r>
      <w:r w:rsidR="00C53A54" w:rsidRPr="00160FF7">
        <w:t xml:space="preserve"> </w:t>
      </w:r>
      <w:r w:rsidR="008E3CEB" w:rsidRPr="00160FF7">
        <w:t xml:space="preserve">first becomes </w:t>
      </w:r>
      <w:r w:rsidR="00C53A54">
        <w:t>aware</w:t>
      </w:r>
      <w:r w:rsidR="008E3CEB" w:rsidRPr="00160FF7">
        <w:t xml:space="preserve"> that the requirement will not be complied with (whichever comes first).</w:t>
      </w:r>
    </w:p>
    <w:p w14:paraId="4D38AF31" w14:textId="77777777" w:rsidR="008E3CEB" w:rsidRPr="00160FF7" w:rsidRDefault="008E3CEB" w:rsidP="00AC372A"/>
    <w:p w14:paraId="12A5D893" w14:textId="392072A6" w:rsidR="008E3CEB" w:rsidRPr="00160FF7" w:rsidRDefault="00160FF7" w:rsidP="00AC372A">
      <w:r w:rsidRPr="00160FF7">
        <w:t xml:space="preserve">If the transaction ceases to be an eligible transaction, </w:t>
      </w:r>
      <w:r w:rsidR="00310C47">
        <w:t xml:space="preserve">subject to the dutiable value of the </w:t>
      </w:r>
      <w:r w:rsidR="009D1BA2">
        <w:t xml:space="preserve">eligible </w:t>
      </w:r>
      <w:r w:rsidR="00310C47">
        <w:t xml:space="preserve">property, it </w:t>
      </w:r>
      <w:r w:rsidRPr="00160FF7">
        <w:t xml:space="preserve">will </w:t>
      </w:r>
      <w:r w:rsidR="008E3CEB" w:rsidRPr="00160FF7">
        <w:t xml:space="preserve">become liable for duty </w:t>
      </w:r>
      <w:r w:rsidR="00310C47">
        <w:t xml:space="preserve">or additional duty </w:t>
      </w:r>
      <w:r w:rsidR="008E3CEB" w:rsidRPr="00160FF7">
        <w:t xml:space="preserve">as at the </w:t>
      </w:r>
      <w:r w:rsidR="00A21390" w:rsidRPr="00160FF7">
        <w:t>transaction date</w:t>
      </w:r>
      <w:r w:rsidRPr="00160FF7">
        <w:t xml:space="preserve">. </w:t>
      </w:r>
      <w:r w:rsidR="008E3CEB" w:rsidRPr="00160FF7">
        <w:t xml:space="preserve">In other words, the </w:t>
      </w:r>
      <w:r w:rsidR="00A61F7C" w:rsidRPr="00160FF7">
        <w:t>transferee</w:t>
      </w:r>
      <w:r w:rsidR="00FB0E7F" w:rsidRPr="00160FF7">
        <w:t xml:space="preserve"> </w:t>
      </w:r>
      <w:r w:rsidR="008E3CEB" w:rsidRPr="00160FF7">
        <w:t xml:space="preserve">will become liable to pay the Territory </w:t>
      </w:r>
      <w:r w:rsidRPr="00160FF7">
        <w:t xml:space="preserve">the </w:t>
      </w:r>
      <w:r w:rsidR="008E3CEB" w:rsidRPr="00160FF7">
        <w:t xml:space="preserve">amount of duty that would have been payable on the eligible transaction if the </w:t>
      </w:r>
      <w:r w:rsidR="00FB0E7F" w:rsidRPr="00160FF7">
        <w:t>transaction</w:t>
      </w:r>
      <w:r w:rsidR="008E3CEB" w:rsidRPr="00160FF7">
        <w:t xml:space="preserve"> had not been eligible for the HBC. </w:t>
      </w:r>
    </w:p>
    <w:p w14:paraId="7F7236D9" w14:textId="77777777" w:rsidR="008E3CEB" w:rsidRPr="00160FF7" w:rsidRDefault="008E3CEB" w:rsidP="00AC372A"/>
    <w:p w14:paraId="09DDADC0" w14:textId="2CDB1A2E" w:rsidR="007A288A" w:rsidRPr="00DE1B02" w:rsidRDefault="00416723" w:rsidP="00AC372A">
      <w:r w:rsidRPr="00DE1B02">
        <w:t xml:space="preserve">If the transferee ceases to be eligible for HBC, the transferee will be liable for duty at the non-concessional rate. A transferee is liable </w:t>
      </w:r>
      <w:r w:rsidR="001D7058" w:rsidRPr="00DE1B02">
        <w:t xml:space="preserve">for duty </w:t>
      </w:r>
      <w:r w:rsidR="007A288A" w:rsidRPr="00DE1B02">
        <w:t>from the transaction date</w:t>
      </w:r>
      <w:r w:rsidR="001D7058" w:rsidRPr="00DE1B02">
        <w:t>. A requirement</w:t>
      </w:r>
      <w:r w:rsidR="007C44EF" w:rsidRPr="00DE1B02">
        <w:t xml:space="preserve"> </w:t>
      </w:r>
      <w:r w:rsidR="007A288A" w:rsidRPr="00DE1B02">
        <w:t xml:space="preserve">to pay the duty arises from 14 days after the transfer is registered with the registrar-general under section 16 (1) ‘Table 16 Items 1 and 3’ of the </w:t>
      </w:r>
      <w:r w:rsidR="00696174" w:rsidRPr="00DE1B02">
        <w:t>Act</w:t>
      </w:r>
      <w:r w:rsidR="007A288A" w:rsidRPr="00DE1B02">
        <w:t>. A tax default arises if the tax is not paid within 14 days and penalty tax applies under section</w:t>
      </w:r>
      <w:r w:rsidR="00861DAE">
        <w:t>s</w:t>
      </w:r>
      <w:r w:rsidR="007A288A" w:rsidRPr="00DE1B02">
        <w:t xml:space="preserve"> 31 (1)</w:t>
      </w:r>
      <w:r w:rsidR="00861DAE">
        <w:t>, (2) or (4)</w:t>
      </w:r>
      <w:r w:rsidR="007A288A" w:rsidRPr="00DE1B02">
        <w:t xml:space="preserve"> of the TA</w:t>
      </w:r>
      <w:r w:rsidR="00861DAE">
        <w:t xml:space="preserve"> </w:t>
      </w:r>
      <w:r w:rsidR="00696174" w:rsidRPr="00DE1B02">
        <w:t>A</w:t>
      </w:r>
      <w:r w:rsidR="00861DAE">
        <w:t>ct</w:t>
      </w:r>
      <w:r w:rsidR="007A288A" w:rsidRPr="00DE1B02">
        <w:t>, unless the Commissioner is satisfied that section 31 (5) applies, such as taking reasonable care to comply with a tax law. Interest also applies to a tax default and is calculated daily under section 25 (1) of the TA Act. Interest therefore is imposed from the 15</w:t>
      </w:r>
      <w:r w:rsidR="007A288A" w:rsidRPr="00DE1B02">
        <w:rPr>
          <w:vertAlign w:val="superscript"/>
        </w:rPr>
        <w:t>th</w:t>
      </w:r>
      <w:r w:rsidR="007A288A" w:rsidRPr="00DE1B02">
        <w:t xml:space="preserve"> day after the transfer is registered with the registrar-general until the purchaser pays the unpaid tax. Th</w:t>
      </w:r>
      <w:r w:rsidR="00D9101F" w:rsidRPr="00DE1B02">
        <w:t>e unpaid tax</w:t>
      </w:r>
      <w:r w:rsidR="007A288A" w:rsidRPr="00DE1B02">
        <w:t xml:space="preserve"> can include penalty tax if a purchaser failed to meet the criteria for an ‘eligible transaction’ under section </w:t>
      </w:r>
      <w:r w:rsidR="00FB1129" w:rsidRPr="00DE1B02">
        <w:t>6</w:t>
      </w:r>
      <w:r w:rsidR="007A288A" w:rsidRPr="00DE1B02">
        <w:t xml:space="preserve"> of th</w:t>
      </w:r>
      <w:r w:rsidR="00FB1129" w:rsidRPr="00DE1B02">
        <w:t>is</w:t>
      </w:r>
      <w:r w:rsidR="007A288A" w:rsidRPr="00DE1B02">
        <w:t xml:space="preserve"> </w:t>
      </w:r>
      <w:r w:rsidR="00FB1129" w:rsidRPr="00DE1B02">
        <w:t>instrument</w:t>
      </w:r>
      <w:r w:rsidR="007A288A" w:rsidRPr="00DE1B02">
        <w:t xml:space="preserve"> and by definition includes the residence period requirements. </w:t>
      </w:r>
    </w:p>
    <w:p w14:paraId="185F4378" w14:textId="77777777" w:rsidR="007A288A" w:rsidRPr="00DE1B02" w:rsidRDefault="007A288A" w:rsidP="00AC372A"/>
    <w:p w14:paraId="19AC0639" w14:textId="0ED7F8C3" w:rsidR="007A288A" w:rsidRPr="00DE1B02" w:rsidRDefault="007A288A" w:rsidP="00AC372A">
      <w:r w:rsidRPr="00DE1B02">
        <w:t>If a transferee gives notice to the Commissioner within 14 days of either the end any period for compliance with a requirement (such as residency periods) or the date the transferee first becomes aware the transaction is not eligible</w:t>
      </w:r>
      <w:r w:rsidR="001D7058" w:rsidRPr="00DE1B02">
        <w:t>,</w:t>
      </w:r>
      <w:r w:rsidRPr="00DE1B02">
        <w:t xml:space="preserve"> the Commissioner may remit penalty tax and interest associated with the tax default. </w:t>
      </w:r>
    </w:p>
    <w:p w14:paraId="777771F3" w14:textId="77777777" w:rsidR="007A288A" w:rsidRPr="00DE1B02" w:rsidRDefault="007A288A" w:rsidP="00AC372A"/>
    <w:p w14:paraId="3C5B6ECA" w14:textId="05CDF332" w:rsidR="007A288A" w:rsidRDefault="007A288A" w:rsidP="00AC372A">
      <w:r w:rsidRPr="00DE1B02">
        <w:t>The TA</w:t>
      </w:r>
      <w:r w:rsidR="00861DAE">
        <w:t xml:space="preserve"> </w:t>
      </w:r>
      <w:r w:rsidR="001D7058" w:rsidRPr="00DE1B02">
        <w:t>A</w:t>
      </w:r>
      <w:r w:rsidR="00861DAE">
        <w:t>ct</w:t>
      </w:r>
      <w:r w:rsidRPr="00DE1B02">
        <w:t xml:space="preserve"> also provides a range of offences which may apply, such as for the avoidance of tax and failing to notify the Commissioner.</w:t>
      </w:r>
      <w:r>
        <w:t xml:space="preserve"> </w:t>
      </w:r>
    </w:p>
    <w:p w14:paraId="0FF0177B" w14:textId="77777777" w:rsidR="00861DAE" w:rsidRDefault="00861DAE" w:rsidP="00AC372A"/>
    <w:p w14:paraId="4EA85F72" w14:textId="51AAB144" w:rsidR="00E4756B" w:rsidRPr="007C2BF5" w:rsidRDefault="00832B06" w:rsidP="00AC372A">
      <w:pPr>
        <w:rPr>
          <w:rFonts w:ascii="Arial" w:hAnsi="Arial" w:cs="Arial"/>
          <w:b/>
          <w:sz w:val="26"/>
          <w:szCs w:val="26"/>
        </w:rPr>
      </w:pPr>
      <w:r>
        <w:rPr>
          <w:rFonts w:ascii="Arial" w:hAnsi="Arial" w:cs="Arial"/>
          <w:b/>
          <w:sz w:val="26"/>
          <w:szCs w:val="26"/>
        </w:rPr>
        <w:t xml:space="preserve">Duty </w:t>
      </w:r>
      <w:r w:rsidR="00E4756B" w:rsidRPr="007C2BF5">
        <w:rPr>
          <w:rFonts w:ascii="Arial" w:hAnsi="Arial" w:cs="Arial"/>
          <w:b/>
          <w:sz w:val="26"/>
          <w:szCs w:val="26"/>
        </w:rPr>
        <w:t>rates</w:t>
      </w:r>
      <w:r w:rsidR="00C34BDB">
        <w:rPr>
          <w:rFonts w:ascii="Arial" w:hAnsi="Arial" w:cs="Arial"/>
          <w:b/>
          <w:sz w:val="26"/>
          <w:szCs w:val="26"/>
        </w:rPr>
        <w:t xml:space="preserve"> and capped benefit</w:t>
      </w:r>
    </w:p>
    <w:p w14:paraId="2C628A88" w14:textId="77777777" w:rsidR="00E4756B" w:rsidRPr="00AC372A" w:rsidRDefault="00E4756B" w:rsidP="00AC372A"/>
    <w:p w14:paraId="5B79C922" w14:textId="6C882250" w:rsidR="00C34BDB" w:rsidRPr="00EB4C94" w:rsidRDefault="00C34BDB" w:rsidP="00AC372A">
      <w:pPr>
        <w:rPr>
          <w:iCs/>
          <w:szCs w:val="24"/>
          <w:lang w:eastAsia="en-AU"/>
        </w:rPr>
      </w:pPr>
      <w:r w:rsidRPr="00B74A89">
        <w:t>From 1 July 2021, the benefit available from the HBC is capped at an amount equal to the amount of duty payable for property with a dutiable value of $1 million. From 1 July 2022, the cap amount is derived from the owner occupier base rate of duty under the</w:t>
      </w:r>
      <w:r w:rsidR="00EB4C94">
        <w:t xml:space="preserve"> applicable disallowable instrument for duty rates</w:t>
      </w:r>
      <w:r w:rsidR="005C3757">
        <w:t xml:space="preserve">—from 1 July </w:t>
      </w:r>
      <w:r w:rsidR="00014F3F">
        <w:t>2025</w:t>
      </w:r>
      <w:r w:rsidR="005C3757">
        <w:t>,</w:t>
      </w:r>
      <w:r w:rsidR="00EB4C94">
        <w:t xml:space="preserve"> the</w:t>
      </w:r>
      <w:r w:rsidRPr="00B74A89">
        <w:t xml:space="preserve"> </w:t>
      </w:r>
      <w:r w:rsidRPr="00B74A89">
        <w:rPr>
          <w:i/>
        </w:rPr>
        <w:t xml:space="preserve">Taxation Administration (Amounts Payable—Duty) Determination </w:t>
      </w:r>
      <w:r w:rsidRPr="00DE7FDD">
        <w:rPr>
          <w:i/>
        </w:rPr>
        <w:t>202</w:t>
      </w:r>
      <w:r w:rsidR="00014F3F">
        <w:rPr>
          <w:i/>
        </w:rPr>
        <w:t>5</w:t>
      </w:r>
      <w:r w:rsidRPr="00B74A89">
        <w:rPr>
          <w:i/>
        </w:rPr>
        <w:t>.</w:t>
      </w:r>
      <w:r w:rsidR="00EB4C94">
        <w:rPr>
          <w:i/>
        </w:rPr>
        <w:t xml:space="preserve"> </w:t>
      </w:r>
    </w:p>
    <w:p w14:paraId="658FDF63" w14:textId="77777777" w:rsidR="00C34BDB" w:rsidRPr="00B74A89" w:rsidRDefault="00C34BDB" w:rsidP="00AC372A"/>
    <w:p w14:paraId="74FB0029" w14:textId="2C7E1A96" w:rsidR="004B5B0F" w:rsidRPr="00B74A89" w:rsidRDefault="00882E0E" w:rsidP="00AC372A">
      <w:r w:rsidRPr="00B74A89">
        <w:t>T</w:t>
      </w:r>
      <w:r w:rsidR="00C70AA7" w:rsidRPr="00B74A89">
        <w:t xml:space="preserve">he rate of duty payable on an eligible transaction by an eligible home buyer is a nil </w:t>
      </w:r>
      <w:r w:rsidR="00717299" w:rsidRPr="00B74A89">
        <w:t>rate</w:t>
      </w:r>
      <w:r w:rsidR="001973A8" w:rsidRPr="00B74A89">
        <w:t xml:space="preserve"> for </w:t>
      </w:r>
      <w:r w:rsidR="00311B3B" w:rsidRPr="00B74A89">
        <w:t xml:space="preserve">dutiable </w:t>
      </w:r>
      <w:r w:rsidR="00FF599A" w:rsidRPr="00B74A89">
        <w:t>value</w:t>
      </w:r>
      <w:r w:rsidR="00311B3B" w:rsidRPr="00B74A89">
        <w:t xml:space="preserve"> of</w:t>
      </w:r>
      <w:r w:rsidR="001973A8" w:rsidRPr="00B74A89">
        <w:t xml:space="preserve"> less than or equal to </w:t>
      </w:r>
      <w:r w:rsidR="001973A8" w:rsidRPr="004C1141">
        <w:t>$1,</w:t>
      </w:r>
      <w:r w:rsidR="00014F3F" w:rsidRPr="004C1141">
        <w:t>0</w:t>
      </w:r>
      <w:r w:rsidR="00014F3F">
        <w:t>2</w:t>
      </w:r>
      <w:r w:rsidR="00014F3F" w:rsidRPr="004C1141">
        <w:t>0</w:t>
      </w:r>
      <w:r w:rsidR="001973A8" w:rsidRPr="004C1141">
        <w:t>,000</w:t>
      </w:r>
      <w:r w:rsidR="00C70AA7" w:rsidRPr="004C1141">
        <w:t>.</w:t>
      </w:r>
      <w:r w:rsidR="00C70AA7" w:rsidRPr="00B74A89">
        <w:t xml:space="preserve"> </w:t>
      </w:r>
    </w:p>
    <w:p w14:paraId="6EB04EAF" w14:textId="77777777" w:rsidR="004B5B0F" w:rsidRPr="00B74A89" w:rsidRDefault="004B5B0F" w:rsidP="00AC372A"/>
    <w:p w14:paraId="5B694F62" w14:textId="3D993B78" w:rsidR="00E4756B" w:rsidRPr="00B74A89" w:rsidRDefault="004B5B0F" w:rsidP="00AC372A">
      <w:r w:rsidRPr="00B74A89">
        <w:t xml:space="preserve">For </w:t>
      </w:r>
      <w:r w:rsidR="007C44EF">
        <w:t xml:space="preserve">property with a </w:t>
      </w:r>
      <w:r w:rsidR="0083569E" w:rsidRPr="00B74A89">
        <w:t xml:space="preserve">dutiable </w:t>
      </w:r>
      <w:r w:rsidR="00FF599A" w:rsidRPr="00B74A89">
        <w:t>value</w:t>
      </w:r>
      <w:r w:rsidR="0083569E" w:rsidRPr="00B74A89">
        <w:t xml:space="preserve"> over $</w:t>
      </w:r>
      <w:r w:rsidR="0083569E" w:rsidRPr="004C1141">
        <w:t>1,0</w:t>
      </w:r>
      <w:r w:rsidR="00014F3F">
        <w:t>2</w:t>
      </w:r>
      <w:r w:rsidR="0083569E" w:rsidRPr="004C1141">
        <w:t>0,000</w:t>
      </w:r>
      <w:r w:rsidR="0083569E" w:rsidRPr="00B74A89">
        <w:t xml:space="preserve"> the rate of duty </w:t>
      </w:r>
      <w:r w:rsidR="0083569E" w:rsidRPr="004C1141">
        <w:t>of $6.40</w:t>
      </w:r>
      <w:r w:rsidR="0083569E" w:rsidRPr="00B74A89">
        <w:t xml:space="preserve"> for every $100, or part thereof, applies to the dutiable </w:t>
      </w:r>
      <w:r w:rsidR="00FF599A" w:rsidRPr="00B74A89">
        <w:t>value</w:t>
      </w:r>
      <w:r w:rsidR="0083569E" w:rsidRPr="00B74A89">
        <w:t xml:space="preserve"> that is more than $1,</w:t>
      </w:r>
      <w:r w:rsidR="00014F3F" w:rsidRPr="00B74A89">
        <w:t>0</w:t>
      </w:r>
      <w:r w:rsidR="00014F3F">
        <w:t>2</w:t>
      </w:r>
      <w:r w:rsidR="00014F3F" w:rsidRPr="00B74A89">
        <w:t>0</w:t>
      </w:r>
      <w:r w:rsidR="0083569E" w:rsidRPr="00B74A89">
        <w:t xml:space="preserve">,000 but not more than </w:t>
      </w:r>
      <w:r w:rsidR="0083569E" w:rsidRPr="004C1141">
        <w:t>$1,455,000.</w:t>
      </w:r>
      <w:r w:rsidR="00BE4ED7" w:rsidRPr="00B74A89">
        <w:t xml:space="preserve"> As this rate of duty only applies to that part of the dutiable value above </w:t>
      </w:r>
      <w:r w:rsidR="00014F3F" w:rsidRPr="00B74A89">
        <w:t>$1,0</w:t>
      </w:r>
      <w:r w:rsidR="00014F3F">
        <w:t>2</w:t>
      </w:r>
      <w:r w:rsidR="00014F3F" w:rsidRPr="00B74A89">
        <w:t xml:space="preserve">0,000 </w:t>
      </w:r>
      <w:r w:rsidR="00BE4ED7" w:rsidRPr="00B74A89">
        <w:t xml:space="preserve">the taxpayer retains the benefit of nil duty on that part of the dutiable value equal to or less than </w:t>
      </w:r>
      <w:r w:rsidR="00014F3F" w:rsidRPr="00B74A89">
        <w:t>$1,0</w:t>
      </w:r>
      <w:r w:rsidR="00014F3F">
        <w:t>2</w:t>
      </w:r>
      <w:r w:rsidR="00014F3F" w:rsidRPr="00B74A89">
        <w:t>0,000</w:t>
      </w:r>
      <w:r w:rsidR="00BE4ED7" w:rsidRPr="00B74A89">
        <w:t>.</w:t>
      </w:r>
    </w:p>
    <w:p w14:paraId="4CCD7491" w14:textId="00FDACFB" w:rsidR="0083569E" w:rsidRPr="00B74A89" w:rsidRDefault="0083569E" w:rsidP="00AC372A"/>
    <w:p w14:paraId="1EE1D368" w14:textId="3A8B2D5B" w:rsidR="0083569E" w:rsidRDefault="0083569E" w:rsidP="00AC372A">
      <w:r w:rsidRPr="00B74A89">
        <w:t xml:space="preserve">For dutiable </w:t>
      </w:r>
      <w:r w:rsidR="00943F2F" w:rsidRPr="00B74A89">
        <w:t>value</w:t>
      </w:r>
      <w:r w:rsidRPr="00B74A89">
        <w:t xml:space="preserve"> </w:t>
      </w:r>
      <w:r w:rsidRPr="004C1141">
        <w:t>over $1,455,000</w:t>
      </w:r>
      <w:r w:rsidRPr="00B74A89">
        <w:t xml:space="preserve">, </w:t>
      </w:r>
      <w:r w:rsidR="009620B8" w:rsidRPr="00B74A89">
        <w:t>a flat</w:t>
      </w:r>
      <w:r w:rsidRPr="00B74A89">
        <w:t xml:space="preserve"> rate of </w:t>
      </w:r>
      <w:r w:rsidRPr="00F15570">
        <w:t xml:space="preserve">duty </w:t>
      </w:r>
      <w:r w:rsidRPr="004C1141">
        <w:t>of $4.54</w:t>
      </w:r>
      <w:r w:rsidRPr="00F15570">
        <w:t xml:space="preserve"> for every</w:t>
      </w:r>
      <w:r w:rsidRPr="00B74A89">
        <w:t xml:space="preserve"> $100</w:t>
      </w:r>
      <w:r w:rsidR="00F848D8" w:rsidRPr="00B74A89">
        <w:t xml:space="preserve"> applies to the total dutiable value</w:t>
      </w:r>
      <w:r w:rsidR="009620B8" w:rsidRPr="00B74A89">
        <w:t xml:space="preserve"> consistent with conveyance duty for residential properties transfers generally</w:t>
      </w:r>
      <w:r w:rsidR="00F848D8" w:rsidRPr="00B74A89">
        <w:t>.</w:t>
      </w:r>
      <w:r w:rsidR="00BE4ED7" w:rsidRPr="00B74A89">
        <w:t xml:space="preserve"> </w:t>
      </w:r>
      <w:r w:rsidR="00983C0A" w:rsidRPr="00B74A89">
        <w:t>The</w:t>
      </w:r>
      <w:r w:rsidR="000205ED" w:rsidRPr="00B74A89">
        <w:t xml:space="preserve"> capped</w:t>
      </w:r>
      <w:r w:rsidR="00983C0A" w:rsidRPr="00B74A89">
        <w:t xml:space="preserve"> HBC benefit is then applied by subtracting a</w:t>
      </w:r>
      <w:r w:rsidR="00BE4ED7" w:rsidRPr="00B74A89">
        <w:t xml:space="preserve">n amount of duty </w:t>
      </w:r>
      <w:r w:rsidR="00983C0A" w:rsidRPr="00F15570">
        <w:t xml:space="preserve">of </w:t>
      </w:r>
      <w:r w:rsidR="00BE4ED7" w:rsidRPr="00F15570">
        <w:t>$</w:t>
      </w:r>
      <w:r w:rsidR="00014F3F">
        <w:t>35,238</w:t>
      </w:r>
      <w:r w:rsidR="00B74A89" w:rsidRPr="00B74A89">
        <w:t xml:space="preserve"> </w:t>
      </w:r>
      <w:r w:rsidR="00983C0A" w:rsidRPr="00B74A89">
        <w:t>– this is</w:t>
      </w:r>
      <w:r w:rsidR="00BE4ED7" w:rsidRPr="00B74A89">
        <w:t xml:space="preserve"> equivalent to that applying to a property with a dutiable value of </w:t>
      </w:r>
      <w:r w:rsidR="00014F3F" w:rsidRPr="00B74A89">
        <w:t>$1,0</w:t>
      </w:r>
      <w:r w:rsidR="00014F3F">
        <w:t>2</w:t>
      </w:r>
      <w:r w:rsidR="00014F3F" w:rsidRPr="00B74A89">
        <w:t xml:space="preserve">0,000 </w:t>
      </w:r>
      <w:r w:rsidR="00983C0A" w:rsidRPr="00B74A89">
        <w:t xml:space="preserve">(at the </w:t>
      </w:r>
      <w:r w:rsidR="000205ED" w:rsidRPr="00B74A89">
        <w:t xml:space="preserve">owner </w:t>
      </w:r>
      <w:r w:rsidR="00983C0A" w:rsidRPr="00B74A89">
        <w:t>occupier base rate</w:t>
      </w:r>
      <w:r w:rsidR="00B403ED" w:rsidRPr="00B74A89">
        <w:t xml:space="preserve"> </w:t>
      </w:r>
      <w:r w:rsidR="00E12664" w:rsidRPr="00B74A89">
        <w:t xml:space="preserve">from </w:t>
      </w:r>
      <w:r w:rsidR="005C3757">
        <w:t xml:space="preserve">1 July </w:t>
      </w:r>
      <w:r w:rsidR="00014F3F">
        <w:t>2025</w:t>
      </w:r>
      <w:r w:rsidR="00014F3F" w:rsidRPr="00B74A89">
        <w:t xml:space="preserve"> </w:t>
      </w:r>
      <w:r w:rsidR="00B403ED" w:rsidRPr="00B74A89">
        <w:t>given the application of residenc</w:t>
      </w:r>
      <w:r w:rsidR="009620B8" w:rsidRPr="00B74A89">
        <w:t>y</w:t>
      </w:r>
      <w:r w:rsidR="00B403ED" w:rsidRPr="00B74A89">
        <w:t xml:space="preserve"> requirements</w:t>
      </w:r>
      <w:r w:rsidR="00983C0A" w:rsidRPr="00B74A89">
        <w:t>).</w:t>
      </w:r>
      <w:r w:rsidR="00983C0A">
        <w:t xml:space="preserve"> </w:t>
      </w:r>
    </w:p>
    <w:p w14:paraId="669249B0" w14:textId="1521DA0E" w:rsidR="00F848D8" w:rsidRDefault="00F848D8" w:rsidP="00AC372A"/>
    <w:p w14:paraId="6970956D" w14:textId="77777777" w:rsidR="00E4756B" w:rsidRPr="00AC576E" w:rsidRDefault="00E4756B" w:rsidP="00AC372A">
      <w:pPr>
        <w:rPr>
          <w:rFonts w:ascii="Arial" w:hAnsi="Arial" w:cs="Arial"/>
          <w:b/>
          <w:sz w:val="26"/>
          <w:szCs w:val="26"/>
        </w:rPr>
      </w:pPr>
      <w:r w:rsidRPr="00AC576E">
        <w:rPr>
          <w:rFonts w:ascii="Arial" w:hAnsi="Arial" w:cs="Arial"/>
          <w:b/>
          <w:sz w:val="26"/>
          <w:szCs w:val="26"/>
        </w:rPr>
        <w:t>Undivided shares</w:t>
      </w:r>
    </w:p>
    <w:p w14:paraId="1F2162DF" w14:textId="77777777" w:rsidR="00E4756B" w:rsidRPr="00AC372A" w:rsidRDefault="00E4756B" w:rsidP="00AC372A"/>
    <w:p w14:paraId="5EDACA8B" w14:textId="7338D280" w:rsidR="00E4756B" w:rsidRPr="0053158D" w:rsidRDefault="00E4756B" w:rsidP="00AC372A">
      <w:r w:rsidRPr="00AC576E">
        <w:t>Where the eligible transaction is for a share in an eligible property, duty</w:t>
      </w:r>
      <w:r w:rsidR="001E351C" w:rsidRPr="00AC576E">
        <w:t xml:space="preserve"> is</w:t>
      </w:r>
      <w:r w:rsidRPr="00AC576E">
        <w:t xml:space="preserve"> payable i</w:t>
      </w:r>
      <w:r w:rsidR="001E351C" w:rsidRPr="00AC576E">
        <w:t>n</w:t>
      </w:r>
      <w:r w:rsidRPr="00AC576E">
        <w:t xml:space="preserve"> proportion to the share purchased by the eligible </w:t>
      </w:r>
      <w:r w:rsidR="001E351C" w:rsidRPr="00AC576E">
        <w:t>home buyer</w:t>
      </w:r>
      <w:r w:rsidRPr="00AC576E">
        <w:t>.</w:t>
      </w:r>
      <w:r w:rsidR="00385321">
        <w:t xml:space="preserve"> </w:t>
      </w:r>
    </w:p>
    <w:p w14:paraId="0A9925EB" w14:textId="77777777" w:rsidR="00E4756B" w:rsidRPr="00AC372A" w:rsidRDefault="00E4756B" w:rsidP="00AC372A"/>
    <w:p w14:paraId="618BA897" w14:textId="0857CFD5" w:rsidR="003F53CD" w:rsidRDefault="003F53CD" w:rsidP="00AC372A">
      <w:pPr>
        <w:rPr>
          <w:rFonts w:ascii="Arial" w:hAnsi="Arial" w:cs="Arial"/>
          <w:b/>
          <w:sz w:val="26"/>
          <w:szCs w:val="26"/>
        </w:rPr>
      </w:pPr>
      <w:r>
        <w:rPr>
          <w:rFonts w:ascii="Arial" w:hAnsi="Arial" w:cs="Arial"/>
          <w:b/>
          <w:sz w:val="26"/>
          <w:szCs w:val="26"/>
        </w:rPr>
        <w:t xml:space="preserve">Application for the </w:t>
      </w:r>
      <w:r w:rsidR="00717299">
        <w:rPr>
          <w:rFonts w:ascii="Arial" w:hAnsi="Arial" w:cs="Arial"/>
          <w:b/>
          <w:sz w:val="26"/>
          <w:szCs w:val="26"/>
        </w:rPr>
        <w:t>HBC</w:t>
      </w:r>
    </w:p>
    <w:p w14:paraId="49D7BEA8" w14:textId="77777777" w:rsidR="003F53CD" w:rsidRPr="00AC372A" w:rsidRDefault="003F53CD" w:rsidP="00AC372A"/>
    <w:p w14:paraId="20FF9383" w14:textId="6C08CB50" w:rsidR="003F53CD" w:rsidRDefault="003F53CD" w:rsidP="00AC372A">
      <w:r w:rsidRPr="006C7F22">
        <w:t xml:space="preserve">An application </w:t>
      </w:r>
      <w:r w:rsidR="005A3326">
        <w:t>under</w:t>
      </w:r>
      <w:r w:rsidRPr="006C7F22">
        <w:t xml:space="preserve"> the </w:t>
      </w:r>
      <w:r w:rsidR="005A3326">
        <w:t>HBC</w:t>
      </w:r>
      <w:r>
        <w:t xml:space="preserve"> may be made at the time the </w:t>
      </w:r>
      <w:r w:rsidR="00882E0E">
        <w:t xml:space="preserve">eligible </w:t>
      </w:r>
      <w:r>
        <w:t xml:space="preserve">home buyer </w:t>
      </w:r>
      <w:r w:rsidR="00CD5FF5">
        <w:t xml:space="preserve">lodges </w:t>
      </w:r>
      <w:r>
        <w:t xml:space="preserve">the transfer of the property with the </w:t>
      </w:r>
      <w:r w:rsidR="00FA00BF">
        <w:t>registrar</w:t>
      </w:r>
      <w:r>
        <w:t>-</w:t>
      </w:r>
      <w:r w:rsidR="00FA00BF">
        <w:t>g</w:t>
      </w:r>
      <w:r>
        <w:t>eneral of Land Titles. In practice</w:t>
      </w:r>
      <w:r w:rsidR="00957824">
        <w:t>,</w:t>
      </w:r>
      <w:r>
        <w:t xml:space="preserve"> a</w:t>
      </w:r>
      <w:r w:rsidR="00143079">
        <w:t>n</w:t>
      </w:r>
      <w:r>
        <w:t xml:space="preserve"> </w:t>
      </w:r>
      <w:r w:rsidR="00143079">
        <w:t xml:space="preserve">eligible </w:t>
      </w:r>
      <w:r>
        <w:t>home buyer would</w:t>
      </w:r>
      <w:r w:rsidR="00957824">
        <w:t xml:space="preserve"> usually</w:t>
      </w:r>
      <w:r>
        <w:t xml:space="preserve"> </w:t>
      </w:r>
      <w:r w:rsidR="003655E7">
        <w:t xml:space="preserve">make such an application by </w:t>
      </w:r>
      <w:r>
        <w:t>claim</w:t>
      </w:r>
      <w:r w:rsidR="003655E7">
        <w:t>ing</w:t>
      </w:r>
      <w:r>
        <w:t xml:space="preserve"> the HBC concession code on the transfer instrument </w:t>
      </w:r>
      <w:r w:rsidR="00FF599A">
        <w:t>at the time of lodgement</w:t>
      </w:r>
      <w:r>
        <w:t xml:space="preserve">. </w:t>
      </w:r>
    </w:p>
    <w:p w14:paraId="388E8E71" w14:textId="77777777" w:rsidR="003F53CD" w:rsidRDefault="003F53CD" w:rsidP="00AC372A"/>
    <w:p w14:paraId="1CC44BFD" w14:textId="2732B3B6" w:rsidR="00A41121" w:rsidRDefault="00957824" w:rsidP="00AC372A">
      <w:r>
        <w:t xml:space="preserve">If an application is not made within this timeframe, the </w:t>
      </w:r>
      <w:r w:rsidR="00143079">
        <w:t xml:space="preserve">eligible </w:t>
      </w:r>
      <w:r>
        <w:t xml:space="preserve">home buyer may apply to the Commissioner for an extension of time to submit a late application. In applying to the Commissioner, the home buyer must specify the grounds on which an extension is sought and must submit the application for an extension of time </w:t>
      </w:r>
      <w:r w:rsidRPr="00717299">
        <w:t xml:space="preserve">within </w:t>
      </w:r>
      <w:r w:rsidR="00CD5FF5" w:rsidRPr="00717299">
        <w:t>12</w:t>
      </w:r>
      <w:r w:rsidR="00CD5FF5">
        <w:t> </w:t>
      </w:r>
      <w:r w:rsidR="000C4320" w:rsidRPr="00717299">
        <w:t>months</w:t>
      </w:r>
      <w:r>
        <w:t xml:space="preserve"> of the </w:t>
      </w:r>
      <w:r w:rsidR="00FF599A">
        <w:t xml:space="preserve">lodgement </w:t>
      </w:r>
      <w:r>
        <w:t>of the transfer of the eligible property.</w:t>
      </w:r>
    </w:p>
    <w:p w14:paraId="791C132C" w14:textId="77777777" w:rsidR="00A41121" w:rsidRDefault="00A41121" w:rsidP="00AC372A"/>
    <w:p w14:paraId="45CFA41D" w14:textId="6414CE73" w:rsidR="003F53CD" w:rsidRDefault="00957824" w:rsidP="00AC372A">
      <w:r>
        <w:t>The Commissioner may</w:t>
      </w:r>
      <w:r w:rsidR="000C4320">
        <w:t xml:space="preserve"> </w:t>
      </w:r>
      <w:r w:rsidR="00B1263B">
        <w:t xml:space="preserve">accept an application to </w:t>
      </w:r>
      <w:r w:rsidR="000C4320">
        <w:t>extend</w:t>
      </w:r>
      <w:r>
        <w:t xml:space="preserve"> the time </w:t>
      </w:r>
      <w:r w:rsidR="00B1263B">
        <w:t xml:space="preserve">if satisfied that the applicant </w:t>
      </w:r>
      <w:r w:rsidR="001D085A">
        <w:t xml:space="preserve">was not able </w:t>
      </w:r>
      <w:r w:rsidR="00B1263B">
        <w:t xml:space="preserve">to apply for the duty concession at the time of </w:t>
      </w:r>
      <w:r w:rsidR="00FF599A">
        <w:t xml:space="preserve">lodgement </w:t>
      </w:r>
      <w:r w:rsidR="001D085A">
        <w:t xml:space="preserve">due to an unforeseen circumstance </w:t>
      </w:r>
      <w:r>
        <w:t>(</w:t>
      </w:r>
      <w:r w:rsidR="00A41121">
        <w:t>such as</w:t>
      </w:r>
      <w:r>
        <w:t>, serious illness</w:t>
      </w:r>
      <w:r w:rsidR="00B1263B">
        <w:t xml:space="preserve"> affecting the applicant</w:t>
      </w:r>
      <w:r>
        <w:t xml:space="preserve">). </w:t>
      </w:r>
    </w:p>
    <w:p w14:paraId="3B862240" w14:textId="77777777" w:rsidR="00044D3E" w:rsidRPr="00AC372A" w:rsidRDefault="00044D3E" w:rsidP="00AC372A"/>
    <w:p w14:paraId="30505FAB" w14:textId="23DCD475" w:rsidR="0001776D" w:rsidRPr="0053158D" w:rsidRDefault="0086473D" w:rsidP="00AC372A">
      <w:pPr>
        <w:rPr>
          <w:rFonts w:ascii="Arial" w:hAnsi="Arial" w:cs="Arial"/>
          <w:b/>
          <w:sz w:val="26"/>
          <w:szCs w:val="26"/>
        </w:rPr>
      </w:pPr>
      <w:r w:rsidRPr="0053158D">
        <w:rPr>
          <w:rFonts w:ascii="Arial" w:hAnsi="Arial" w:cs="Arial"/>
          <w:b/>
          <w:sz w:val="26"/>
          <w:szCs w:val="26"/>
        </w:rPr>
        <w:lastRenderedPageBreak/>
        <w:t>Revocation</w:t>
      </w:r>
      <w:r w:rsidR="00B96275">
        <w:rPr>
          <w:rFonts w:ascii="Arial" w:hAnsi="Arial" w:cs="Arial"/>
          <w:b/>
          <w:sz w:val="26"/>
          <w:szCs w:val="26"/>
        </w:rPr>
        <w:t xml:space="preserve"> </w:t>
      </w:r>
    </w:p>
    <w:p w14:paraId="1672FEE9" w14:textId="77777777" w:rsidR="0001776D" w:rsidRPr="0053158D" w:rsidRDefault="0001776D" w:rsidP="00AC372A"/>
    <w:p w14:paraId="0797DACE" w14:textId="776BF683" w:rsidR="00F262EB" w:rsidRPr="007C44EF" w:rsidRDefault="001919F5" w:rsidP="00AC372A">
      <w:pPr>
        <w:rPr>
          <w:lang w:val="en-US"/>
        </w:rPr>
      </w:pPr>
      <w:r>
        <w:t xml:space="preserve">Section </w:t>
      </w:r>
      <w:r w:rsidR="00FB13C2" w:rsidRPr="00A03B16">
        <w:t>9</w:t>
      </w:r>
      <w:r w:rsidR="00FB13C2">
        <w:t xml:space="preserve"> </w:t>
      </w:r>
      <w:r>
        <w:t>of th</w:t>
      </w:r>
      <w:r w:rsidR="004C1141">
        <w:t xml:space="preserve">e </w:t>
      </w:r>
      <w:r>
        <w:t xml:space="preserve">instrument </w:t>
      </w:r>
      <w:r w:rsidR="00F96354" w:rsidRPr="0053158D">
        <w:t>revokes</w:t>
      </w:r>
      <w:r w:rsidR="00F96354" w:rsidRPr="0053158D">
        <w:rPr>
          <w:i/>
        </w:rPr>
        <w:t xml:space="preserve"> </w:t>
      </w:r>
      <w:r w:rsidR="00014F3F" w:rsidRPr="0053158D">
        <w:t>DI20</w:t>
      </w:r>
      <w:r w:rsidR="00014F3F">
        <w:t>25</w:t>
      </w:r>
      <w:r w:rsidR="00F96354" w:rsidRPr="0053158D">
        <w:t>-</w:t>
      </w:r>
      <w:r w:rsidR="00014F3F">
        <w:t>68</w:t>
      </w:r>
      <w:r w:rsidR="00F96354" w:rsidRPr="00DC7B99">
        <w:t>.</w:t>
      </w:r>
      <w:r w:rsidR="00F96354" w:rsidRPr="0053158D">
        <w:t xml:space="preserve"> </w:t>
      </w:r>
    </w:p>
    <w:sectPr w:rsidR="00F262EB" w:rsidRPr="007C44EF"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4D32" w14:textId="77777777" w:rsidR="00CF63EF" w:rsidRDefault="00CF63EF">
      <w:r>
        <w:separator/>
      </w:r>
    </w:p>
  </w:endnote>
  <w:endnote w:type="continuationSeparator" w:id="0">
    <w:p w14:paraId="6620674A" w14:textId="77777777" w:rsidR="00CF63EF" w:rsidRDefault="00CF63EF">
      <w:r>
        <w:continuationSeparator/>
      </w:r>
    </w:p>
  </w:endnote>
  <w:endnote w:type="continuationNotice" w:id="1">
    <w:p w14:paraId="79B0C36E" w14:textId="77777777" w:rsidR="00CF63EF" w:rsidRDefault="00CF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935" w14:textId="77777777" w:rsidR="0065529F" w:rsidRDefault="00655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966D" w14:textId="762A18DD" w:rsidR="00E07259" w:rsidRPr="00BB76C3" w:rsidRDefault="00BB76C3" w:rsidP="00BB76C3">
    <w:pPr>
      <w:pStyle w:val="Footer"/>
      <w:jc w:val="center"/>
      <w:rPr>
        <w:rFonts w:cs="Arial"/>
        <w:sz w:val="14"/>
      </w:rPr>
    </w:pPr>
    <w:r w:rsidRPr="00BB76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148C" w14:textId="77777777" w:rsidR="0065529F" w:rsidRDefault="0065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9A6B" w14:textId="77777777" w:rsidR="00CF63EF" w:rsidRDefault="00CF63EF">
      <w:r>
        <w:separator/>
      </w:r>
    </w:p>
  </w:footnote>
  <w:footnote w:type="continuationSeparator" w:id="0">
    <w:p w14:paraId="3BCAB0F2" w14:textId="77777777" w:rsidR="00CF63EF" w:rsidRDefault="00CF63EF">
      <w:r>
        <w:continuationSeparator/>
      </w:r>
    </w:p>
  </w:footnote>
  <w:footnote w:type="continuationNotice" w:id="1">
    <w:p w14:paraId="2AE2481E" w14:textId="77777777" w:rsidR="00CF63EF" w:rsidRDefault="00CF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E753" w14:textId="77777777" w:rsidR="0065529F" w:rsidRDefault="00655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CD30" w14:textId="77777777" w:rsidR="0065529F" w:rsidRDefault="00655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964" w14:textId="77777777" w:rsidR="0065529F" w:rsidRDefault="0065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EF2790"/>
    <w:multiLevelType w:val="hybridMultilevel"/>
    <w:tmpl w:val="13BA1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9" w15:restartNumberingAfterBreak="0">
    <w:nsid w:val="65955BC2"/>
    <w:multiLevelType w:val="hybridMultilevel"/>
    <w:tmpl w:val="AA18FCB2"/>
    <w:lvl w:ilvl="0" w:tplc="C04E01DE">
      <w:start w:val="1"/>
      <w:numFmt w:val="decimal"/>
      <w:lvlText w:val="(%1)"/>
      <w:lvlJc w:val="left"/>
      <w:pPr>
        <w:ind w:left="720" w:hanging="360"/>
      </w:pPr>
      <w:rPr>
        <w:rFonts w:hint="default"/>
      </w:rPr>
    </w:lvl>
    <w:lvl w:ilvl="1" w:tplc="3C6C5B8A">
      <w:start w:val="1"/>
      <w:numFmt w:val="lowerLetter"/>
      <w:lvlText w:val="(%2)"/>
      <w:lvlJc w:val="left"/>
      <w:pPr>
        <w:ind w:left="1440" w:hanging="360"/>
      </w:pPr>
      <w:rPr>
        <w:rFonts w:cs="Times New Roman"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A90F75"/>
    <w:multiLevelType w:val="hybridMultilevel"/>
    <w:tmpl w:val="57A27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0853482">
    <w:abstractNumId w:val="4"/>
  </w:num>
  <w:num w:numId="2" w16cid:durableId="1662314">
    <w:abstractNumId w:val="0"/>
  </w:num>
  <w:num w:numId="3" w16cid:durableId="1731609671">
    <w:abstractNumId w:val="6"/>
  </w:num>
  <w:num w:numId="4" w16cid:durableId="1428231179">
    <w:abstractNumId w:val="11"/>
  </w:num>
  <w:num w:numId="5" w16cid:durableId="1006411">
    <w:abstractNumId w:val="21"/>
  </w:num>
  <w:num w:numId="6" w16cid:durableId="635647134">
    <w:abstractNumId w:val="3"/>
  </w:num>
  <w:num w:numId="7" w16cid:durableId="1302921368">
    <w:abstractNumId w:val="9"/>
  </w:num>
  <w:num w:numId="8" w16cid:durableId="1708068326">
    <w:abstractNumId w:val="10"/>
  </w:num>
  <w:num w:numId="9" w16cid:durableId="1756588573">
    <w:abstractNumId w:val="5"/>
  </w:num>
  <w:num w:numId="10" w16cid:durableId="267204686">
    <w:abstractNumId w:val="18"/>
  </w:num>
  <w:num w:numId="11" w16cid:durableId="615337078">
    <w:abstractNumId w:val="15"/>
  </w:num>
  <w:num w:numId="12" w16cid:durableId="996147454">
    <w:abstractNumId w:val="7"/>
  </w:num>
  <w:num w:numId="13" w16cid:durableId="423843974">
    <w:abstractNumId w:val="20"/>
  </w:num>
  <w:num w:numId="14" w16cid:durableId="1870755956">
    <w:abstractNumId w:val="2"/>
  </w:num>
  <w:num w:numId="15" w16cid:durableId="168568868">
    <w:abstractNumId w:val="8"/>
  </w:num>
  <w:num w:numId="16" w16cid:durableId="1772817826">
    <w:abstractNumId w:val="24"/>
  </w:num>
  <w:num w:numId="17" w16cid:durableId="1394111492">
    <w:abstractNumId w:val="14"/>
  </w:num>
  <w:num w:numId="18" w16cid:durableId="1324240072">
    <w:abstractNumId w:val="16"/>
  </w:num>
  <w:num w:numId="19" w16cid:durableId="1579049195">
    <w:abstractNumId w:val="1"/>
  </w:num>
  <w:num w:numId="20" w16cid:durableId="1508909438">
    <w:abstractNumId w:val="12"/>
  </w:num>
  <w:num w:numId="21" w16cid:durableId="1791431713">
    <w:abstractNumId w:val="13"/>
  </w:num>
  <w:num w:numId="22" w16cid:durableId="310404598">
    <w:abstractNumId w:val="22"/>
  </w:num>
  <w:num w:numId="23" w16cid:durableId="1612012156">
    <w:abstractNumId w:val="23"/>
  </w:num>
  <w:num w:numId="24" w16cid:durableId="50807377">
    <w:abstractNumId w:val="17"/>
  </w:num>
  <w:num w:numId="25" w16cid:durableId="1914969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1A4C"/>
    <w:rsid w:val="00010513"/>
    <w:rsid w:val="00010C58"/>
    <w:rsid w:val="00010D01"/>
    <w:rsid w:val="00012BFE"/>
    <w:rsid w:val="00014F3F"/>
    <w:rsid w:val="00015D07"/>
    <w:rsid w:val="0001776D"/>
    <w:rsid w:val="000205ED"/>
    <w:rsid w:val="000269C1"/>
    <w:rsid w:val="000273CE"/>
    <w:rsid w:val="000341B5"/>
    <w:rsid w:val="00043265"/>
    <w:rsid w:val="00044D3E"/>
    <w:rsid w:val="000460EF"/>
    <w:rsid w:val="000467DA"/>
    <w:rsid w:val="00046802"/>
    <w:rsid w:val="00046F8A"/>
    <w:rsid w:val="00055EB0"/>
    <w:rsid w:val="00066E67"/>
    <w:rsid w:val="000806FC"/>
    <w:rsid w:val="00081CA7"/>
    <w:rsid w:val="00081EAB"/>
    <w:rsid w:val="000843E4"/>
    <w:rsid w:val="00084553"/>
    <w:rsid w:val="00093172"/>
    <w:rsid w:val="000A0EC2"/>
    <w:rsid w:val="000B2DA6"/>
    <w:rsid w:val="000C1050"/>
    <w:rsid w:val="000C183A"/>
    <w:rsid w:val="000C3116"/>
    <w:rsid w:val="000C4320"/>
    <w:rsid w:val="000C7D9E"/>
    <w:rsid w:val="000D65B3"/>
    <w:rsid w:val="000E0219"/>
    <w:rsid w:val="000E302C"/>
    <w:rsid w:val="000E73CF"/>
    <w:rsid w:val="000E7BE3"/>
    <w:rsid w:val="000F0E2A"/>
    <w:rsid w:val="000F567F"/>
    <w:rsid w:val="00103E42"/>
    <w:rsid w:val="0011153D"/>
    <w:rsid w:val="00123849"/>
    <w:rsid w:val="00124701"/>
    <w:rsid w:val="00127894"/>
    <w:rsid w:val="00134832"/>
    <w:rsid w:val="00136F26"/>
    <w:rsid w:val="0014228A"/>
    <w:rsid w:val="00143079"/>
    <w:rsid w:val="00143744"/>
    <w:rsid w:val="00146D90"/>
    <w:rsid w:val="001572FB"/>
    <w:rsid w:val="0016093B"/>
    <w:rsid w:val="00160FF7"/>
    <w:rsid w:val="00162E21"/>
    <w:rsid w:val="0016664E"/>
    <w:rsid w:val="00170015"/>
    <w:rsid w:val="00177FE4"/>
    <w:rsid w:val="00184665"/>
    <w:rsid w:val="00184FAA"/>
    <w:rsid w:val="00187EAD"/>
    <w:rsid w:val="001919F5"/>
    <w:rsid w:val="00194A21"/>
    <w:rsid w:val="00195FA1"/>
    <w:rsid w:val="00197020"/>
    <w:rsid w:val="001973A8"/>
    <w:rsid w:val="001A18EE"/>
    <w:rsid w:val="001A23DC"/>
    <w:rsid w:val="001A6800"/>
    <w:rsid w:val="001B59B2"/>
    <w:rsid w:val="001C249D"/>
    <w:rsid w:val="001C6076"/>
    <w:rsid w:val="001D085A"/>
    <w:rsid w:val="001D2184"/>
    <w:rsid w:val="001D337D"/>
    <w:rsid w:val="001D7058"/>
    <w:rsid w:val="001E351C"/>
    <w:rsid w:val="001E3D5A"/>
    <w:rsid w:val="001E4DBB"/>
    <w:rsid w:val="001E6C23"/>
    <w:rsid w:val="001F1F9A"/>
    <w:rsid w:val="002022D8"/>
    <w:rsid w:val="0020307B"/>
    <w:rsid w:val="002057E4"/>
    <w:rsid w:val="0021279A"/>
    <w:rsid w:val="00217E47"/>
    <w:rsid w:val="002206A3"/>
    <w:rsid w:val="00221FF1"/>
    <w:rsid w:val="0022498A"/>
    <w:rsid w:val="00234AE5"/>
    <w:rsid w:val="00235291"/>
    <w:rsid w:val="00237826"/>
    <w:rsid w:val="0024204A"/>
    <w:rsid w:val="002421A1"/>
    <w:rsid w:val="00251D23"/>
    <w:rsid w:val="00252748"/>
    <w:rsid w:val="002541D3"/>
    <w:rsid w:val="002564DE"/>
    <w:rsid w:val="00260AEB"/>
    <w:rsid w:val="00264258"/>
    <w:rsid w:val="00266233"/>
    <w:rsid w:val="002726D4"/>
    <w:rsid w:val="002756D5"/>
    <w:rsid w:val="00275B52"/>
    <w:rsid w:val="0028293C"/>
    <w:rsid w:val="0028523C"/>
    <w:rsid w:val="0028688F"/>
    <w:rsid w:val="002C10B2"/>
    <w:rsid w:val="002C30B0"/>
    <w:rsid w:val="002D0130"/>
    <w:rsid w:val="002D0ED1"/>
    <w:rsid w:val="002D113F"/>
    <w:rsid w:val="002E6B35"/>
    <w:rsid w:val="002F72EF"/>
    <w:rsid w:val="00307B74"/>
    <w:rsid w:val="00310C47"/>
    <w:rsid w:val="00311B3B"/>
    <w:rsid w:val="00312C89"/>
    <w:rsid w:val="003143D2"/>
    <w:rsid w:val="0031510D"/>
    <w:rsid w:val="00321982"/>
    <w:rsid w:val="0032582D"/>
    <w:rsid w:val="00326968"/>
    <w:rsid w:val="0032710B"/>
    <w:rsid w:val="00327CA6"/>
    <w:rsid w:val="0033454A"/>
    <w:rsid w:val="00337B6A"/>
    <w:rsid w:val="00337EDE"/>
    <w:rsid w:val="0034365E"/>
    <w:rsid w:val="003466A9"/>
    <w:rsid w:val="00354462"/>
    <w:rsid w:val="00360816"/>
    <w:rsid w:val="00364A6D"/>
    <w:rsid w:val="003655E7"/>
    <w:rsid w:val="00367B6F"/>
    <w:rsid w:val="0037075D"/>
    <w:rsid w:val="00372917"/>
    <w:rsid w:val="00377762"/>
    <w:rsid w:val="00383A65"/>
    <w:rsid w:val="00385321"/>
    <w:rsid w:val="00390519"/>
    <w:rsid w:val="003940D4"/>
    <w:rsid w:val="00394614"/>
    <w:rsid w:val="003951C9"/>
    <w:rsid w:val="00396D64"/>
    <w:rsid w:val="003A49BE"/>
    <w:rsid w:val="003A4B6F"/>
    <w:rsid w:val="003A5919"/>
    <w:rsid w:val="003A61F2"/>
    <w:rsid w:val="003B2059"/>
    <w:rsid w:val="003B38DB"/>
    <w:rsid w:val="003C1C8E"/>
    <w:rsid w:val="003C24D1"/>
    <w:rsid w:val="003D4909"/>
    <w:rsid w:val="003D4B8E"/>
    <w:rsid w:val="003D60F8"/>
    <w:rsid w:val="003E022B"/>
    <w:rsid w:val="003E68EE"/>
    <w:rsid w:val="003F25A2"/>
    <w:rsid w:val="003F4465"/>
    <w:rsid w:val="003F53CD"/>
    <w:rsid w:val="003F6177"/>
    <w:rsid w:val="004052C9"/>
    <w:rsid w:val="00406E76"/>
    <w:rsid w:val="00416723"/>
    <w:rsid w:val="00424FED"/>
    <w:rsid w:val="0042518B"/>
    <w:rsid w:val="00427647"/>
    <w:rsid w:val="00430507"/>
    <w:rsid w:val="00432A7C"/>
    <w:rsid w:val="00440D88"/>
    <w:rsid w:val="00447305"/>
    <w:rsid w:val="00447BD9"/>
    <w:rsid w:val="00447E90"/>
    <w:rsid w:val="004538D6"/>
    <w:rsid w:val="00454973"/>
    <w:rsid w:val="00456F2A"/>
    <w:rsid w:val="00466BFC"/>
    <w:rsid w:val="00471C05"/>
    <w:rsid w:val="0047541C"/>
    <w:rsid w:val="0048240F"/>
    <w:rsid w:val="00485436"/>
    <w:rsid w:val="004958BF"/>
    <w:rsid w:val="00496240"/>
    <w:rsid w:val="004A527C"/>
    <w:rsid w:val="004A707E"/>
    <w:rsid w:val="004B5B0F"/>
    <w:rsid w:val="004C1141"/>
    <w:rsid w:val="004C4333"/>
    <w:rsid w:val="004C4A40"/>
    <w:rsid w:val="004D302D"/>
    <w:rsid w:val="004D505A"/>
    <w:rsid w:val="004D52AB"/>
    <w:rsid w:val="004D6557"/>
    <w:rsid w:val="004E544A"/>
    <w:rsid w:val="004F056A"/>
    <w:rsid w:val="004F3B84"/>
    <w:rsid w:val="004F3D11"/>
    <w:rsid w:val="005027FF"/>
    <w:rsid w:val="00504F91"/>
    <w:rsid w:val="00527A48"/>
    <w:rsid w:val="0053158D"/>
    <w:rsid w:val="0053244A"/>
    <w:rsid w:val="0053484D"/>
    <w:rsid w:val="00535BF4"/>
    <w:rsid w:val="00544385"/>
    <w:rsid w:val="0054611B"/>
    <w:rsid w:val="00557675"/>
    <w:rsid w:val="00557CA6"/>
    <w:rsid w:val="00557EA2"/>
    <w:rsid w:val="005644A4"/>
    <w:rsid w:val="005675E6"/>
    <w:rsid w:val="005759AF"/>
    <w:rsid w:val="005833A1"/>
    <w:rsid w:val="0058482F"/>
    <w:rsid w:val="00585786"/>
    <w:rsid w:val="00591ABF"/>
    <w:rsid w:val="0059269D"/>
    <w:rsid w:val="005931F6"/>
    <w:rsid w:val="0059517B"/>
    <w:rsid w:val="00597EC2"/>
    <w:rsid w:val="005A1447"/>
    <w:rsid w:val="005A3251"/>
    <w:rsid w:val="005A3326"/>
    <w:rsid w:val="005B6486"/>
    <w:rsid w:val="005C1F01"/>
    <w:rsid w:val="005C3757"/>
    <w:rsid w:val="005C5ABD"/>
    <w:rsid w:val="005C64EE"/>
    <w:rsid w:val="005C7375"/>
    <w:rsid w:val="005D70F1"/>
    <w:rsid w:val="005E2CE7"/>
    <w:rsid w:val="005E41F6"/>
    <w:rsid w:val="005E4CF1"/>
    <w:rsid w:val="005F029F"/>
    <w:rsid w:val="005F0C24"/>
    <w:rsid w:val="005F5629"/>
    <w:rsid w:val="005F597E"/>
    <w:rsid w:val="00600EFA"/>
    <w:rsid w:val="00610F02"/>
    <w:rsid w:val="006211CB"/>
    <w:rsid w:val="00622D51"/>
    <w:rsid w:val="00625061"/>
    <w:rsid w:val="00626A08"/>
    <w:rsid w:val="0063087D"/>
    <w:rsid w:val="006308D6"/>
    <w:rsid w:val="006437E8"/>
    <w:rsid w:val="00644C3A"/>
    <w:rsid w:val="00644E63"/>
    <w:rsid w:val="006463CF"/>
    <w:rsid w:val="00652C48"/>
    <w:rsid w:val="00653D6F"/>
    <w:rsid w:val="0065529F"/>
    <w:rsid w:val="00655FD4"/>
    <w:rsid w:val="00657592"/>
    <w:rsid w:val="0066239F"/>
    <w:rsid w:val="00664489"/>
    <w:rsid w:val="00670FE9"/>
    <w:rsid w:val="00674852"/>
    <w:rsid w:val="006752E1"/>
    <w:rsid w:val="006753FB"/>
    <w:rsid w:val="00682893"/>
    <w:rsid w:val="006829B3"/>
    <w:rsid w:val="00683491"/>
    <w:rsid w:val="00683B20"/>
    <w:rsid w:val="006929F8"/>
    <w:rsid w:val="00692F41"/>
    <w:rsid w:val="00696174"/>
    <w:rsid w:val="006A16D6"/>
    <w:rsid w:val="006A45B1"/>
    <w:rsid w:val="006A5663"/>
    <w:rsid w:val="006B484A"/>
    <w:rsid w:val="006B61FD"/>
    <w:rsid w:val="006C6F41"/>
    <w:rsid w:val="006C7F22"/>
    <w:rsid w:val="006D511C"/>
    <w:rsid w:val="006E1F6D"/>
    <w:rsid w:val="006E1FE1"/>
    <w:rsid w:val="006E5FA2"/>
    <w:rsid w:val="006E7E6E"/>
    <w:rsid w:val="006F09F2"/>
    <w:rsid w:val="007039AA"/>
    <w:rsid w:val="00704196"/>
    <w:rsid w:val="00707D6A"/>
    <w:rsid w:val="007141C0"/>
    <w:rsid w:val="007151DF"/>
    <w:rsid w:val="00717299"/>
    <w:rsid w:val="00720DA0"/>
    <w:rsid w:val="00720F3B"/>
    <w:rsid w:val="0072304C"/>
    <w:rsid w:val="00725F6A"/>
    <w:rsid w:val="007276F9"/>
    <w:rsid w:val="00745229"/>
    <w:rsid w:val="007458B0"/>
    <w:rsid w:val="0075065A"/>
    <w:rsid w:val="007603DE"/>
    <w:rsid w:val="007658C1"/>
    <w:rsid w:val="00766340"/>
    <w:rsid w:val="007671B5"/>
    <w:rsid w:val="0076763A"/>
    <w:rsid w:val="00771418"/>
    <w:rsid w:val="007727CC"/>
    <w:rsid w:val="00782ADF"/>
    <w:rsid w:val="00782FD2"/>
    <w:rsid w:val="0078326B"/>
    <w:rsid w:val="00784673"/>
    <w:rsid w:val="00784C76"/>
    <w:rsid w:val="007868C2"/>
    <w:rsid w:val="0079273F"/>
    <w:rsid w:val="007A05B3"/>
    <w:rsid w:val="007A1183"/>
    <w:rsid w:val="007A288A"/>
    <w:rsid w:val="007A38E8"/>
    <w:rsid w:val="007B785B"/>
    <w:rsid w:val="007C1522"/>
    <w:rsid w:val="007C2BF5"/>
    <w:rsid w:val="007C44EF"/>
    <w:rsid w:val="007C7CD2"/>
    <w:rsid w:val="007D1C64"/>
    <w:rsid w:val="007D4695"/>
    <w:rsid w:val="007D6984"/>
    <w:rsid w:val="007D767A"/>
    <w:rsid w:val="007E1FF3"/>
    <w:rsid w:val="007F2FEC"/>
    <w:rsid w:val="007F7759"/>
    <w:rsid w:val="0080072F"/>
    <w:rsid w:val="008020EC"/>
    <w:rsid w:val="00802FF5"/>
    <w:rsid w:val="00803667"/>
    <w:rsid w:val="00805C04"/>
    <w:rsid w:val="0082006C"/>
    <w:rsid w:val="00820FC7"/>
    <w:rsid w:val="008215FE"/>
    <w:rsid w:val="00824ABD"/>
    <w:rsid w:val="00832B06"/>
    <w:rsid w:val="00833E28"/>
    <w:rsid w:val="0083569E"/>
    <w:rsid w:val="008362A8"/>
    <w:rsid w:val="0083672C"/>
    <w:rsid w:val="00840739"/>
    <w:rsid w:val="00841F92"/>
    <w:rsid w:val="00845D84"/>
    <w:rsid w:val="0085514F"/>
    <w:rsid w:val="00860244"/>
    <w:rsid w:val="008602C8"/>
    <w:rsid w:val="00861DAE"/>
    <w:rsid w:val="0086473D"/>
    <w:rsid w:val="00867C0B"/>
    <w:rsid w:val="008706CF"/>
    <w:rsid w:val="00870CD6"/>
    <w:rsid w:val="00874E3D"/>
    <w:rsid w:val="00882E0E"/>
    <w:rsid w:val="008847BF"/>
    <w:rsid w:val="0088754D"/>
    <w:rsid w:val="00893A36"/>
    <w:rsid w:val="008977AE"/>
    <w:rsid w:val="008A0F73"/>
    <w:rsid w:val="008A2D73"/>
    <w:rsid w:val="008A6077"/>
    <w:rsid w:val="008A68F4"/>
    <w:rsid w:val="008B1C8A"/>
    <w:rsid w:val="008B4C2F"/>
    <w:rsid w:val="008B7618"/>
    <w:rsid w:val="008B7EE9"/>
    <w:rsid w:val="008C0E36"/>
    <w:rsid w:val="008C2C09"/>
    <w:rsid w:val="008C3474"/>
    <w:rsid w:val="008C6961"/>
    <w:rsid w:val="008D11D3"/>
    <w:rsid w:val="008D13AA"/>
    <w:rsid w:val="008D423D"/>
    <w:rsid w:val="008D4398"/>
    <w:rsid w:val="008D64F6"/>
    <w:rsid w:val="008E2D9E"/>
    <w:rsid w:val="008E3CEB"/>
    <w:rsid w:val="008E6FB4"/>
    <w:rsid w:val="00900E6E"/>
    <w:rsid w:val="00902619"/>
    <w:rsid w:val="00915314"/>
    <w:rsid w:val="00923DC4"/>
    <w:rsid w:val="00936C4C"/>
    <w:rsid w:val="00936EC2"/>
    <w:rsid w:val="009371AF"/>
    <w:rsid w:val="00937772"/>
    <w:rsid w:val="0094192A"/>
    <w:rsid w:val="00942B2A"/>
    <w:rsid w:val="00943F2F"/>
    <w:rsid w:val="00951230"/>
    <w:rsid w:val="00952599"/>
    <w:rsid w:val="00952601"/>
    <w:rsid w:val="00954609"/>
    <w:rsid w:val="00957824"/>
    <w:rsid w:val="00960DA3"/>
    <w:rsid w:val="009620B8"/>
    <w:rsid w:val="00965AED"/>
    <w:rsid w:val="00967574"/>
    <w:rsid w:val="0098194C"/>
    <w:rsid w:val="00983C0A"/>
    <w:rsid w:val="00985DD4"/>
    <w:rsid w:val="00990CF2"/>
    <w:rsid w:val="00990F91"/>
    <w:rsid w:val="009A60B7"/>
    <w:rsid w:val="009B4B0F"/>
    <w:rsid w:val="009C2D76"/>
    <w:rsid w:val="009C4E0C"/>
    <w:rsid w:val="009C530D"/>
    <w:rsid w:val="009D1BA2"/>
    <w:rsid w:val="009D772B"/>
    <w:rsid w:val="009E7CB2"/>
    <w:rsid w:val="009F01B7"/>
    <w:rsid w:val="009F2AF8"/>
    <w:rsid w:val="00A022A1"/>
    <w:rsid w:val="00A03B16"/>
    <w:rsid w:val="00A04CF1"/>
    <w:rsid w:val="00A05DD3"/>
    <w:rsid w:val="00A06A8D"/>
    <w:rsid w:val="00A15029"/>
    <w:rsid w:val="00A21390"/>
    <w:rsid w:val="00A234EB"/>
    <w:rsid w:val="00A335E2"/>
    <w:rsid w:val="00A40A52"/>
    <w:rsid w:val="00A41121"/>
    <w:rsid w:val="00A47991"/>
    <w:rsid w:val="00A50EB5"/>
    <w:rsid w:val="00A61F7C"/>
    <w:rsid w:val="00A6523E"/>
    <w:rsid w:val="00A66C0A"/>
    <w:rsid w:val="00A71C0C"/>
    <w:rsid w:val="00A73683"/>
    <w:rsid w:val="00A74B57"/>
    <w:rsid w:val="00A83B1C"/>
    <w:rsid w:val="00A83F5E"/>
    <w:rsid w:val="00A93004"/>
    <w:rsid w:val="00AA134D"/>
    <w:rsid w:val="00AA264F"/>
    <w:rsid w:val="00AA51A1"/>
    <w:rsid w:val="00AA7BF0"/>
    <w:rsid w:val="00AB5126"/>
    <w:rsid w:val="00AB5A08"/>
    <w:rsid w:val="00AC2098"/>
    <w:rsid w:val="00AC372A"/>
    <w:rsid w:val="00AC3EEF"/>
    <w:rsid w:val="00AC4ACE"/>
    <w:rsid w:val="00AC576E"/>
    <w:rsid w:val="00AD2319"/>
    <w:rsid w:val="00AD7B75"/>
    <w:rsid w:val="00AD7E9F"/>
    <w:rsid w:val="00AE2061"/>
    <w:rsid w:val="00AE276F"/>
    <w:rsid w:val="00AE4929"/>
    <w:rsid w:val="00AF2B52"/>
    <w:rsid w:val="00AF78F8"/>
    <w:rsid w:val="00B0234C"/>
    <w:rsid w:val="00B041F4"/>
    <w:rsid w:val="00B1067A"/>
    <w:rsid w:val="00B1263B"/>
    <w:rsid w:val="00B22846"/>
    <w:rsid w:val="00B256EA"/>
    <w:rsid w:val="00B355FA"/>
    <w:rsid w:val="00B365B3"/>
    <w:rsid w:val="00B403ED"/>
    <w:rsid w:val="00B46526"/>
    <w:rsid w:val="00B54842"/>
    <w:rsid w:val="00B556B3"/>
    <w:rsid w:val="00B6435B"/>
    <w:rsid w:val="00B65B1A"/>
    <w:rsid w:val="00B72B5D"/>
    <w:rsid w:val="00B74A89"/>
    <w:rsid w:val="00B74DC0"/>
    <w:rsid w:val="00B810E6"/>
    <w:rsid w:val="00B8375B"/>
    <w:rsid w:val="00B83E19"/>
    <w:rsid w:val="00B96275"/>
    <w:rsid w:val="00BA1C3E"/>
    <w:rsid w:val="00BA4D26"/>
    <w:rsid w:val="00BB55F8"/>
    <w:rsid w:val="00BB640C"/>
    <w:rsid w:val="00BB76C3"/>
    <w:rsid w:val="00BC1954"/>
    <w:rsid w:val="00BE4ED7"/>
    <w:rsid w:val="00C207D4"/>
    <w:rsid w:val="00C2663A"/>
    <w:rsid w:val="00C3325C"/>
    <w:rsid w:val="00C34BDB"/>
    <w:rsid w:val="00C36C86"/>
    <w:rsid w:val="00C37042"/>
    <w:rsid w:val="00C37233"/>
    <w:rsid w:val="00C4252F"/>
    <w:rsid w:val="00C4330C"/>
    <w:rsid w:val="00C47F3D"/>
    <w:rsid w:val="00C47FD8"/>
    <w:rsid w:val="00C521EA"/>
    <w:rsid w:val="00C52F82"/>
    <w:rsid w:val="00C53A54"/>
    <w:rsid w:val="00C566C9"/>
    <w:rsid w:val="00C60FCB"/>
    <w:rsid w:val="00C66495"/>
    <w:rsid w:val="00C66E2A"/>
    <w:rsid w:val="00C70AA7"/>
    <w:rsid w:val="00C86538"/>
    <w:rsid w:val="00C87908"/>
    <w:rsid w:val="00C95242"/>
    <w:rsid w:val="00CA1DA4"/>
    <w:rsid w:val="00CA7F63"/>
    <w:rsid w:val="00CB2BE9"/>
    <w:rsid w:val="00CB460C"/>
    <w:rsid w:val="00CB5B01"/>
    <w:rsid w:val="00CB60CA"/>
    <w:rsid w:val="00CC1F17"/>
    <w:rsid w:val="00CD0047"/>
    <w:rsid w:val="00CD35F9"/>
    <w:rsid w:val="00CD490B"/>
    <w:rsid w:val="00CD5FF5"/>
    <w:rsid w:val="00CE23DD"/>
    <w:rsid w:val="00CE4899"/>
    <w:rsid w:val="00CE6195"/>
    <w:rsid w:val="00CF0F89"/>
    <w:rsid w:val="00CF252B"/>
    <w:rsid w:val="00CF63EF"/>
    <w:rsid w:val="00D02363"/>
    <w:rsid w:val="00D108F8"/>
    <w:rsid w:val="00D2351E"/>
    <w:rsid w:val="00D2391E"/>
    <w:rsid w:val="00D26A88"/>
    <w:rsid w:val="00D413D4"/>
    <w:rsid w:val="00D46FD7"/>
    <w:rsid w:val="00D51F77"/>
    <w:rsid w:val="00D6151A"/>
    <w:rsid w:val="00D636F8"/>
    <w:rsid w:val="00D64F51"/>
    <w:rsid w:val="00D715B0"/>
    <w:rsid w:val="00D7395E"/>
    <w:rsid w:val="00D7440F"/>
    <w:rsid w:val="00D77AD5"/>
    <w:rsid w:val="00D85AC6"/>
    <w:rsid w:val="00D85C4A"/>
    <w:rsid w:val="00D9101F"/>
    <w:rsid w:val="00D91FC1"/>
    <w:rsid w:val="00D96ECB"/>
    <w:rsid w:val="00DA1059"/>
    <w:rsid w:val="00DA11A8"/>
    <w:rsid w:val="00DA1245"/>
    <w:rsid w:val="00DA29FD"/>
    <w:rsid w:val="00DA65A2"/>
    <w:rsid w:val="00DA6CBE"/>
    <w:rsid w:val="00DC01DB"/>
    <w:rsid w:val="00DC0528"/>
    <w:rsid w:val="00DC10D8"/>
    <w:rsid w:val="00DC69FE"/>
    <w:rsid w:val="00DC7B99"/>
    <w:rsid w:val="00DE1B02"/>
    <w:rsid w:val="00DE30A5"/>
    <w:rsid w:val="00DE3709"/>
    <w:rsid w:val="00DE3BD4"/>
    <w:rsid w:val="00DE70DC"/>
    <w:rsid w:val="00DE7C6D"/>
    <w:rsid w:val="00DE7FDD"/>
    <w:rsid w:val="00DF395D"/>
    <w:rsid w:val="00DF59B8"/>
    <w:rsid w:val="00DF5A48"/>
    <w:rsid w:val="00E07259"/>
    <w:rsid w:val="00E12664"/>
    <w:rsid w:val="00E13BEA"/>
    <w:rsid w:val="00E1400B"/>
    <w:rsid w:val="00E1644F"/>
    <w:rsid w:val="00E17B48"/>
    <w:rsid w:val="00E2131B"/>
    <w:rsid w:val="00E22F91"/>
    <w:rsid w:val="00E23EDD"/>
    <w:rsid w:val="00E25CF6"/>
    <w:rsid w:val="00E33A69"/>
    <w:rsid w:val="00E3677A"/>
    <w:rsid w:val="00E4756B"/>
    <w:rsid w:val="00E54A3A"/>
    <w:rsid w:val="00E63A03"/>
    <w:rsid w:val="00E708B9"/>
    <w:rsid w:val="00E81F9E"/>
    <w:rsid w:val="00E831C8"/>
    <w:rsid w:val="00E87D49"/>
    <w:rsid w:val="00E909BF"/>
    <w:rsid w:val="00EA66A5"/>
    <w:rsid w:val="00EB1F99"/>
    <w:rsid w:val="00EB2D2F"/>
    <w:rsid w:val="00EB460C"/>
    <w:rsid w:val="00EB4C94"/>
    <w:rsid w:val="00EB4EE8"/>
    <w:rsid w:val="00EC0510"/>
    <w:rsid w:val="00EC14A0"/>
    <w:rsid w:val="00EC1E68"/>
    <w:rsid w:val="00EC5893"/>
    <w:rsid w:val="00EC61F6"/>
    <w:rsid w:val="00ED0D29"/>
    <w:rsid w:val="00EE3994"/>
    <w:rsid w:val="00EE5A1D"/>
    <w:rsid w:val="00EE62B4"/>
    <w:rsid w:val="00EF023B"/>
    <w:rsid w:val="00EF5287"/>
    <w:rsid w:val="00F124AC"/>
    <w:rsid w:val="00F15570"/>
    <w:rsid w:val="00F166B0"/>
    <w:rsid w:val="00F262EB"/>
    <w:rsid w:val="00F32946"/>
    <w:rsid w:val="00F445A8"/>
    <w:rsid w:val="00F46DE4"/>
    <w:rsid w:val="00F5506B"/>
    <w:rsid w:val="00F614A4"/>
    <w:rsid w:val="00F6527A"/>
    <w:rsid w:val="00F71A23"/>
    <w:rsid w:val="00F76F78"/>
    <w:rsid w:val="00F848D8"/>
    <w:rsid w:val="00F87CBD"/>
    <w:rsid w:val="00F93432"/>
    <w:rsid w:val="00F96354"/>
    <w:rsid w:val="00FA00BF"/>
    <w:rsid w:val="00FA1A07"/>
    <w:rsid w:val="00FB0E7F"/>
    <w:rsid w:val="00FB1129"/>
    <w:rsid w:val="00FB13C2"/>
    <w:rsid w:val="00FB44D8"/>
    <w:rsid w:val="00FB538B"/>
    <w:rsid w:val="00FC2F18"/>
    <w:rsid w:val="00FC3818"/>
    <w:rsid w:val="00FC4423"/>
    <w:rsid w:val="00FD13E7"/>
    <w:rsid w:val="00FD5B56"/>
    <w:rsid w:val="00FF4B97"/>
    <w:rsid w:val="00FF599A"/>
    <w:rsid w:val="00FF5C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485C"/>
  <w14:defaultImageDpi w14:val="0"/>
  <w15:docId w15:val="{27A9070E-FFB1-4790-B830-7ED0F2C0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60C"/>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383A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0865">
      <w:bodyDiv w:val="1"/>
      <w:marLeft w:val="0"/>
      <w:marRight w:val="0"/>
      <w:marTop w:val="0"/>
      <w:marBottom w:val="0"/>
      <w:divBdr>
        <w:top w:val="none" w:sz="0" w:space="0" w:color="auto"/>
        <w:left w:val="none" w:sz="0" w:space="0" w:color="auto"/>
        <w:bottom w:val="none" w:sz="0" w:space="0" w:color="auto"/>
        <w:right w:val="none" w:sz="0" w:space="0" w:color="auto"/>
      </w:divBdr>
    </w:div>
    <w:div w:id="193180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D7CFB-A5DB-4A7A-886D-555A7DF995B8}">
  <ds:schemaRefs>
    <ds:schemaRef ds:uri="http://schemas.openxmlformats.org/officeDocument/2006/bibliography"/>
  </ds:schemaRefs>
</ds:datastoreItem>
</file>

<file path=customXml/itemProps2.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862111-5123-4BC7-8DCE-D70DBA604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15339</Characters>
  <Application>Microsoft Office Word</Application>
  <DocSecurity>0</DocSecurity>
  <Lines>335</Lines>
  <Paragraphs>80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2017-05-23T06:52:00Z</cp:lastPrinted>
  <dcterms:created xsi:type="dcterms:W3CDTF">2025-06-30T05:05:00Z</dcterms:created>
  <dcterms:modified xsi:type="dcterms:W3CDTF">2025-06-30T05:05:00Z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2024-05-16T02:36:06Z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12da938f-0e6c-4d9d-ae9f-15c947a7f0c1</vt:lpwstr>
  </property>
  <property fmtid="{D5CDD505-2E9C-101B-9397-08002B2CF9AE}" pid="9" name="MSIP_Label_69af8531-eb46-4968-8cb3-105d2f5ea87e_ContentBits">
    <vt:lpwstr>0</vt:lpwstr>
  </property>
  <property fmtid="{D5CDD505-2E9C-101B-9397-08002B2CF9AE}" pid="10" name="CHECKEDOUTFROMJMS">
    <vt:lpwstr/>
  </property>
  <property fmtid="{D5CDD505-2E9C-101B-9397-08002B2CF9AE}" pid="11" name="DMSID">
    <vt:lpwstr>14342690</vt:lpwstr>
  </property>
  <property fmtid="{D5CDD505-2E9C-101B-9397-08002B2CF9AE}" pid="12" name="JMSREQUIREDCHECKIN">
    <vt:lpwstr/>
  </property>
</Properties>
</file>