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F3B6" w14:textId="79AD8111" w:rsidR="005D70F1" w:rsidRDefault="005D70F1">
      <w:pPr>
        <w:spacing w:before="120"/>
        <w:rPr>
          <w:rFonts w:ascii="Arial" w:hAnsi="Arial" w:cs="Arial"/>
        </w:rPr>
      </w:pPr>
      <w:bookmarkStart w:id="0" w:name="_Toc44738651"/>
      <w:r>
        <w:rPr>
          <w:rFonts w:ascii="Arial" w:hAnsi="Arial" w:cs="Arial"/>
        </w:rPr>
        <w:t>Australian Capital Territory</w:t>
      </w:r>
    </w:p>
    <w:p w14:paraId="25056D2D" w14:textId="57042373" w:rsidR="00FD13E7" w:rsidRDefault="00EB460C" w:rsidP="00FD13E7">
      <w:pPr>
        <w:pStyle w:val="Billname"/>
        <w:spacing w:before="700"/>
      </w:pPr>
      <w:r>
        <w:t>Taxation Administration (Amounts Payable—</w:t>
      </w:r>
      <w:r w:rsidR="007C6577">
        <w:t>Pensioner Duty</w:t>
      </w:r>
      <w:r>
        <w:t xml:space="preserve"> Concession Scheme) Determination 20</w:t>
      </w:r>
      <w:r w:rsidR="005877E7">
        <w:t>2</w:t>
      </w:r>
      <w:r w:rsidR="00C65E29">
        <w:t>5</w:t>
      </w:r>
    </w:p>
    <w:p w14:paraId="5C3A2BF1" w14:textId="64B22AC5" w:rsidR="00FD13E7" w:rsidRDefault="005D70F1" w:rsidP="00FD13E7">
      <w:pPr>
        <w:spacing w:before="240" w:after="60"/>
        <w:rPr>
          <w:rFonts w:ascii="Arial" w:hAnsi="Arial" w:cs="Arial"/>
          <w:b/>
          <w:bCs/>
          <w:vertAlign w:val="superscript"/>
        </w:rPr>
      </w:pPr>
      <w:r>
        <w:rPr>
          <w:rFonts w:ascii="Arial" w:hAnsi="Arial" w:cs="Arial"/>
          <w:b/>
          <w:bCs/>
        </w:rPr>
        <w:t xml:space="preserve">Disallowable instrument </w:t>
      </w:r>
      <w:r w:rsidR="00FD13E7">
        <w:rPr>
          <w:rFonts w:ascii="Arial" w:hAnsi="Arial" w:cs="Arial"/>
          <w:b/>
          <w:bCs/>
        </w:rPr>
        <w:t>DI</w:t>
      </w:r>
      <w:r w:rsidR="007276F9">
        <w:rPr>
          <w:rFonts w:ascii="Arial" w:hAnsi="Arial" w:cs="Arial"/>
          <w:b/>
          <w:bCs/>
          <w:iCs/>
        </w:rPr>
        <w:t>20</w:t>
      </w:r>
      <w:r w:rsidR="005877E7">
        <w:rPr>
          <w:rFonts w:ascii="Arial" w:hAnsi="Arial" w:cs="Arial"/>
          <w:b/>
          <w:bCs/>
          <w:iCs/>
        </w:rPr>
        <w:t>2</w:t>
      </w:r>
      <w:r w:rsidR="00C65E29">
        <w:rPr>
          <w:rFonts w:ascii="Arial" w:hAnsi="Arial" w:cs="Arial"/>
          <w:b/>
          <w:bCs/>
          <w:iCs/>
        </w:rPr>
        <w:t>5</w:t>
      </w:r>
      <w:r w:rsidR="007276F9">
        <w:rPr>
          <w:rFonts w:ascii="Arial" w:hAnsi="Arial" w:cs="Arial"/>
          <w:b/>
          <w:bCs/>
        </w:rPr>
        <w:t>–</w:t>
      </w:r>
      <w:r w:rsidR="000A275D">
        <w:rPr>
          <w:rFonts w:ascii="Arial" w:hAnsi="Arial" w:cs="Arial"/>
          <w:b/>
          <w:bCs/>
        </w:rPr>
        <w:t>148</w:t>
      </w:r>
    </w:p>
    <w:p w14:paraId="3EB4992A" w14:textId="77777777" w:rsidR="005D70F1" w:rsidRDefault="005D70F1" w:rsidP="00FD13E7">
      <w:pPr>
        <w:spacing w:before="240" w:after="60"/>
      </w:pPr>
      <w:r>
        <w:t xml:space="preserve">made under the  </w:t>
      </w:r>
    </w:p>
    <w:p w14:paraId="3164A737" w14:textId="77777777" w:rsidR="005D70F1" w:rsidRDefault="00EB460C" w:rsidP="00644E63">
      <w:pPr>
        <w:pStyle w:val="CoverActName"/>
        <w:rPr>
          <w:rFonts w:cs="Arial"/>
          <w:sz w:val="20"/>
        </w:rPr>
      </w:pPr>
      <w:r>
        <w:rPr>
          <w:rFonts w:cs="Arial"/>
          <w:i/>
          <w:sz w:val="20"/>
        </w:rPr>
        <w:t xml:space="preserve">Taxation Administration Act 1999, </w:t>
      </w:r>
      <w:r w:rsidR="003D5717">
        <w:rPr>
          <w:rFonts w:cs="Arial"/>
          <w:sz w:val="20"/>
        </w:rPr>
        <w:t>s</w:t>
      </w:r>
      <w:r>
        <w:rPr>
          <w:rFonts w:cs="Arial"/>
          <w:sz w:val="20"/>
        </w:rPr>
        <w:t xml:space="preserve"> 139 (Determination of amounts payable under tax laws)</w:t>
      </w:r>
    </w:p>
    <w:p w14:paraId="7D6FC357"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43A5E30E" w14:textId="77777777" w:rsidR="005D70F1" w:rsidRDefault="005D70F1">
      <w:pPr>
        <w:pStyle w:val="N-line3"/>
        <w:pBdr>
          <w:bottom w:val="none" w:sz="0" w:space="0" w:color="auto"/>
        </w:pBdr>
      </w:pPr>
    </w:p>
    <w:p w14:paraId="4E047311" w14:textId="77777777" w:rsidR="005D70F1" w:rsidRDefault="005D70F1">
      <w:pPr>
        <w:pStyle w:val="N-line3"/>
        <w:pBdr>
          <w:top w:val="single" w:sz="12" w:space="1" w:color="auto"/>
          <w:bottom w:val="none" w:sz="0" w:space="0" w:color="auto"/>
        </w:pBdr>
      </w:pPr>
    </w:p>
    <w:bookmarkEnd w:id="0"/>
    <w:p w14:paraId="3481101C" w14:textId="45CF9E40" w:rsidR="00C2384B" w:rsidRPr="00F737FF" w:rsidRDefault="00C2384B" w:rsidP="00C2384B">
      <w:pPr>
        <w:rPr>
          <w:rFonts w:ascii="Arial" w:hAnsi="Arial" w:cs="Arial"/>
          <w:b/>
          <w:sz w:val="26"/>
          <w:szCs w:val="26"/>
        </w:rPr>
      </w:pPr>
      <w:r w:rsidRPr="00F737FF">
        <w:rPr>
          <w:rFonts w:ascii="Arial" w:hAnsi="Arial" w:cs="Arial"/>
          <w:b/>
          <w:sz w:val="26"/>
          <w:szCs w:val="26"/>
        </w:rPr>
        <w:t>Background</w:t>
      </w:r>
    </w:p>
    <w:p w14:paraId="7FAC0711" w14:textId="77777777" w:rsidR="00C2384B" w:rsidRDefault="00C2384B" w:rsidP="00E642FA"/>
    <w:p w14:paraId="1E6EA2B0" w14:textId="6956BF25" w:rsidR="00C2384B" w:rsidRDefault="00C2384B" w:rsidP="00C2384B">
      <w:r w:rsidRPr="00565168">
        <w:t xml:space="preserve">The </w:t>
      </w:r>
      <w:r w:rsidRPr="00565168">
        <w:rPr>
          <w:i/>
          <w:iCs/>
        </w:rPr>
        <w:t>Taxation Administration Act 1999</w:t>
      </w:r>
      <w:r w:rsidRPr="00565168">
        <w:t xml:space="preserve"> (</w:t>
      </w:r>
      <w:r w:rsidRPr="002B221C">
        <w:t>the TA</w:t>
      </w:r>
      <w:r w:rsidR="008336E0">
        <w:t xml:space="preserve"> </w:t>
      </w:r>
      <w:r w:rsidRPr="002B221C">
        <w:t>A</w:t>
      </w:r>
      <w:r w:rsidR="008336E0">
        <w:t>ct</w:t>
      </w:r>
      <w:r w:rsidRPr="00565168">
        <w:t xml:space="preserve">) </w:t>
      </w:r>
      <w:r>
        <w:t xml:space="preserve">governs </w:t>
      </w:r>
      <w:r w:rsidRPr="00565168">
        <w:t>the administration of various tax laws relating to the imposition of c</w:t>
      </w:r>
      <w:r>
        <w:t xml:space="preserve">ertain taxes, duties and fees. </w:t>
      </w:r>
      <w:r w:rsidRPr="00565168">
        <w:t>These tax laws are specified in section 4 of the TA</w:t>
      </w:r>
      <w:r w:rsidR="008336E0">
        <w:t xml:space="preserve"> </w:t>
      </w:r>
      <w:r w:rsidRPr="00565168">
        <w:t>A</w:t>
      </w:r>
      <w:r w:rsidR="008336E0">
        <w:t>ct</w:t>
      </w:r>
      <w:r w:rsidRPr="00565168">
        <w:t>. Section 139 of the TA</w:t>
      </w:r>
      <w:r w:rsidR="00B568A6">
        <w:t xml:space="preserve"> </w:t>
      </w:r>
      <w:r w:rsidRPr="00565168">
        <w:t>A</w:t>
      </w:r>
      <w:r w:rsidR="00B568A6">
        <w:t>ct</w:t>
      </w:r>
      <w:r w:rsidRPr="00565168">
        <w:t xml:space="preserve"> empowers the Minister to determine </w:t>
      </w:r>
      <w:r>
        <w:t xml:space="preserve">the </w:t>
      </w:r>
      <w:r w:rsidRPr="00565168">
        <w:t>amount</w:t>
      </w:r>
      <w:r>
        <w:t xml:space="preserve"> of tax, duty, or licence fee</w:t>
      </w:r>
      <w:r w:rsidRPr="00565168">
        <w:t xml:space="preserve"> payable, and the method by which an amount is to be calculated</w:t>
      </w:r>
      <w:r>
        <w:t>.</w:t>
      </w:r>
    </w:p>
    <w:p w14:paraId="1563F25D" w14:textId="77777777" w:rsidR="00C2384B" w:rsidRDefault="00C2384B" w:rsidP="00C2384B"/>
    <w:p w14:paraId="365584A5" w14:textId="46062156" w:rsidR="00C2384B" w:rsidRDefault="00C2384B" w:rsidP="00C2384B">
      <w:r w:rsidRPr="00565168">
        <w:t xml:space="preserve">One of the specified tax laws is the </w:t>
      </w:r>
      <w:r w:rsidRPr="00565168">
        <w:rPr>
          <w:i/>
          <w:iCs/>
        </w:rPr>
        <w:t>Duties Act 1999</w:t>
      </w:r>
      <w:r w:rsidRPr="00565168">
        <w:t xml:space="preserve"> (</w:t>
      </w:r>
      <w:r w:rsidRPr="002B221C">
        <w:t>the Duties Act</w:t>
      </w:r>
      <w:r w:rsidRPr="00565168">
        <w:t>)</w:t>
      </w:r>
      <w:r>
        <w:t xml:space="preserve">. </w:t>
      </w:r>
      <w:r w:rsidRPr="00565168">
        <w:t xml:space="preserve">Chapter 2 of the </w:t>
      </w:r>
      <w:r>
        <w:t xml:space="preserve">Duties </w:t>
      </w:r>
      <w:r w:rsidRPr="00565168">
        <w:t>Act deals with the imposition of duty on the grant of a Crown lease and the transfer or agreement for the transfer of a Crown lease</w:t>
      </w:r>
      <w:r>
        <w:t>,</w:t>
      </w:r>
      <w:r w:rsidRPr="00565168">
        <w:t xml:space="preserve"> which are subject to duty</w:t>
      </w:r>
      <w:r>
        <w:t xml:space="preserve">. </w:t>
      </w:r>
      <w:r w:rsidRPr="00565168">
        <w:t xml:space="preserve">Section 12 of the </w:t>
      </w:r>
      <w:r>
        <w:t xml:space="preserve">Duties </w:t>
      </w:r>
      <w:r w:rsidRPr="00565168">
        <w:t xml:space="preserve">Act </w:t>
      </w:r>
      <w:r w:rsidR="009C5722">
        <w:t>provides</w:t>
      </w:r>
      <w:r w:rsidRPr="00565168">
        <w:t xml:space="preserve"> that the duty is </w:t>
      </w:r>
      <w:r w:rsidR="009C5722">
        <w:t xml:space="preserve">ordinarily </w:t>
      </w:r>
      <w:r w:rsidRPr="00565168">
        <w:t>payable by the transferee</w:t>
      </w:r>
      <w:r w:rsidRPr="00565168">
        <w:rPr>
          <w:i/>
          <w:iCs/>
        </w:rPr>
        <w:t>,</w:t>
      </w:r>
      <w:r w:rsidRPr="00565168">
        <w:t xml:space="preserve"> and section 5 of the </w:t>
      </w:r>
      <w:r>
        <w:t xml:space="preserve">Duties </w:t>
      </w:r>
      <w:r w:rsidRPr="00565168">
        <w:t xml:space="preserve">Act </w:t>
      </w:r>
      <w:r w:rsidR="009C5722">
        <w:t>establishes</w:t>
      </w:r>
      <w:r w:rsidRPr="00565168">
        <w:t xml:space="preserve"> that the duty</w:t>
      </w:r>
      <w:r w:rsidR="00BC5293">
        <w:t xml:space="preserve"> liability</w:t>
      </w:r>
      <w:r w:rsidRPr="00565168">
        <w:t xml:space="preserve"> is </w:t>
      </w:r>
      <w:r w:rsidR="00BC5293">
        <w:t>a debt due</w:t>
      </w:r>
      <w:r w:rsidR="00BC5293" w:rsidRPr="00565168">
        <w:t xml:space="preserve"> </w:t>
      </w:r>
      <w:r w:rsidRPr="00565168">
        <w:t>to the Territory</w:t>
      </w:r>
      <w:r>
        <w:t>.</w:t>
      </w:r>
    </w:p>
    <w:p w14:paraId="52A65C0D" w14:textId="77777777" w:rsidR="00C2384B" w:rsidRDefault="00C2384B" w:rsidP="00E642FA"/>
    <w:p w14:paraId="764FCB88" w14:textId="77777777" w:rsidR="00A100BA" w:rsidRDefault="00E642FA" w:rsidP="00D74A02">
      <w:r w:rsidRPr="00001F9E">
        <w:t xml:space="preserve">The </w:t>
      </w:r>
      <w:r>
        <w:t>Pensioner Duty Concession Scheme (</w:t>
      </w:r>
      <w:r w:rsidRPr="002B221C">
        <w:t>the PDCS</w:t>
      </w:r>
      <w:r>
        <w:t xml:space="preserve">) </w:t>
      </w:r>
      <w:r w:rsidRPr="00001F9E">
        <w:t>assists eligible pensioners to move accommodation by reducing the duty payable on their new purchase of a residential home</w:t>
      </w:r>
      <w:r>
        <w:t>,</w:t>
      </w:r>
      <w:r w:rsidRPr="00001F9E">
        <w:t xml:space="preserve"> or residential vacant land.</w:t>
      </w:r>
      <w:r>
        <w:t xml:space="preserve"> </w:t>
      </w:r>
    </w:p>
    <w:p w14:paraId="29B1DA91" w14:textId="77777777" w:rsidR="00A100BA" w:rsidRDefault="00A100BA" w:rsidP="00D74A02"/>
    <w:p w14:paraId="37E6851E" w14:textId="33CD1419" w:rsidR="005C64EE" w:rsidRPr="00C2384B" w:rsidRDefault="00F62620" w:rsidP="005C64EE">
      <w:pPr>
        <w:rPr>
          <w:rFonts w:ascii="Arial" w:hAnsi="Arial" w:cs="Arial"/>
          <w:b/>
          <w:sz w:val="26"/>
          <w:szCs w:val="26"/>
        </w:rPr>
      </w:pPr>
      <w:r w:rsidRPr="00C2384B">
        <w:rPr>
          <w:rFonts w:ascii="Arial" w:hAnsi="Arial" w:cs="Arial"/>
          <w:b/>
          <w:sz w:val="26"/>
          <w:szCs w:val="26"/>
        </w:rPr>
        <w:t>Pensioner Duty Concession Scheme</w:t>
      </w:r>
      <w:r w:rsidR="00B551D5" w:rsidRPr="00C2384B">
        <w:rPr>
          <w:rFonts w:ascii="Arial" w:hAnsi="Arial" w:cs="Arial"/>
          <w:b/>
          <w:sz w:val="26"/>
          <w:szCs w:val="26"/>
        </w:rPr>
        <w:t xml:space="preserve"> </w:t>
      </w:r>
    </w:p>
    <w:p w14:paraId="218DA8C4" w14:textId="77777777" w:rsidR="005C64EE" w:rsidRDefault="005C64EE" w:rsidP="000341B5"/>
    <w:p w14:paraId="427421A8" w14:textId="1D13250F" w:rsidR="003F69DD" w:rsidRDefault="00A4764A" w:rsidP="0001776D">
      <w:r>
        <w:t xml:space="preserve">The </w:t>
      </w:r>
      <w:r w:rsidR="00A100BA" w:rsidRPr="00B356E4">
        <w:rPr>
          <w:i/>
          <w:iCs/>
        </w:rPr>
        <w:t xml:space="preserve">Taxation Administration (Amounts Payable—Pensioner Duty Concession Scheme) Determination </w:t>
      </w:r>
      <w:r w:rsidR="00C65E29" w:rsidRPr="00BB4F8D">
        <w:rPr>
          <w:i/>
          <w:iCs/>
        </w:rPr>
        <w:t>202</w:t>
      </w:r>
      <w:r w:rsidR="00C65E29">
        <w:rPr>
          <w:i/>
          <w:iCs/>
        </w:rPr>
        <w:t xml:space="preserve">5 </w:t>
      </w:r>
      <w:r w:rsidR="00A100BA">
        <w:t xml:space="preserve">(the </w:t>
      </w:r>
      <w:r>
        <w:t>Determination</w:t>
      </w:r>
      <w:r w:rsidR="00A100BA">
        <w:t>)</w:t>
      </w:r>
      <w:r w:rsidR="00676D40">
        <w:t xml:space="preserve"> commences on 1 July 2025. The Determination</w:t>
      </w:r>
      <w:r>
        <w:t xml:space="preserve"> </w:t>
      </w:r>
      <w:r w:rsidR="00BB4F8D">
        <w:t>prescribes</w:t>
      </w:r>
      <w:r w:rsidR="00C84401">
        <w:t xml:space="preserve"> for the PDCS</w:t>
      </w:r>
      <w:r w:rsidR="0001776D">
        <w:t>:</w:t>
      </w:r>
    </w:p>
    <w:p w14:paraId="7B3A311C" w14:textId="0592CCE3" w:rsidR="00BB4F8D" w:rsidRDefault="00BB4F8D" w:rsidP="006E1AEF">
      <w:pPr>
        <w:pStyle w:val="ListParagraph"/>
        <w:numPr>
          <w:ilvl w:val="0"/>
          <w:numId w:val="17"/>
        </w:numPr>
        <w:spacing w:before="240"/>
        <w:ind w:left="714" w:hanging="357"/>
      </w:pPr>
      <w:r>
        <w:t>the eligibility requirements, including property type</w:t>
      </w:r>
      <w:r w:rsidR="00BD27BC">
        <w:t xml:space="preserve"> and value</w:t>
      </w:r>
      <w:r>
        <w:t>, pensioner status, residency and property ownership; and</w:t>
      </w:r>
    </w:p>
    <w:p w14:paraId="1B84FC12" w14:textId="066652C5" w:rsidR="0001776D" w:rsidRDefault="0001776D">
      <w:pPr>
        <w:pStyle w:val="ListParagraph"/>
        <w:numPr>
          <w:ilvl w:val="0"/>
          <w:numId w:val="17"/>
        </w:numPr>
      </w:pPr>
      <w:r>
        <w:t xml:space="preserve">the method of calculation of duty payable under section 31 of the </w:t>
      </w:r>
      <w:r w:rsidR="00A4764A" w:rsidRPr="00BD27BC">
        <w:t xml:space="preserve">Duties </w:t>
      </w:r>
      <w:r w:rsidRPr="00BD27BC">
        <w:t>Act</w:t>
      </w:r>
      <w:r>
        <w:t>.</w:t>
      </w:r>
    </w:p>
    <w:p w14:paraId="1C57B2A9" w14:textId="51B81F6C" w:rsidR="00A621A7" w:rsidRDefault="00A621A7" w:rsidP="00A621A7">
      <w:r>
        <w:br w:type="page"/>
      </w:r>
    </w:p>
    <w:p w14:paraId="141F5E54" w14:textId="70466819" w:rsidR="00A621A7" w:rsidRPr="00BF77B3" w:rsidRDefault="00A621A7" w:rsidP="00A621A7">
      <w:pPr>
        <w:rPr>
          <w:rFonts w:ascii="Arial" w:hAnsi="Arial" w:cs="Arial"/>
          <w:b/>
          <w:sz w:val="26"/>
          <w:szCs w:val="26"/>
        </w:rPr>
      </w:pPr>
      <w:r w:rsidRPr="00BF77B3">
        <w:rPr>
          <w:rFonts w:ascii="Arial" w:hAnsi="Arial" w:cs="Arial"/>
          <w:b/>
          <w:sz w:val="26"/>
          <w:szCs w:val="26"/>
        </w:rPr>
        <w:lastRenderedPageBreak/>
        <w:t>Updates</w:t>
      </w:r>
    </w:p>
    <w:p w14:paraId="01007C45" w14:textId="77777777" w:rsidR="00A621A7" w:rsidRDefault="00A621A7" w:rsidP="00BD27BC"/>
    <w:p w14:paraId="5F78596C" w14:textId="11205FE8" w:rsidR="009C3E98" w:rsidRDefault="009C3E98" w:rsidP="00BD27BC">
      <w:r>
        <w:t xml:space="preserve">The concession will be indexed using the most recent Consumer Price Index (CPI) for Canberra rounded down to the nearest $5,000. The most recent CPI is from March 2025 at 2.2 per cent for Canberra, which is $22,000. The value of the dutiable amount increased from $1 million to $1,020,000. </w:t>
      </w:r>
    </w:p>
    <w:p w14:paraId="02FCEE6D" w14:textId="77777777" w:rsidR="009C3E98" w:rsidRDefault="009C3E98" w:rsidP="00BD27BC"/>
    <w:p w14:paraId="18EFD185" w14:textId="48BF25E2" w:rsidR="00A621A7" w:rsidRDefault="003200A7" w:rsidP="00BD27BC">
      <w:r>
        <w:t>Therefore, u</w:t>
      </w:r>
      <w:r w:rsidR="00A6218E" w:rsidRPr="00C52779">
        <w:t xml:space="preserve">nder the Determination, from 1 July </w:t>
      </w:r>
      <w:r w:rsidR="007F1AC1" w:rsidRPr="00C52779">
        <w:t>2025</w:t>
      </w:r>
      <w:r w:rsidR="00A6218E" w:rsidRPr="00C52779">
        <w:t>, t</w:t>
      </w:r>
      <w:r w:rsidR="00335943" w:rsidRPr="00C52779">
        <w:t>he PD</w:t>
      </w:r>
      <w:r w:rsidR="00B4197A" w:rsidRPr="00C52779">
        <w:t>C</w:t>
      </w:r>
      <w:r w:rsidR="00335943" w:rsidRPr="00C52779">
        <w:t xml:space="preserve">S provides </w:t>
      </w:r>
      <w:r w:rsidR="00A6218E" w:rsidRPr="00C52779">
        <w:t xml:space="preserve">that </w:t>
      </w:r>
      <w:r w:rsidR="00335943" w:rsidRPr="00C52779">
        <w:t xml:space="preserve">duty </w:t>
      </w:r>
      <w:r w:rsidR="00A6218E" w:rsidRPr="00C52779">
        <w:t xml:space="preserve">is </w:t>
      </w:r>
      <w:r w:rsidR="00335943" w:rsidRPr="00C52779">
        <w:t xml:space="preserve">not payable on eligible transactions </w:t>
      </w:r>
      <w:r w:rsidR="00A6218E" w:rsidRPr="00C52779">
        <w:t xml:space="preserve">up </w:t>
      </w:r>
      <w:r w:rsidR="00335943" w:rsidRPr="00C52779">
        <w:t xml:space="preserve">to a property value threshold </w:t>
      </w:r>
      <w:r w:rsidR="00A6218E" w:rsidRPr="00C52779">
        <w:t>of</w:t>
      </w:r>
      <w:r w:rsidR="00335943" w:rsidRPr="00C52779">
        <w:t xml:space="preserve"> $</w:t>
      </w:r>
      <w:r w:rsidR="00A6218E" w:rsidRPr="00C52779">
        <w:t>1</w:t>
      </w:r>
      <w:r w:rsidR="00584890" w:rsidRPr="00045E60">
        <w:t>,020,000</w:t>
      </w:r>
      <w:r w:rsidR="00335943" w:rsidRPr="00C52779">
        <w:t xml:space="preserve">. The PDCS will </w:t>
      </w:r>
      <w:r w:rsidR="00A6218E" w:rsidRPr="00C52779">
        <w:t xml:space="preserve">also provide a partial concession </w:t>
      </w:r>
      <w:r w:rsidR="00335943" w:rsidRPr="00C52779">
        <w:t>for eligible transactions over $1</w:t>
      </w:r>
      <w:r w:rsidR="00584890" w:rsidRPr="00045E60">
        <w:t>,020,000</w:t>
      </w:r>
      <w:r w:rsidR="00335943" w:rsidRPr="00C52779">
        <w:t xml:space="preserve"> with benefits capped at the duty otherwise payable on</w:t>
      </w:r>
      <w:r w:rsidR="00A6218E" w:rsidRPr="00C52779">
        <w:t xml:space="preserve"> a</w:t>
      </w:r>
      <w:r w:rsidR="00335943" w:rsidRPr="00C52779">
        <w:t xml:space="preserve"> $1</w:t>
      </w:r>
      <w:r w:rsidR="00671330">
        <w:t>,020,000</w:t>
      </w:r>
      <w:r w:rsidR="00335943" w:rsidRPr="00C52779">
        <w:t xml:space="preserve"> residential owner</w:t>
      </w:r>
      <w:r w:rsidR="00335943" w:rsidRPr="00C52779">
        <w:noBreakHyphen/>
        <w:t>occupied property</w:t>
      </w:r>
      <w:r w:rsidR="00584890" w:rsidRPr="00045E60">
        <w:t xml:space="preserve"> at $3</w:t>
      </w:r>
      <w:r w:rsidR="00C52779" w:rsidRPr="00045E60">
        <w:t>5</w:t>
      </w:r>
      <w:r w:rsidR="00584890" w:rsidRPr="00045E60">
        <w:t>,</w:t>
      </w:r>
      <w:r w:rsidR="00C52779" w:rsidRPr="00045E60">
        <w:t>238</w:t>
      </w:r>
      <w:r w:rsidR="00584890" w:rsidRPr="00045E60">
        <w:t xml:space="preserve"> from 1 July 2025</w:t>
      </w:r>
      <w:r w:rsidR="00FB19A9" w:rsidRPr="00C52779">
        <w:t>.</w:t>
      </w:r>
    </w:p>
    <w:p w14:paraId="126C3AF2" w14:textId="77777777" w:rsidR="003200A7" w:rsidRDefault="003200A7" w:rsidP="00BD27BC"/>
    <w:p w14:paraId="52A8D643" w14:textId="681D2198" w:rsidR="003200A7" w:rsidRDefault="003200A7" w:rsidP="00BD27BC">
      <w:r>
        <w:t xml:space="preserve">The eligibility criterion has also been updated to clarify that all transferees and their domestic partners must acquire a legal and equitable interest in the eligible property that is being purchased using the concession. </w:t>
      </w:r>
      <w:r w:rsidR="00DC1040">
        <w:t xml:space="preserve">Earlier determinations referenced that the legal and equitable interest in the eligible property were counted as a property interest to be excluded. </w:t>
      </w:r>
    </w:p>
    <w:p w14:paraId="23A5A454" w14:textId="77777777" w:rsidR="003D0ED6" w:rsidRDefault="003D0ED6" w:rsidP="00BD27BC"/>
    <w:p w14:paraId="2A0AEFC1" w14:textId="17CD90DD" w:rsidR="003D0ED6" w:rsidRDefault="003D0ED6" w:rsidP="00BD27BC">
      <w:r>
        <w:t xml:space="preserve">New provisions exclude the property interests of a transferee’s domestic partner, who is a spouse, where there has been a dissolution, annulment or irretrievable breakdown of the domestic relationship. This only applies if the transferee is not cohabitating with the spouse and there is no likelihood of cohabitation being resumed. </w:t>
      </w:r>
    </w:p>
    <w:p w14:paraId="2817D764" w14:textId="77777777" w:rsidR="00965A82" w:rsidRDefault="00965A82" w:rsidP="00BD27BC"/>
    <w:p w14:paraId="72897BFC" w14:textId="6A0E7026" w:rsidR="00965A82" w:rsidRDefault="00965A82" w:rsidP="00965A82">
      <w:r w:rsidRPr="00221437">
        <w:t xml:space="preserve">A section is inserted to provide for the way a </w:t>
      </w:r>
      <w:r w:rsidR="00037382">
        <w:t>transferee</w:t>
      </w:r>
      <w:r w:rsidRPr="00221437">
        <w:t xml:space="preserve"> may apply for the </w:t>
      </w:r>
      <w:r w:rsidRPr="00C52779">
        <w:t>PDCS</w:t>
      </w:r>
      <w:r w:rsidRPr="00221437">
        <w:t xml:space="preserve">, and to outline the process by which a </w:t>
      </w:r>
      <w:r w:rsidR="00037382">
        <w:t>transferee</w:t>
      </w:r>
      <w:r w:rsidRPr="00221437">
        <w:t xml:space="preserve"> may make a late application for the </w:t>
      </w:r>
      <w:r w:rsidRPr="00C52779">
        <w:t>PDCS</w:t>
      </w:r>
      <w:r w:rsidRPr="00221437">
        <w:t>.</w:t>
      </w:r>
      <w:r>
        <w:t xml:space="preserve"> This is a technical alignment with the current administrative practices for the Home Buyer Concession Scheme.</w:t>
      </w:r>
    </w:p>
    <w:p w14:paraId="57C6EF17" w14:textId="77777777" w:rsidR="0066239F" w:rsidRDefault="0066239F"/>
    <w:p w14:paraId="05CF3A2C" w14:textId="12815CB3" w:rsidR="008602C8" w:rsidRPr="00C2384B" w:rsidRDefault="00F50328" w:rsidP="008602C8">
      <w:pPr>
        <w:keepNext/>
        <w:rPr>
          <w:rFonts w:ascii="Arial" w:hAnsi="Arial" w:cs="Arial"/>
          <w:b/>
          <w:sz w:val="26"/>
          <w:szCs w:val="26"/>
        </w:rPr>
      </w:pPr>
      <w:r w:rsidRPr="00C2384B">
        <w:rPr>
          <w:rFonts w:ascii="Arial" w:hAnsi="Arial" w:cs="Arial"/>
          <w:b/>
          <w:sz w:val="26"/>
          <w:szCs w:val="26"/>
        </w:rPr>
        <w:t xml:space="preserve">Application </w:t>
      </w:r>
    </w:p>
    <w:p w14:paraId="79F76446" w14:textId="77777777" w:rsidR="008602C8" w:rsidRDefault="008602C8" w:rsidP="008602C8">
      <w:pPr>
        <w:keepNext/>
        <w:rPr>
          <w:rFonts w:ascii="Arial" w:hAnsi="Arial" w:cs="Arial"/>
          <w:b/>
        </w:rPr>
      </w:pPr>
    </w:p>
    <w:p w14:paraId="751EB0A5" w14:textId="5128CB82" w:rsidR="00682893" w:rsidRDefault="008602C8" w:rsidP="008602C8">
      <w:pPr>
        <w:keepNext/>
      </w:pPr>
      <w:r>
        <w:t>Th</w:t>
      </w:r>
      <w:r w:rsidR="00211C17">
        <w:t>e</w:t>
      </w:r>
      <w:r>
        <w:t xml:space="preserve"> </w:t>
      </w:r>
      <w:r w:rsidR="00211C17">
        <w:t xml:space="preserve">Determination </w:t>
      </w:r>
      <w:r>
        <w:t xml:space="preserve">applies to grants, transfers or agreements for sale or transfer </w:t>
      </w:r>
      <w:r w:rsidR="00682893">
        <w:t xml:space="preserve">of eligible property </w:t>
      </w:r>
      <w:r w:rsidR="00AD2319" w:rsidRPr="00AD2319">
        <w:t>with a transaction date</w:t>
      </w:r>
      <w:r w:rsidR="00682893">
        <w:t xml:space="preserve"> on or after </w:t>
      </w:r>
      <w:r w:rsidR="00C84401">
        <w:t xml:space="preserve">1 July </w:t>
      </w:r>
      <w:r w:rsidR="007F1AC1">
        <w:t>2025</w:t>
      </w:r>
      <w:r w:rsidR="00682893">
        <w:t>.</w:t>
      </w:r>
      <w:r w:rsidR="00682893" w:rsidRPr="00AD2319">
        <w:t xml:space="preserve"> </w:t>
      </w:r>
      <w:r w:rsidR="00AD2319" w:rsidRPr="00AD2319">
        <w:t>The transaction date is the date that liability for duty arises under</w:t>
      </w:r>
      <w:r w:rsidR="00682893">
        <w:t xml:space="preserve"> section </w:t>
      </w:r>
      <w:r w:rsidR="00AD2319" w:rsidRPr="00AD2319">
        <w:t>11</w:t>
      </w:r>
      <w:r w:rsidR="00682893">
        <w:t xml:space="preserve"> of the </w:t>
      </w:r>
      <w:r w:rsidR="00A4764A">
        <w:t xml:space="preserve">Duties </w:t>
      </w:r>
      <w:r w:rsidR="00682893">
        <w:t>Act</w:t>
      </w:r>
      <w:r w:rsidR="00AD2319" w:rsidRPr="00AD2319">
        <w:t>; that is, when</w:t>
      </w:r>
      <w:r w:rsidR="00682893">
        <w:t xml:space="preserve"> </w:t>
      </w:r>
      <w:r w:rsidR="00283A83">
        <w:t>a transfer occurs, or if a transfer is effected by an instrument</w:t>
      </w:r>
      <w:r w:rsidR="00283A83">
        <w:rPr>
          <w:b/>
        </w:rPr>
        <w:t>—</w:t>
      </w:r>
      <w:r w:rsidR="00283A83">
        <w:t xml:space="preserve">the date the instrument </w:t>
      </w:r>
      <w:r w:rsidR="00AD2319" w:rsidRPr="00AD2319">
        <w:t xml:space="preserve">is </w:t>
      </w:r>
      <w:r w:rsidR="00682893">
        <w:t xml:space="preserve">first </w:t>
      </w:r>
      <w:r w:rsidR="00AD2319" w:rsidRPr="00AD2319">
        <w:t>executed.</w:t>
      </w:r>
    </w:p>
    <w:p w14:paraId="15EA86BA" w14:textId="49973722" w:rsidR="00C2384B" w:rsidRDefault="00C2384B" w:rsidP="008602C8">
      <w:pPr>
        <w:keepNext/>
      </w:pPr>
    </w:p>
    <w:p w14:paraId="356BA13A" w14:textId="1C264940" w:rsidR="00D96ECB" w:rsidRDefault="00D96ECB" w:rsidP="00D96ECB">
      <w:pPr>
        <w:keepNext/>
        <w:rPr>
          <w:rFonts w:ascii="Arial" w:hAnsi="Arial" w:cs="Arial"/>
          <w:b/>
          <w:sz w:val="26"/>
          <w:szCs w:val="26"/>
        </w:rPr>
      </w:pPr>
      <w:r w:rsidRPr="00D96ECB">
        <w:rPr>
          <w:rFonts w:ascii="Arial" w:hAnsi="Arial" w:cs="Arial"/>
          <w:b/>
          <w:sz w:val="26"/>
          <w:szCs w:val="26"/>
        </w:rPr>
        <w:t>Eligible properties</w:t>
      </w:r>
    </w:p>
    <w:p w14:paraId="03D4DB32" w14:textId="77777777" w:rsidR="000A4E2C" w:rsidRPr="00D96ECB" w:rsidRDefault="000A4E2C" w:rsidP="00D96ECB">
      <w:pPr>
        <w:keepNext/>
        <w:rPr>
          <w:rFonts w:ascii="Arial" w:hAnsi="Arial" w:cs="Arial"/>
          <w:b/>
          <w:sz w:val="26"/>
          <w:szCs w:val="26"/>
        </w:rPr>
      </w:pPr>
    </w:p>
    <w:p w14:paraId="2BDA3BF0" w14:textId="41ECC2F2" w:rsidR="00D96ECB" w:rsidRPr="00D96ECB" w:rsidRDefault="00D96ECB" w:rsidP="00D96ECB">
      <w:pPr>
        <w:keepNext/>
      </w:pPr>
      <w:r w:rsidRPr="00D96ECB">
        <w:t>The</w:t>
      </w:r>
      <w:r w:rsidR="007C7035">
        <w:t xml:space="preserve"> types of eligible property</w:t>
      </w:r>
      <w:r w:rsidR="00211C17">
        <w:t xml:space="preserve"> for the </w:t>
      </w:r>
      <w:r w:rsidR="006122F7">
        <w:t>PDCS</w:t>
      </w:r>
      <w:r w:rsidR="002B221C">
        <w:t xml:space="preserve"> are</w:t>
      </w:r>
      <w:r w:rsidRPr="00D96ECB">
        <w:t xml:space="preserve"> </w:t>
      </w:r>
      <w:r w:rsidRPr="001B2B42">
        <w:t>homes</w:t>
      </w:r>
      <w:r w:rsidRPr="00D96ECB">
        <w:t xml:space="preserve"> and vacant land. </w:t>
      </w:r>
      <w:r w:rsidR="00BB4F8D" w:rsidRPr="001B2B42">
        <w:t>H</w:t>
      </w:r>
      <w:r w:rsidR="0087740C" w:rsidRPr="001B2B42">
        <w:t>omes</w:t>
      </w:r>
      <w:r w:rsidR="0087740C">
        <w:t xml:space="preserve"> may be new </w:t>
      </w:r>
      <w:r w:rsidR="00BB4F8D">
        <w:t xml:space="preserve">(including off the plan residential units) </w:t>
      </w:r>
      <w:r w:rsidR="0087740C">
        <w:t>or established.</w:t>
      </w:r>
    </w:p>
    <w:p w14:paraId="6E3A2E57" w14:textId="77777777" w:rsidR="0001776D" w:rsidRPr="00F44C41" w:rsidRDefault="0001776D">
      <w:pPr>
        <w:rPr>
          <w:rFonts w:ascii="Arial" w:hAnsi="Arial" w:cs="Arial"/>
          <w:b/>
          <w:sz w:val="26"/>
          <w:szCs w:val="26"/>
        </w:rPr>
      </w:pPr>
    </w:p>
    <w:p w14:paraId="6516A933" w14:textId="0074AB80" w:rsidR="00B4197A" w:rsidRPr="00870995" w:rsidRDefault="00B4197A" w:rsidP="00B4197A">
      <w:pPr>
        <w:keepNext/>
        <w:rPr>
          <w:rFonts w:ascii="Arial" w:hAnsi="Arial" w:cs="Arial"/>
          <w:b/>
          <w:sz w:val="26"/>
          <w:szCs w:val="26"/>
        </w:rPr>
      </w:pPr>
      <w:r w:rsidRPr="00870995">
        <w:rPr>
          <w:rFonts w:ascii="Arial" w:hAnsi="Arial" w:cs="Arial"/>
          <w:b/>
          <w:sz w:val="26"/>
          <w:szCs w:val="26"/>
        </w:rPr>
        <w:t>Duty rates and capped benefit</w:t>
      </w:r>
    </w:p>
    <w:p w14:paraId="316601DD" w14:textId="77777777" w:rsidR="00B4197A" w:rsidRPr="00870995" w:rsidRDefault="00B4197A" w:rsidP="00B4197A">
      <w:pPr>
        <w:keepNext/>
      </w:pPr>
    </w:p>
    <w:p w14:paraId="31624A30" w14:textId="5A3ED67F" w:rsidR="00B4197A" w:rsidRPr="00C52779" w:rsidRDefault="00B4197A" w:rsidP="00B4197A">
      <w:pPr>
        <w:keepNext/>
        <w:rPr>
          <w:iCs/>
          <w:szCs w:val="24"/>
          <w:lang w:eastAsia="en-AU"/>
        </w:rPr>
      </w:pPr>
      <w:r w:rsidRPr="00C52779">
        <w:t xml:space="preserve">From 1 July </w:t>
      </w:r>
      <w:r w:rsidR="00C52779" w:rsidRPr="00C52779">
        <w:t>202</w:t>
      </w:r>
      <w:r w:rsidR="00C52779" w:rsidRPr="00045E60">
        <w:t>5</w:t>
      </w:r>
      <w:r w:rsidRPr="00C52779">
        <w:t>, the benefit available from the PDCS is capped at an amount equal to the amount of duty payable for property with a dutiable value of $1</w:t>
      </w:r>
      <w:r w:rsidR="00C52779" w:rsidRPr="00045E60">
        <w:t>,020,000</w:t>
      </w:r>
      <w:r w:rsidRPr="00C52779">
        <w:t xml:space="preserve"> . The cap amount is derived from the owner occupier base rate of duty under the applicable </w:t>
      </w:r>
      <w:r w:rsidRPr="00C52779">
        <w:lastRenderedPageBreak/>
        <w:t xml:space="preserve">disallowable instrument for duty rates—from 1 July </w:t>
      </w:r>
      <w:r w:rsidR="007F1AC1" w:rsidRPr="00C52779">
        <w:t>2025</w:t>
      </w:r>
      <w:r w:rsidRPr="00C52779">
        <w:t xml:space="preserve">, the </w:t>
      </w:r>
      <w:r w:rsidRPr="00C52779">
        <w:rPr>
          <w:i/>
        </w:rPr>
        <w:t xml:space="preserve">Taxation Administration (Amounts Payable—Duty) Determination </w:t>
      </w:r>
      <w:r w:rsidR="007F1AC1" w:rsidRPr="00C52779">
        <w:rPr>
          <w:i/>
        </w:rPr>
        <w:t>2025</w:t>
      </w:r>
      <w:r w:rsidRPr="00C52779">
        <w:rPr>
          <w:i/>
        </w:rPr>
        <w:t xml:space="preserve">. </w:t>
      </w:r>
    </w:p>
    <w:p w14:paraId="22C4D12E" w14:textId="77777777" w:rsidR="00B4197A" w:rsidRPr="00C52779" w:rsidRDefault="00B4197A" w:rsidP="00B4197A">
      <w:pPr>
        <w:keepNext/>
      </w:pPr>
    </w:p>
    <w:p w14:paraId="0CEABCB6" w14:textId="25CE15D0" w:rsidR="00B4197A" w:rsidRDefault="008947C3" w:rsidP="00B4197A">
      <w:r w:rsidRPr="00045E60">
        <w:t xml:space="preserve">The </w:t>
      </w:r>
      <w:r w:rsidR="006E3948" w:rsidRPr="00045E60">
        <w:t xml:space="preserve">dutiable property threshold for the DDCS increased in 2025-26 from $1 million to $1,020,000. The values for 2024-25 are provided for comparison. </w:t>
      </w:r>
    </w:p>
    <w:p w14:paraId="6E097666" w14:textId="77777777" w:rsidR="005F42B9" w:rsidRPr="00C52779" w:rsidRDefault="005F42B9" w:rsidP="00B4197A"/>
    <w:p w14:paraId="24563F87" w14:textId="77777777" w:rsidR="00B4197A" w:rsidRPr="00C52779" w:rsidRDefault="00B4197A" w:rsidP="00B4197A">
      <w:pPr>
        <w:rPr>
          <w:rFonts w:ascii="Arial" w:hAnsi="Arial" w:cs="Arial"/>
          <w:b/>
          <w:bCs/>
          <w:sz w:val="20"/>
        </w:rPr>
      </w:pPr>
      <w:r w:rsidRPr="00C52779">
        <w:rPr>
          <w:rFonts w:ascii="Arial" w:hAnsi="Arial" w:cs="Arial"/>
          <w:b/>
          <w:bCs/>
          <w:sz w:val="20"/>
        </w:rPr>
        <w:t xml:space="preserve">Table 1: Dutiable value thresholds </w:t>
      </w:r>
    </w:p>
    <w:tbl>
      <w:tblPr>
        <w:tblStyle w:val="TableGrid"/>
        <w:tblW w:w="0" w:type="auto"/>
        <w:tblLook w:val="04A0" w:firstRow="1" w:lastRow="0" w:firstColumn="1" w:lastColumn="0" w:noHBand="0" w:noVBand="1"/>
      </w:tblPr>
      <w:tblGrid>
        <w:gridCol w:w="3319"/>
        <w:gridCol w:w="3318"/>
      </w:tblGrid>
      <w:tr w:rsidR="008947C3" w:rsidRPr="00C52779" w14:paraId="594AD74D" w14:textId="5CE0BFB0" w:rsidTr="00A2255A">
        <w:tc>
          <w:tcPr>
            <w:tcW w:w="3319" w:type="dxa"/>
          </w:tcPr>
          <w:p w14:paraId="26DF22E8" w14:textId="77777777" w:rsidR="008947C3" w:rsidRPr="00C52779" w:rsidRDefault="008947C3" w:rsidP="002C506B">
            <w:pPr>
              <w:jc w:val="center"/>
              <w:rPr>
                <w:rFonts w:ascii="Arial" w:hAnsi="Arial" w:cs="Arial"/>
                <w:b/>
                <w:bCs/>
                <w:sz w:val="20"/>
              </w:rPr>
            </w:pPr>
            <w:r w:rsidRPr="00C52779">
              <w:rPr>
                <w:rFonts w:ascii="Arial" w:hAnsi="Arial" w:cs="Arial"/>
                <w:b/>
                <w:bCs/>
                <w:sz w:val="20"/>
              </w:rPr>
              <w:t>2024-25</w:t>
            </w:r>
          </w:p>
        </w:tc>
        <w:tc>
          <w:tcPr>
            <w:tcW w:w="3318" w:type="dxa"/>
          </w:tcPr>
          <w:p w14:paraId="3526B37B" w14:textId="64E0B250" w:rsidR="008947C3" w:rsidRPr="00045E60" w:rsidRDefault="008947C3" w:rsidP="002C506B">
            <w:pPr>
              <w:jc w:val="center"/>
              <w:rPr>
                <w:rFonts w:ascii="Arial" w:hAnsi="Arial" w:cs="Arial"/>
                <w:b/>
                <w:bCs/>
                <w:sz w:val="20"/>
              </w:rPr>
            </w:pPr>
            <w:r w:rsidRPr="00045E60">
              <w:rPr>
                <w:rFonts w:ascii="Arial" w:hAnsi="Arial" w:cs="Arial"/>
                <w:b/>
                <w:bCs/>
                <w:sz w:val="20"/>
              </w:rPr>
              <w:t>2025-26</w:t>
            </w:r>
          </w:p>
        </w:tc>
      </w:tr>
      <w:tr w:rsidR="008947C3" w:rsidRPr="00C52779" w14:paraId="545B8F7E" w14:textId="28C048C8" w:rsidTr="00A2255A">
        <w:tc>
          <w:tcPr>
            <w:tcW w:w="3319" w:type="dxa"/>
          </w:tcPr>
          <w:p w14:paraId="548CDD63" w14:textId="77777777" w:rsidR="008947C3" w:rsidRPr="00C52779" w:rsidRDefault="008947C3" w:rsidP="002C506B">
            <w:pPr>
              <w:jc w:val="center"/>
              <w:rPr>
                <w:rFonts w:ascii="Arial" w:hAnsi="Arial" w:cs="Arial"/>
                <w:b/>
                <w:bCs/>
                <w:sz w:val="20"/>
              </w:rPr>
            </w:pPr>
            <w:r w:rsidRPr="00C52779">
              <w:rPr>
                <w:rFonts w:ascii="Arial" w:hAnsi="Arial" w:cs="Arial"/>
                <w:b/>
                <w:bCs/>
                <w:sz w:val="20"/>
              </w:rPr>
              <w:t>Property threshold</w:t>
            </w:r>
          </w:p>
          <w:p w14:paraId="3B15F4C2" w14:textId="77777777" w:rsidR="008947C3" w:rsidRPr="00C52779" w:rsidRDefault="008947C3" w:rsidP="002C506B">
            <w:pPr>
              <w:jc w:val="center"/>
              <w:rPr>
                <w:rFonts w:ascii="Arial" w:hAnsi="Arial" w:cs="Arial"/>
                <w:b/>
                <w:bCs/>
                <w:sz w:val="20"/>
              </w:rPr>
            </w:pPr>
          </w:p>
        </w:tc>
        <w:tc>
          <w:tcPr>
            <w:tcW w:w="3318" w:type="dxa"/>
          </w:tcPr>
          <w:p w14:paraId="73B4E4FD" w14:textId="3FE1E8C0" w:rsidR="008947C3" w:rsidRPr="00045E60" w:rsidRDefault="008947C3" w:rsidP="002C506B">
            <w:pPr>
              <w:jc w:val="center"/>
              <w:rPr>
                <w:rFonts w:ascii="Arial" w:hAnsi="Arial" w:cs="Arial"/>
                <w:b/>
                <w:bCs/>
                <w:sz w:val="20"/>
              </w:rPr>
            </w:pPr>
            <w:r w:rsidRPr="00045E60">
              <w:rPr>
                <w:rFonts w:ascii="Arial" w:hAnsi="Arial" w:cs="Arial"/>
                <w:b/>
                <w:bCs/>
                <w:sz w:val="20"/>
              </w:rPr>
              <w:t>Property threshold</w:t>
            </w:r>
          </w:p>
        </w:tc>
      </w:tr>
      <w:tr w:rsidR="008947C3" w:rsidRPr="00C52779" w14:paraId="2B4D1B00" w14:textId="7DC1B0EC" w:rsidTr="00837E69">
        <w:trPr>
          <w:trHeight w:val="230"/>
        </w:trPr>
        <w:tc>
          <w:tcPr>
            <w:tcW w:w="3319" w:type="dxa"/>
            <w:vMerge w:val="restart"/>
          </w:tcPr>
          <w:p w14:paraId="3FC52C06" w14:textId="72CB3FCD" w:rsidR="008947C3" w:rsidRPr="00C52779" w:rsidRDefault="008947C3" w:rsidP="002C506B">
            <w:pPr>
              <w:jc w:val="center"/>
              <w:rPr>
                <w:rFonts w:ascii="Arial" w:hAnsi="Arial" w:cs="Arial"/>
                <w:sz w:val="20"/>
              </w:rPr>
            </w:pPr>
            <w:r w:rsidRPr="00C52779">
              <w:rPr>
                <w:rFonts w:ascii="Arial" w:hAnsi="Arial" w:cs="Arial"/>
                <w:sz w:val="20"/>
              </w:rPr>
              <w:t xml:space="preserve">$1 million </w:t>
            </w:r>
            <w:r w:rsidRPr="00C52779">
              <w:rPr>
                <w:rFonts w:ascii="Arial" w:hAnsi="Arial" w:cs="Arial"/>
                <w:sz w:val="20"/>
              </w:rPr>
              <w:br/>
              <w:t>(with benefits capped at $34,270)</w:t>
            </w:r>
          </w:p>
          <w:p w14:paraId="0A36AE76" w14:textId="77777777" w:rsidR="008947C3" w:rsidRPr="00C52779" w:rsidRDefault="008947C3" w:rsidP="002C506B">
            <w:pPr>
              <w:jc w:val="center"/>
              <w:rPr>
                <w:rFonts w:ascii="Arial" w:hAnsi="Arial" w:cs="Arial"/>
                <w:sz w:val="20"/>
              </w:rPr>
            </w:pPr>
          </w:p>
          <w:p w14:paraId="6ECF94E5" w14:textId="77777777" w:rsidR="008947C3" w:rsidRPr="00C52779" w:rsidRDefault="008947C3" w:rsidP="002C506B">
            <w:pPr>
              <w:jc w:val="center"/>
              <w:rPr>
                <w:rFonts w:ascii="Arial" w:hAnsi="Arial" w:cs="Arial"/>
                <w:sz w:val="20"/>
              </w:rPr>
            </w:pPr>
          </w:p>
          <w:p w14:paraId="2C8FFF97" w14:textId="77777777" w:rsidR="008947C3" w:rsidRPr="00C52779" w:rsidRDefault="008947C3" w:rsidP="002C506B">
            <w:pPr>
              <w:jc w:val="center"/>
              <w:rPr>
                <w:rFonts w:ascii="Arial" w:hAnsi="Arial" w:cs="Arial"/>
                <w:sz w:val="20"/>
              </w:rPr>
            </w:pPr>
          </w:p>
        </w:tc>
        <w:tc>
          <w:tcPr>
            <w:tcW w:w="3318" w:type="dxa"/>
            <w:vMerge w:val="restart"/>
          </w:tcPr>
          <w:p w14:paraId="01FF0E63" w14:textId="77777777" w:rsidR="008947C3" w:rsidRPr="00045E60" w:rsidRDefault="008947C3" w:rsidP="002C506B">
            <w:pPr>
              <w:jc w:val="center"/>
              <w:rPr>
                <w:rFonts w:ascii="Arial" w:hAnsi="Arial" w:cs="Arial"/>
                <w:sz w:val="20"/>
              </w:rPr>
            </w:pPr>
            <w:r w:rsidRPr="00045E60">
              <w:rPr>
                <w:rFonts w:ascii="Arial" w:hAnsi="Arial" w:cs="Arial"/>
                <w:sz w:val="20"/>
              </w:rPr>
              <w:t xml:space="preserve">$1,020,000 </w:t>
            </w:r>
          </w:p>
          <w:p w14:paraId="0AAD470C" w14:textId="6C2CB944" w:rsidR="008947C3" w:rsidRPr="00045E60" w:rsidRDefault="008947C3" w:rsidP="002C506B">
            <w:pPr>
              <w:jc w:val="center"/>
              <w:rPr>
                <w:rFonts w:ascii="Arial" w:hAnsi="Arial" w:cs="Arial"/>
                <w:sz w:val="20"/>
              </w:rPr>
            </w:pPr>
            <w:r w:rsidRPr="00045E60">
              <w:rPr>
                <w:rFonts w:ascii="Arial" w:hAnsi="Arial" w:cs="Arial"/>
                <w:sz w:val="20"/>
              </w:rPr>
              <w:t>(with benefits capped at $3</w:t>
            </w:r>
            <w:r w:rsidR="00C52779">
              <w:rPr>
                <w:rFonts w:ascii="Arial" w:hAnsi="Arial" w:cs="Arial"/>
                <w:sz w:val="20"/>
              </w:rPr>
              <w:t>5</w:t>
            </w:r>
            <w:r w:rsidRPr="00045E60">
              <w:rPr>
                <w:rFonts w:ascii="Arial" w:hAnsi="Arial" w:cs="Arial"/>
                <w:sz w:val="20"/>
              </w:rPr>
              <w:t>,</w:t>
            </w:r>
            <w:r w:rsidR="00C52779">
              <w:rPr>
                <w:rFonts w:ascii="Arial" w:hAnsi="Arial" w:cs="Arial"/>
                <w:sz w:val="20"/>
              </w:rPr>
              <w:t>23</w:t>
            </w:r>
            <w:r w:rsidRPr="00045E60">
              <w:rPr>
                <w:rFonts w:ascii="Arial" w:hAnsi="Arial" w:cs="Arial"/>
                <w:sz w:val="20"/>
              </w:rPr>
              <w:t>8)</w:t>
            </w:r>
          </w:p>
        </w:tc>
      </w:tr>
      <w:tr w:rsidR="008947C3" w:rsidRPr="00C52779" w14:paraId="050A8912" w14:textId="348B4DD5" w:rsidTr="00837E69">
        <w:trPr>
          <w:trHeight w:val="230"/>
        </w:trPr>
        <w:tc>
          <w:tcPr>
            <w:tcW w:w="3319" w:type="dxa"/>
            <w:vMerge/>
          </w:tcPr>
          <w:p w14:paraId="4829C229" w14:textId="77777777" w:rsidR="008947C3" w:rsidRPr="00045E60" w:rsidRDefault="008947C3" w:rsidP="002C506B">
            <w:pPr>
              <w:jc w:val="center"/>
              <w:rPr>
                <w:rFonts w:ascii="Arial" w:hAnsi="Arial" w:cs="Arial"/>
                <w:sz w:val="20"/>
              </w:rPr>
            </w:pPr>
          </w:p>
        </w:tc>
        <w:tc>
          <w:tcPr>
            <w:tcW w:w="3318" w:type="dxa"/>
            <w:vMerge/>
          </w:tcPr>
          <w:p w14:paraId="5F35C03D" w14:textId="77777777" w:rsidR="008947C3" w:rsidRPr="00045E60" w:rsidRDefault="008947C3" w:rsidP="002C506B">
            <w:pPr>
              <w:jc w:val="center"/>
              <w:rPr>
                <w:rFonts w:ascii="Arial" w:hAnsi="Arial" w:cs="Arial"/>
                <w:sz w:val="20"/>
              </w:rPr>
            </w:pPr>
          </w:p>
        </w:tc>
      </w:tr>
    </w:tbl>
    <w:p w14:paraId="78FDDBD9" w14:textId="77777777" w:rsidR="00B4197A" w:rsidRPr="00C52779" w:rsidRDefault="00B4197A" w:rsidP="00B4197A"/>
    <w:p w14:paraId="73999EF6" w14:textId="5349EA5D" w:rsidR="00B4197A" w:rsidRPr="004D553A" w:rsidRDefault="00B4197A" w:rsidP="00B4197A">
      <w:r w:rsidRPr="00C52779">
        <w:t>The rate of duty payable on an eligible transaction by an eligible home buyer is a nil rate for dutiable value of less than or equal to $1,0</w:t>
      </w:r>
      <w:r w:rsidR="008947C3" w:rsidRPr="00045E60">
        <w:t>2</w:t>
      </w:r>
      <w:r w:rsidRPr="00C52779">
        <w:t>0,000.</w:t>
      </w:r>
      <w:r w:rsidRPr="004D553A">
        <w:t xml:space="preserve"> </w:t>
      </w:r>
    </w:p>
    <w:p w14:paraId="6774279F" w14:textId="77777777" w:rsidR="00B4197A" w:rsidRPr="004D553A" w:rsidRDefault="00B4197A" w:rsidP="00B4197A"/>
    <w:p w14:paraId="6E20DA19" w14:textId="6CB6BE0B" w:rsidR="00B4197A" w:rsidRPr="004D553A" w:rsidRDefault="00B4197A" w:rsidP="00B4197A">
      <w:r w:rsidRPr="00BF1669">
        <w:t>For dutiable value over $1,0</w:t>
      </w:r>
      <w:r w:rsidR="00BF1669" w:rsidRPr="00045E60">
        <w:t>2</w:t>
      </w:r>
      <w:r w:rsidRPr="00BF1669">
        <w:t>0,000, the rate of duty of $6.40 for every $100, or part thereof, applies to the dutiable value that is more than $1,</w:t>
      </w:r>
      <w:r w:rsidR="00BF1669" w:rsidRPr="00BF1669">
        <w:t>0</w:t>
      </w:r>
      <w:r w:rsidR="00BF1669" w:rsidRPr="00045E60">
        <w:t>2</w:t>
      </w:r>
      <w:r w:rsidR="00BF1669" w:rsidRPr="00BF1669">
        <w:t>0</w:t>
      </w:r>
      <w:r w:rsidRPr="00BF1669">
        <w:t>,000 but not more than $1,455,000. As this rate of duty only applies to that part of the dutiable value above $1</w:t>
      </w:r>
      <w:r w:rsidR="00BF1669" w:rsidRPr="00045E60">
        <w:t>,020,000</w:t>
      </w:r>
      <w:r w:rsidRPr="00BF1669">
        <w:t xml:space="preserve"> the taxpayer retains the benefit of nil duty on that part of the dutiable value equal to or less than $1</w:t>
      </w:r>
      <w:r w:rsidR="00BF1669" w:rsidRPr="00045E60">
        <w:t>,020,000</w:t>
      </w:r>
      <w:r w:rsidRPr="00BF1669">
        <w:t>.</w:t>
      </w:r>
    </w:p>
    <w:p w14:paraId="7D5BDB07" w14:textId="77777777" w:rsidR="00B4197A" w:rsidRPr="004D553A" w:rsidRDefault="00B4197A" w:rsidP="00B4197A"/>
    <w:p w14:paraId="47EE95C0" w14:textId="2FCD2C85" w:rsidR="00B4197A" w:rsidRPr="004D553A" w:rsidRDefault="00B4197A" w:rsidP="00B4197A">
      <w:r w:rsidRPr="004D553A">
        <w:t>For dutiable value over $1,455,000, a flat rate of duty of $4.54 for every $100 applies to the total dutiable value consistent with conveyance duty for residential properties transfers generally. The capped PDCS benefit is then applied by subtracting an amount of duty of $3</w:t>
      </w:r>
      <w:r w:rsidR="007F1EEC">
        <w:t>5</w:t>
      </w:r>
      <w:r w:rsidR="008947C3">
        <w:t>,</w:t>
      </w:r>
      <w:r w:rsidR="007F1EEC">
        <w:t>238</w:t>
      </w:r>
      <w:r w:rsidRPr="004D553A">
        <w:t xml:space="preserve"> – this is equivalent to that applying to a property with a dutiable value of $1</w:t>
      </w:r>
      <w:r w:rsidR="00BF1669">
        <w:t>,020,000</w:t>
      </w:r>
      <w:r w:rsidRPr="004D553A">
        <w:t xml:space="preserve"> (at the owner occupier base rate from 1 July 202</w:t>
      </w:r>
      <w:r w:rsidR="008947C3">
        <w:t>5</w:t>
      </w:r>
      <w:r w:rsidRPr="004D553A">
        <w:t xml:space="preserve"> given the application of residency requirements). </w:t>
      </w:r>
    </w:p>
    <w:p w14:paraId="47CB80BD" w14:textId="77777777" w:rsidR="00B4197A" w:rsidRDefault="00B4197A" w:rsidP="00184665"/>
    <w:p w14:paraId="03F3DF8F" w14:textId="77777777" w:rsidR="00380BFF" w:rsidRPr="004939FA" w:rsidRDefault="00380BFF" w:rsidP="00380BFF">
      <w:pPr>
        <w:keepNext/>
        <w:rPr>
          <w:rFonts w:ascii="Arial" w:hAnsi="Arial" w:cs="Arial"/>
          <w:b/>
          <w:sz w:val="26"/>
          <w:szCs w:val="26"/>
        </w:rPr>
      </w:pPr>
      <w:r w:rsidRPr="004939FA">
        <w:rPr>
          <w:rFonts w:ascii="Arial" w:hAnsi="Arial" w:cs="Arial"/>
          <w:b/>
          <w:sz w:val="26"/>
          <w:szCs w:val="26"/>
        </w:rPr>
        <w:t>Eligible transactions</w:t>
      </w:r>
    </w:p>
    <w:p w14:paraId="3DD4118B" w14:textId="77777777" w:rsidR="00967574" w:rsidRPr="00A61F7C" w:rsidRDefault="00967574" w:rsidP="008602C8">
      <w:pPr>
        <w:keepNext/>
      </w:pPr>
    </w:p>
    <w:p w14:paraId="0BB1DBDD" w14:textId="73AAC2CA" w:rsidR="000C183A" w:rsidRDefault="000C183A" w:rsidP="009B4B0F">
      <w:r w:rsidRPr="00A61F7C">
        <w:t xml:space="preserve">A transaction is deemed </w:t>
      </w:r>
      <w:r w:rsidR="00E35188">
        <w:t xml:space="preserve">an </w:t>
      </w:r>
      <w:r w:rsidRPr="00A61F7C">
        <w:t xml:space="preserve">eligible </w:t>
      </w:r>
      <w:r w:rsidR="00E35188">
        <w:t xml:space="preserve">transaction </w:t>
      </w:r>
      <w:r w:rsidR="00E4756B" w:rsidRPr="00A61F7C">
        <w:t xml:space="preserve">if the eligibility requirements specified in the </w:t>
      </w:r>
      <w:r w:rsidR="00A4764A">
        <w:t xml:space="preserve">Determination </w:t>
      </w:r>
      <w:r w:rsidR="00E4756B" w:rsidRPr="00A61F7C">
        <w:t>are met.</w:t>
      </w:r>
      <w:r w:rsidR="00C2384B">
        <w:t xml:space="preserve"> These eligibility requirements are:</w:t>
      </w:r>
    </w:p>
    <w:p w14:paraId="7BBC60E6" w14:textId="77777777" w:rsidR="00C2384B" w:rsidRPr="00A61F7C" w:rsidRDefault="00C2384B" w:rsidP="009B4B0F"/>
    <w:p w14:paraId="2A7F26A2" w14:textId="77777777" w:rsidR="0007271C" w:rsidRPr="0046556A" w:rsidRDefault="0007271C" w:rsidP="00F737FF">
      <w:pPr>
        <w:pStyle w:val="ListParagraph"/>
        <w:numPr>
          <w:ilvl w:val="0"/>
          <w:numId w:val="17"/>
        </w:numPr>
        <w:rPr>
          <w:bCs/>
          <w:szCs w:val="24"/>
        </w:rPr>
      </w:pPr>
      <w:r w:rsidRPr="0046556A">
        <w:rPr>
          <w:bCs/>
          <w:szCs w:val="24"/>
        </w:rPr>
        <w:t xml:space="preserve">Pensioner requirement </w:t>
      </w:r>
    </w:p>
    <w:p w14:paraId="6AF9E5B2" w14:textId="77777777" w:rsidR="0007271C" w:rsidRDefault="0007271C" w:rsidP="00626A08">
      <w:pPr>
        <w:keepNext/>
      </w:pPr>
    </w:p>
    <w:p w14:paraId="0FEDDD7F" w14:textId="20B549D2" w:rsidR="0007271C" w:rsidRDefault="0007271C" w:rsidP="00F737FF">
      <w:pPr>
        <w:keepNext/>
        <w:ind w:left="709"/>
      </w:pPr>
      <w:r>
        <w:t>The concession is only available to a person who is in receipt of an Australian age pension (</w:t>
      </w:r>
      <w:r w:rsidR="00C84401">
        <w:t xml:space="preserve">Services Australia </w:t>
      </w:r>
      <w:r>
        <w:t>or Department of Veterans’ Affairs equivalent)</w:t>
      </w:r>
      <w:r w:rsidR="00A15E04">
        <w:t>;</w:t>
      </w:r>
      <w:r w:rsidR="00F737FF">
        <w:t xml:space="preserve"> </w:t>
      </w:r>
      <w:r>
        <w:t xml:space="preserve">or a disability support pension and is 50 years of age or more; </w:t>
      </w:r>
      <w:r w:rsidRPr="00BD27BC">
        <w:t xml:space="preserve">or </w:t>
      </w:r>
      <w:r w:rsidR="00A15E04" w:rsidRPr="00BD27BC">
        <w:t xml:space="preserve">holds </w:t>
      </w:r>
      <w:r w:rsidRPr="00BD27BC">
        <w:t xml:space="preserve">a Department of Veterans’ Affairs Gold Card for </w:t>
      </w:r>
      <w:r w:rsidR="00A15E04" w:rsidRPr="00BD27BC">
        <w:t xml:space="preserve">at least </w:t>
      </w:r>
      <w:r w:rsidRPr="00BD27BC">
        <w:t xml:space="preserve">one year </w:t>
      </w:r>
      <w:r w:rsidR="00BB4F8D" w:rsidRPr="00BD27BC">
        <w:t xml:space="preserve">immediately </w:t>
      </w:r>
      <w:r w:rsidRPr="00BD27BC">
        <w:t>prior to the grant, transfer, or agreement.</w:t>
      </w:r>
      <w:r>
        <w:t xml:space="preserve"> </w:t>
      </w:r>
    </w:p>
    <w:p w14:paraId="5ED51A43" w14:textId="078C272C" w:rsidR="001200AA" w:rsidRDefault="001200AA">
      <w:pPr>
        <w:rPr>
          <w:bCs/>
          <w:szCs w:val="24"/>
        </w:rPr>
      </w:pPr>
    </w:p>
    <w:p w14:paraId="2BAC5478" w14:textId="015CC3ED" w:rsidR="00626A08" w:rsidRPr="0046556A" w:rsidRDefault="00F62620" w:rsidP="00F737FF">
      <w:pPr>
        <w:pStyle w:val="ListParagraph"/>
        <w:keepNext/>
        <w:numPr>
          <w:ilvl w:val="0"/>
          <w:numId w:val="17"/>
        </w:numPr>
        <w:rPr>
          <w:bCs/>
          <w:szCs w:val="24"/>
        </w:rPr>
      </w:pPr>
      <w:r w:rsidRPr="0046556A">
        <w:rPr>
          <w:bCs/>
          <w:szCs w:val="24"/>
        </w:rPr>
        <w:t>Property requirements</w:t>
      </w:r>
    </w:p>
    <w:p w14:paraId="0D3143B5" w14:textId="77777777" w:rsidR="00626A08" w:rsidRDefault="00626A08" w:rsidP="00C37233"/>
    <w:p w14:paraId="35FF2E80" w14:textId="53A3C978" w:rsidR="00615425" w:rsidRDefault="00A61F7C" w:rsidP="002419A8">
      <w:pPr>
        <w:ind w:left="709"/>
      </w:pPr>
      <w:r w:rsidRPr="00A61F7C">
        <w:t xml:space="preserve">A </w:t>
      </w:r>
      <w:r w:rsidRPr="00A61F7C">
        <w:rPr>
          <w:bCs/>
        </w:rPr>
        <w:t>transaction</w:t>
      </w:r>
      <w:r w:rsidR="00DA6CBE">
        <w:rPr>
          <w:bCs/>
        </w:rPr>
        <w:t xml:space="preserve"> </w:t>
      </w:r>
      <w:r w:rsidR="009B4B0F">
        <w:rPr>
          <w:bCs/>
        </w:rPr>
        <w:t xml:space="preserve">is not </w:t>
      </w:r>
      <w:r w:rsidR="00C6284E">
        <w:rPr>
          <w:bCs/>
        </w:rPr>
        <w:t xml:space="preserve">an </w:t>
      </w:r>
      <w:r w:rsidR="009B4B0F">
        <w:rPr>
          <w:bCs/>
        </w:rPr>
        <w:t xml:space="preserve">eligible </w:t>
      </w:r>
      <w:r w:rsidR="00C6284E">
        <w:rPr>
          <w:bCs/>
        </w:rPr>
        <w:t xml:space="preserve">transaction </w:t>
      </w:r>
      <w:r w:rsidR="009B4B0F">
        <w:rPr>
          <w:bCs/>
        </w:rPr>
        <w:t xml:space="preserve">if, </w:t>
      </w:r>
      <w:r w:rsidR="00F44C41">
        <w:rPr>
          <w:bCs/>
        </w:rPr>
        <w:t>on</w:t>
      </w:r>
      <w:r w:rsidR="009B4B0F">
        <w:rPr>
          <w:bCs/>
        </w:rPr>
        <w:t xml:space="preserve"> the </w:t>
      </w:r>
      <w:r w:rsidRPr="00A61F7C">
        <w:rPr>
          <w:bCs/>
        </w:rPr>
        <w:t>transaction date</w:t>
      </w:r>
      <w:r w:rsidRPr="00AA1C85">
        <w:rPr>
          <w:bCs/>
        </w:rPr>
        <w:t>, a</w:t>
      </w:r>
      <w:r w:rsidR="001A7BB5">
        <w:rPr>
          <w:bCs/>
        </w:rPr>
        <w:t>ll</w:t>
      </w:r>
      <w:r w:rsidRPr="00AA1C85">
        <w:rPr>
          <w:bCs/>
        </w:rPr>
        <w:t xml:space="preserve"> transferee</w:t>
      </w:r>
      <w:r w:rsidR="001A7BB5">
        <w:rPr>
          <w:bCs/>
        </w:rPr>
        <w:t>s</w:t>
      </w:r>
      <w:r w:rsidR="008847BF" w:rsidRPr="00AA1C85">
        <w:rPr>
          <w:bCs/>
        </w:rPr>
        <w:t xml:space="preserve"> </w:t>
      </w:r>
      <w:r w:rsidR="001A7BB5">
        <w:rPr>
          <w:bCs/>
        </w:rPr>
        <w:t>and</w:t>
      </w:r>
      <w:r w:rsidR="001A7BB5" w:rsidRPr="00AA1C85">
        <w:rPr>
          <w:bCs/>
        </w:rPr>
        <w:t xml:space="preserve"> </w:t>
      </w:r>
      <w:r w:rsidR="001A7BB5">
        <w:rPr>
          <w:bCs/>
        </w:rPr>
        <w:t xml:space="preserve">their </w:t>
      </w:r>
      <w:r w:rsidR="008847BF" w:rsidRPr="00AA1C85">
        <w:rPr>
          <w:bCs/>
        </w:rPr>
        <w:t>domestic partner</w:t>
      </w:r>
      <w:r w:rsidR="001A7BB5">
        <w:rPr>
          <w:bCs/>
        </w:rPr>
        <w:t>s</w:t>
      </w:r>
      <w:r w:rsidRPr="00AA1C85">
        <w:rPr>
          <w:bCs/>
        </w:rPr>
        <w:t xml:space="preserve"> </w:t>
      </w:r>
      <w:r w:rsidR="00DA6CBE" w:rsidRPr="00AA1C85">
        <w:rPr>
          <w:bCs/>
        </w:rPr>
        <w:t>he</w:t>
      </w:r>
      <w:r w:rsidR="009B4B0F" w:rsidRPr="00AA1C85">
        <w:rPr>
          <w:bCs/>
        </w:rPr>
        <w:t>ld an interest in land other</w:t>
      </w:r>
      <w:r w:rsidR="00045E60">
        <w:rPr>
          <w:bCs/>
        </w:rPr>
        <w:t xml:space="preserve"> than the </w:t>
      </w:r>
      <w:r w:rsidR="009B4B0F" w:rsidRPr="00AA1C85">
        <w:rPr>
          <w:bCs/>
        </w:rPr>
        <w:t xml:space="preserve"> </w:t>
      </w:r>
      <w:r w:rsidR="00AA1C85" w:rsidRPr="00AA1C85">
        <w:t xml:space="preserve"> former property (if applicable)</w:t>
      </w:r>
      <w:r w:rsidR="00615425" w:rsidRPr="00AA1C85">
        <w:t>.</w:t>
      </w:r>
      <w:r w:rsidR="002419A8" w:rsidRPr="002419A8">
        <w:t xml:space="preserve"> </w:t>
      </w:r>
      <w:r w:rsidR="002419A8" w:rsidRPr="00ED511C">
        <w:t xml:space="preserve">The property interests of </w:t>
      </w:r>
      <w:r w:rsidR="002419A8">
        <w:t xml:space="preserve">a transferee’s </w:t>
      </w:r>
      <w:r w:rsidR="002419A8" w:rsidRPr="00ED511C">
        <w:t xml:space="preserve">domestic partner, who is a spouse, is excluded where there has been a </w:t>
      </w:r>
      <w:r w:rsidR="002419A8" w:rsidRPr="00ED511C">
        <w:lastRenderedPageBreak/>
        <w:t xml:space="preserve">dissolution, annulment or irretrievable breakdown of the domestic relationship. This only applies if the </w:t>
      </w:r>
      <w:r w:rsidR="002419A8">
        <w:t>transferee</w:t>
      </w:r>
      <w:r w:rsidR="002419A8" w:rsidRPr="00ED511C">
        <w:t xml:space="preserve"> is not cohabitating with the spouse and there is no likelihood of cohabitation being resumed.</w:t>
      </w:r>
    </w:p>
    <w:p w14:paraId="7B923ACD" w14:textId="77777777" w:rsidR="003D0ED6" w:rsidRDefault="003D0ED6" w:rsidP="002419A8">
      <w:pPr>
        <w:ind w:left="709"/>
      </w:pPr>
    </w:p>
    <w:p w14:paraId="754BA6F5" w14:textId="700C3699" w:rsidR="003D0ED6" w:rsidRPr="002419A8" w:rsidRDefault="003D0ED6" w:rsidP="003D0ED6">
      <w:pPr>
        <w:ind w:left="709"/>
      </w:pPr>
      <w:r>
        <w:t xml:space="preserve">The eligibility criterion has also been updated to clarify that all transferees and their domestic partners must acquire a legal and equitable interest in the eligible property that is being purchased using the concession. Earlier determinations referenced that the legal and equitable interest in the eligible property were counted as a property interest to be excluded. </w:t>
      </w:r>
    </w:p>
    <w:p w14:paraId="19A7C3BD" w14:textId="77777777" w:rsidR="00655C96" w:rsidRPr="00AA1C85" w:rsidRDefault="00655C96" w:rsidP="00F737FF">
      <w:pPr>
        <w:ind w:left="709"/>
        <w:rPr>
          <w:bCs/>
        </w:rPr>
      </w:pPr>
    </w:p>
    <w:p w14:paraId="540CD7F7" w14:textId="2A6D91FE" w:rsidR="00655C96" w:rsidRDefault="00655C96" w:rsidP="00F737FF">
      <w:pPr>
        <w:ind w:left="709"/>
      </w:pPr>
      <w:r w:rsidRPr="00AA1C85">
        <w:rPr>
          <w:bCs/>
        </w:rPr>
        <w:t xml:space="preserve">Additionally, the </w:t>
      </w:r>
      <w:r w:rsidR="00001083">
        <w:rPr>
          <w:bCs/>
        </w:rPr>
        <w:t>transferee</w:t>
      </w:r>
      <w:r w:rsidR="00001083" w:rsidRPr="00AA1C85">
        <w:rPr>
          <w:bCs/>
        </w:rPr>
        <w:t xml:space="preserve"> </w:t>
      </w:r>
      <w:r w:rsidRPr="00AA1C85">
        <w:rPr>
          <w:bCs/>
        </w:rPr>
        <w:t xml:space="preserve">must sell or have sold the property from which the </w:t>
      </w:r>
      <w:r w:rsidR="00001083">
        <w:rPr>
          <w:bCs/>
        </w:rPr>
        <w:t>transferee</w:t>
      </w:r>
      <w:r w:rsidR="00001083" w:rsidRPr="00AA1C85">
        <w:rPr>
          <w:bCs/>
        </w:rPr>
        <w:t xml:space="preserve"> </w:t>
      </w:r>
      <w:r w:rsidRPr="00AA1C85">
        <w:rPr>
          <w:bCs/>
        </w:rPr>
        <w:t xml:space="preserve">is moving </w:t>
      </w:r>
      <w:r w:rsidRPr="00AA1C85">
        <w:t xml:space="preserve">within </w:t>
      </w:r>
      <w:r w:rsidR="00C6284E">
        <w:t>one</w:t>
      </w:r>
      <w:r w:rsidR="00C6284E" w:rsidRPr="00AA1C85">
        <w:t xml:space="preserve"> </w:t>
      </w:r>
      <w:r w:rsidRPr="00AA1C85">
        <w:t>year of</w:t>
      </w:r>
      <w:r w:rsidR="008B7787" w:rsidRPr="00AA1C85">
        <w:t xml:space="preserve"> (before or after) the date the instrument effecting the transaction is registered with the </w:t>
      </w:r>
      <w:r w:rsidR="00D07ADF">
        <w:t>r</w:t>
      </w:r>
      <w:r w:rsidR="008B7787" w:rsidRPr="00AA1C85">
        <w:t>egistrar-</w:t>
      </w:r>
      <w:r w:rsidR="00D07ADF">
        <w:t>g</w:t>
      </w:r>
      <w:r w:rsidR="008B7787" w:rsidRPr="00AA1C85">
        <w:t xml:space="preserve">eneral on the land titles register under the </w:t>
      </w:r>
      <w:r w:rsidR="008B7787" w:rsidRPr="00AA1C85">
        <w:rPr>
          <w:i/>
        </w:rPr>
        <w:t>Land Titles Act 1925</w:t>
      </w:r>
      <w:r w:rsidR="002832DE" w:rsidRPr="00AA1C85">
        <w:t>.</w:t>
      </w:r>
      <w:r w:rsidR="00A15E04">
        <w:t xml:space="preserve"> There may be exceptions to this, as set out below.</w:t>
      </w:r>
    </w:p>
    <w:p w14:paraId="0BC60250" w14:textId="77777777" w:rsidR="002832DE" w:rsidRDefault="002832DE" w:rsidP="00F737FF">
      <w:pPr>
        <w:ind w:left="709"/>
      </w:pPr>
    </w:p>
    <w:p w14:paraId="2053E0D0" w14:textId="7047E595" w:rsidR="009B4B0F" w:rsidRDefault="002832DE" w:rsidP="00F737FF">
      <w:pPr>
        <w:tabs>
          <w:tab w:val="left" w:pos="6857"/>
        </w:tabs>
        <w:ind w:left="709"/>
      </w:pPr>
      <w:r>
        <w:t>Ownership of the eligible property being purchased must be in the same name or names as the property being sold.</w:t>
      </w:r>
      <w:r w:rsidR="00A15E04">
        <w:rPr>
          <w:bCs/>
        </w:rPr>
        <w:t xml:space="preserve"> </w:t>
      </w:r>
      <w:r w:rsidR="00DA6CBE">
        <w:rPr>
          <w:bCs/>
        </w:rPr>
        <w:t xml:space="preserve">Exceptions apply if </w:t>
      </w:r>
      <w:r w:rsidR="00DA6CBE" w:rsidRPr="00565168">
        <w:t xml:space="preserve">a court order, financial agreement, or domestic relationship agreement </w:t>
      </w:r>
      <w:r w:rsidR="00DA6CBE">
        <w:t>required</w:t>
      </w:r>
      <w:r w:rsidR="00DA6CBE" w:rsidRPr="00565168">
        <w:t xml:space="preserve"> the </w:t>
      </w:r>
      <w:r w:rsidR="00DA6CBE">
        <w:t xml:space="preserve">other property to be relinquished. However, these orders or agreements must be </w:t>
      </w:r>
      <w:r w:rsidR="00DA6CBE" w:rsidRPr="00565168">
        <w:t>made</w:t>
      </w:r>
      <w:r w:rsidR="00DA6CBE">
        <w:t xml:space="preserve"> </w:t>
      </w:r>
      <w:r w:rsidR="00DA6CBE" w:rsidRPr="00565168">
        <w:t>before the</w:t>
      </w:r>
      <w:r w:rsidR="005648A2">
        <w:t xml:space="preserve"> transaction </w:t>
      </w:r>
      <w:r w:rsidR="00DA6CBE" w:rsidRPr="00565168">
        <w:t>date</w:t>
      </w:r>
      <w:r w:rsidR="00DA6CBE">
        <w:t>.</w:t>
      </w:r>
      <w:r w:rsidR="00655C96">
        <w:t xml:space="preserve"> </w:t>
      </w:r>
      <w:r w:rsidR="00DA6CBE">
        <w:t>Exceptions also apply if the other property is subject to a will</w:t>
      </w:r>
      <w:r w:rsidR="00655C96">
        <w:t>.</w:t>
      </w:r>
    </w:p>
    <w:p w14:paraId="113F8483" w14:textId="6CD1F51D" w:rsidR="00FD7A79" w:rsidRDefault="00FD7A79" w:rsidP="00F737FF">
      <w:pPr>
        <w:tabs>
          <w:tab w:val="left" w:pos="6857"/>
        </w:tabs>
        <w:ind w:left="709"/>
      </w:pPr>
    </w:p>
    <w:p w14:paraId="46FC3DC4" w14:textId="77777777" w:rsidR="00FD7A79" w:rsidRDefault="00FD7A79" w:rsidP="00FD7A79">
      <w:pPr>
        <w:ind w:left="709"/>
      </w:pPr>
      <w:r>
        <w:t>The Determination allows the Commissioner to consider a request in writing from a potential or current transferee to exempt the eligible transaction from compliance with the requirement about ownership in the same names, or the requirement to sell the former property within one year. The Commissioner can grant an exemption if anomalous or unusual circumstances exist.</w:t>
      </w:r>
    </w:p>
    <w:p w14:paraId="2C2A2ACF" w14:textId="77777777" w:rsidR="003D0ED6" w:rsidRDefault="003D0ED6" w:rsidP="00FD7A79">
      <w:pPr>
        <w:ind w:left="709"/>
      </w:pPr>
    </w:p>
    <w:p w14:paraId="6F584601" w14:textId="77777777" w:rsidR="002832DE" w:rsidRPr="00F737FF" w:rsidRDefault="00D35248" w:rsidP="00F737FF">
      <w:pPr>
        <w:pStyle w:val="ListParagraph"/>
        <w:keepNext/>
        <w:numPr>
          <w:ilvl w:val="0"/>
          <w:numId w:val="17"/>
        </w:numPr>
        <w:rPr>
          <w:bCs/>
          <w:szCs w:val="24"/>
        </w:rPr>
      </w:pPr>
      <w:r w:rsidRPr="00F737FF">
        <w:rPr>
          <w:bCs/>
          <w:szCs w:val="24"/>
        </w:rPr>
        <w:t>Residence requirements</w:t>
      </w:r>
    </w:p>
    <w:p w14:paraId="28828296" w14:textId="77777777" w:rsidR="002832DE" w:rsidRPr="00F44C41" w:rsidRDefault="002832DE" w:rsidP="002832DE">
      <w:pPr>
        <w:keepNext/>
        <w:rPr>
          <w:rFonts w:ascii="Arial" w:hAnsi="Arial" w:cs="Arial"/>
          <w:b/>
          <w:sz w:val="26"/>
          <w:szCs w:val="26"/>
        </w:rPr>
      </w:pPr>
    </w:p>
    <w:p w14:paraId="31D86F76" w14:textId="480E8A69" w:rsidR="002832DE" w:rsidRDefault="002832DE" w:rsidP="00F737FF">
      <w:pPr>
        <w:ind w:left="709"/>
      </w:pPr>
      <w:r w:rsidRPr="00390519">
        <w:t xml:space="preserve">At least one of the </w:t>
      </w:r>
      <w:r w:rsidR="00A61F7C" w:rsidRPr="008A6077">
        <w:t>transferee</w:t>
      </w:r>
      <w:r w:rsidR="00390519" w:rsidRPr="008A6077">
        <w:t xml:space="preserve">s </w:t>
      </w:r>
      <w:r w:rsidR="008A6077">
        <w:t>of</w:t>
      </w:r>
      <w:r w:rsidR="00D35248">
        <w:t xml:space="preserve"> the </w:t>
      </w:r>
      <w:r w:rsidR="00BC1954" w:rsidRPr="008A6077">
        <w:t xml:space="preserve">eligible </w:t>
      </w:r>
      <w:r w:rsidR="00D35248">
        <w:t xml:space="preserve">property </w:t>
      </w:r>
      <w:r w:rsidRPr="00390519">
        <w:t xml:space="preserve">must </w:t>
      </w:r>
      <w:r>
        <w:t xml:space="preserve">occupy </w:t>
      </w:r>
      <w:r w:rsidRPr="00390519">
        <w:t>the</w:t>
      </w:r>
      <w:r>
        <w:t xml:space="preserve"> property</w:t>
      </w:r>
      <w:r w:rsidRPr="00390519">
        <w:t xml:space="preserve"> as their principal place of residence continuously for a period of </w:t>
      </w:r>
      <w:r>
        <w:t xml:space="preserve">at least </w:t>
      </w:r>
      <w:r w:rsidR="00C6284E">
        <w:t>one</w:t>
      </w:r>
      <w:r w:rsidR="00C6284E" w:rsidRPr="00390519">
        <w:t xml:space="preserve"> </w:t>
      </w:r>
      <w:r w:rsidRPr="00390519">
        <w:t xml:space="preserve">year. That period must commence within </w:t>
      </w:r>
      <w:r w:rsidR="00C6284E">
        <w:t>one</w:t>
      </w:r>
      <w:r w:rsidR="00C6284E" w:rsidRPr="00390519">
        <w:t xml:space="preserve"> </w:t>
      </w:r>
      <w:r w:rsidRPr="00390519">
        <w:t>year of completion of the</w:t>
      </w:r>
      <w:r>
        <w:t xml:space="preserve"> transfer for a</w:t>
      </w:r>
      <w:r w:rsidR="003944EF">
        <w:t xml:space="preserve"> home</w:t>
      </w:r>
      <w:r w:rsidRPr="00390519">
        <w:t xml:space="preserve">, or the date </w:t>
      </w:r>
      <w:r>
        <w:t>that</w:t>
      </w:r>
      <w:r w:rsidRPr="00390519">
        <w:t xml:space="preserve"> the certificate of occupancy that is issued following co</w:t>
      </w:r>
      <w:r>
        <w:t>mpletion of construction of a home for vacant land.</w:t>
      </w:r>
      <w:r w:rsidR="00BC1954" w:rsidRPr="008A6077">
        <w:t xml:space="preserve"> </w:t>
      </w:r>
      <w:r w:rsidR="00A15E04">
        <w:t>Some exemptions apply to the residence requirement</w:t>
      </w:r>
      <w:r w:rsidR="00CB4C9F">
        <w:t>s</w:t>
      </w:r>
      <w:r w:rsidR="00A15E04">
        <w:t>, as set out below.</w:t>
      </w:r>
    </w:p>
    <w:p w14:paraId="5738D9D5" w14:textId="77777777" w:rsidR="002832DE" w:rsidRPr="00F44C41" w:rsidRDefault="002832DE" w:rsidP="00F737FF">
      <w:pPr>
        <w:ind w:left="709"/>
        <w:rPr>
          <w:rFonts w:ascii="Arial" w:hAnsi="Arial" w:cs="Arial"/>
          <w:b/>
          <w:sz w:val="22"/>
        </w:rPr>
      </w:pPr>
    </w:p>
    <w:p w14:paraId="3B09A3A9" w14:textId="77777777" w:rsidR="001F3298" w:rsidRDefault="001F3298" w:rsidP="00F737FF">
      <w:pPr>
        <w:ind w:left="709"/>
      </w:pPr>
      <w:r>
        <w:t xml:space="preserve">The domestic partner of </w:t>
      </w:r>
      <w:r w:rsidR="008A6077" w:rsidRPr="008A6077">
        <w:t>a</w:t>
      </w:r>
      <w:r w:rsidR="003F25A2" w:rsidRPr="008A6077">
        <w:t xml:space="preserve"> </w:t>
      </w:r>
      <w:r w:rsidR="00A61F7C" w:rsidRPr="008A6077">
        <w:t>transferee</w:t>
      </w:r>
      <w:r>
        <w:t xml:space="preserve"> can only fulfil the residence requirements if they </w:t>
      </w:r>
      <w:r w:rsidR="00084553">
        <w:t>are a transferee themselves; that is, they</w:t>
      </w:r>
      <w:r w:rsidR="00084553" w:rsidRPr="00084553">
        <w:t xml:space="preserve"> </w:t>
      </w:r>
      <w:r w:rsidR="00084553">
        <w:t>are named in the grant, transfer or agreement and they hold a relevant interest in the property.</w:t>
      </w:r>
    </w:p>
    <w:p w14:paraId="7BD857B8" w14:textId="77777777" w:rsidR="001F3298" w:rsidRDefault="001F3298" w:rsidP="00F737FF">
      <w:pPr>
        <w:ind w:left="709"/>
      </w:pPr>
    </w:p>
    <w:p w14:paraId="35AA1911" w14:textId="451A7FA5" w:rsidR="001013D1" w:rsidRDefault="001013D1" w:rsidP="00F737FF">
      <w:pPr>
        <w:ind w:left="709"/>
      </w:pPr>
      <w:r w:rsidRPr="00390519">
        <w:t xml:space="preserve">A principal place of residence is defined as the home </w:t>
      </w:r>
      <w:r>
        <w:t xml:space="preserve">a person primarily occupies, on an ongoing and permanent basis, as their </w:t>
      </w:r>
      <w:r w:rsidRPr="00390519">
        <w:t>settled or usual home. However, when the occupation is transient, temporary or of a passing nature, this is not sufficient to establish occupation as a principal place of residence</w:t>
      </w:r>
      <w:r>
        <w:t>.</w:t>
      </w:r>
    </w:p>
    <w:p w14:paraId="249FC8EA" w14:textId="3D5CE7FD" w:rsidR="004F48B0" w:rsidRDefault="004F48B0" w:rsidP="00F737FF">
      <w:pPr>
        <w:ind w:left="709"/>
      </w:pPr>
    </w:p>
    <w:p w14:paraId="35B1CAD6" w14:textId="24A6E3DF" w:rsidR="00583530" w:rsidRPr="00B74A89" w:rsidRDefault="00583530" w:rsidP="00583530">
      <w:pPr>
        <w:ind w:left="709"/>
      </w:pPr>
      <w:r w:rsidRPr="00B74A89">
        <w:t>Th</w:t>
      </w:r>
      <w:r w:rsidR="00BE0E05">
        <w:t>e</w:t>
      </w:r>
      <w:r w:rsidRPr="00B74A89">
        <w:t xml:space="preserve"> </w:t>
      </w:r>
      <w:r w:rsidR="00BE0E05">
        <w:t>Determination</w:t>
      </w:r>
      <w:r w:rsidRPr="00B74A89">
        <w:t xml:space="preserve"> also gives the Commissioner the discretion to extend the time for a transferee to meet the residence requirements, to approve a residence period shorter than one year, or to exempt the transferee from the </w:t>
      </w:r>
      <w:r w:rsidRPr="00B74A89">
        <w:lastRenderedPageBreak/>
        <w:t xml:space="preserve">residence requirements, in the event of unforeseen circumstances (such as, health-related issues). </w:t>
      </w:r>
    </w:p>
    <w:p w14:paraId="00BF32B0" w14:textId="77777777" w:rsidR="00583530" w:rsidRPr="00B74A89" w:rsidRDefault="00583530" w:rsidP="00583530">
      <w:pPr>
        <w:ind w:left="709"/>
      </w:pPr>
    </w:p>
    <w:p w14:paraId="052D85F9" w14:textId="0DBAC227" w:rsidR="004F48B0" w:rsidRDefault="00583530" w:rsidP="00994D2C">
      <w:pPr>
        <w:ind w:left="709"/>
      </w:pPr>
      <w:r w:rsidRPr="00B74A89">
        <w:t>The Commissioner can exercise discretion in relation to residence requirements only where a written request to exercise them is made within 18 months of completion of the transfer for a home, or the date that the certificate of occupancy is issued following completion of the construction of a home for vacant land.</w:t>
      </w:r>
    </w:p>
    <w:p w14:paraId="59907851" w14:textId="77777777" w:rsidR="00EE10B9" w:rsidRDefault="00EE10B9" w:rsidP="00F737FF">
      <w:pPr>
        <w:ind w:left="709"/>
      </w:pPr>
    </w:p>
    <w:p w14:paraId="16649EC9" w14:textId="49646808" w:rsidR="00C357B4" w:rsidRPr="00F737FF" w:rsidRDefault="00C357B4" w:rsidP="00F737FF">
      <w:pPr>
        <w:pStyle w:val="ListParagraph"/>
        <w:keepNext/>
        <w:numPr>
          <w:ilvl w:val="0"/>
          <w:numId w:val="17"/>
        </w:numPr>
        <w:rPr>
          <w:bCs/>
          <w:szCs w:val="24"/>
        </w:rPr>
      </w:pPr>
      <w:r w:rsidRPr="00F737FF">
        <w:rPr>
          <w:bCs/>
          <w:szCs w:val="24"/>
        </w:rPr>
        <w:t xml:space="preserve">Previous concessions </w:t>
      </w:r>
    </w:p>
    <w:p w14:paraId="2D2C32F4" w14:textId="77777777" w:rsidR="00C357B4" w:rsidRDefault="00C357B4" w:rsidP="008E3CEB">
      <w:pPr>
        <w:keepNext/>
      </w:pPr>
    </w:p>
    <w:p w14:paraId="13AB7B62" w14:textId="6DDE592E" w:rsidR="00C357B4" w:rsidRDefault="00AA1C85" w:rsidP="00F737FF">
      <w:pPr>
        <w:keepNext/>
        <w:ind w:left="709"/>
        <w:rPr>
          <w:rFonts w:ascii="Arial" w:hAnsi="Arial" w:cs="Arial"/>
          <w:b/>
          <w:sz w:val="26"/>
          <w:szCs w:val="26"/>
        </w:rPr>
      </w:pPr>
      <w:r>
        <w:t>A</w:t>
      </w:r>
      <w:r w:rsidR="00C357B4">
        <w:t xml:space="preserve"> </w:t>
      </w:r>
      <w:r>
        <w:t xml:space="preserve">transferee </w:t>
      </w:r>
      <w:r w:rsidR="00C357B4">
        <w:t>cannot have previously received the Over 60s Home Bonus (which ended on 31 December 2016)</w:t>
      </w:r>
      <w:r w:rsidR="00A15E04">
        <w:t xml:space="preserve"> or the </w:t>
      </w:r>
      <w:r w:rsidR="009C3478">
        <w:t>PDCS</w:t>
      </w:r>
      <w:r w:rsidR="00C357B4">
        <w:t>.</w:t>
      </w:r>
    </w:p>
    <w:p w14:paraId="34A90FAE" w14:textId="77777777" w:rsidR="00C357B4" w:rsidRDefault="00C357B4" w:rsidP="008E3CEB">
      <w:pPr>
        <w:keepNext/>
        <w:rPr>
          <w:rFonts w:ascii="Arial" w:hAnsi="Arial" w:cs="Arial"/>
          <w:b/>
          <w:sz w:val="26"/>
          <w:szCs w:val="26"/>
        </w:rPr>
      </w:pPr>
    </w:p>
    <w:p w14:paraId="54CB5F13" w14:textId="77777777" w:rsidR="008E3CEB" w:rsidRPr="00F44C41" w:rsidRDefault="00F62620" w:rsidP="008E3CEB">
      <w:pPr>
        <w:keepNext/>
        <w:rPr>
          <w:rFonts w:ascii="Arial" w:hAnsi="Arial" w:cs="Arial"/>
          <w:b/>
          <w:sz w:val="26"/>
          <w:szCs w:val="26"/>
        </w:rPr>
      </w:pPr>
      <w:r w:rsidRPr="00F62620">
        <w:rPr>
          <w:rFonts w:ascii="Arial" w:hAnsi="Arial" w:cs="Arial"/>
          <w:b/>
          <w:sz w:val="26"/>
          <w:szCs w:val="26"/>
        </w:rPr>
        <w:t xml:space="preserve">Failure to comply with </w:t>
      </w:r>
      <w:r w:rsidR="0086473D" w:rsidRPr="00160FF7">
        <w:rPr>
          <w:rFonts w:ascii="Arial" w:hAnsi="Arial" w:cs="Arial"/>
          <w:b/>
          <w:sz w:val="26"/>
          <w:szCs w:val="26"/>
        </w:rPr>
        <w:t>requirement</w:t>
      </w:r>
      <w:r w:rsidR="008A6077" w:rsidRPr="00160FF7">
        <w:rPr>
          <w:rFonts w:ascii="Arial" w:hAnsi="Arial" w:cs="Arial"/>
          <w:b/>
          <w:sz w:val="26"/>
          <w:szCs w:val="26"/>
        </w:rPr>
        <w:t>s</w:t>
      </w:r>
    </w:p>
    <w:p w14:paraId="190B4614" w14:textId="77777777" w:rsidR="008E3CEB" w:rsidRDefault="008E3CEB" w:rsidP="008E3CEB">
      <w:pPr>
        <w:keepNext/>
      </w:pPr>
    </w:p>
    <w:p w14:paraId="608C2F80" w14:textId="5F4B71F8" w:rsidR="00B671CE" w:rsidRPr="00160FF7" w:rsidRDefault="00B671CE" w:rsidP="00B671CE">
      <w:r>
        <w:t xml:space="preserve">If a transaction ceases to be </w:t>
      </w:r>
      <w:r w:rsidR="00001083">
        <w:t xml:space="preserve">an </w:t>
      </w:r>
      <w:r>
        <w:t>eligible</w:t>
      </w:r>
      <w:r w:rsidR="00001083">
        <w:t xml:space="preserve"> transaction</w:t>
      </w:r>
      <w:r>
        <w:t xml:space="preserve">—for example, because a person failed </w:t>
      </w:r>
      <w:r w:rsidRPr="00160FF7">
        <w:t xml:space="preserve">to comply with </w:t>
      </w:r>
      <w:r>
        <w:t>an</w:t>
      </w:r>
      <w:r w:rsidRPr="00160FF7">
        <w:t xml:space="preserve"> </w:t>
      </w:r>
      <w:r>
        <w:t>eligibility requirement—th</w:t>
      </w:r>
      <w:r w:rsidR="00A4764A">
        <w:t>e Determination</w:t>
      </w:r>
      <w:r>
        <w:t xml:space="preserve"> 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w:t>
      </w:r>
      <w:r w:rsidR="00001083">
        <w:t>the transferee</w:t>
      </w:r>
      <w:r w:rsidR="00001083" w:rsidRPr="00160FF7">
        <w:t xml:space="preserve"> </w:t>
      </w:r>
      <w:r w:rsidRPr="00160FF7">
        <w:t xml:space="preserve">first becomes </w:t>
      </w:r>
      <w:r w:rsidR="00001083">
        <w:t xml:space="preserve">aware </w:t>
      </w:r>
      <w:r w:rsidRPr="00160FF7">
        <w:t>that the requirement will not be complied with (whichever comes first).</w:t>
      </w:r>
    </w:p>
    <w:p w14:paraId="7D073137" w14:textId="77777777" w:rsidR="002832DE" w:rsidRDefault="002832DE" w:rsidP="002832DE"/>
    <w:p w14:paraId="20D20768" w14:textId="773FD0E3" w:rsidR="002832DE" w:rsidRDefault="00160FF7" w:rsidP="002832DE">
      <w:r w:rsidRPr="00160FF7">
        <w:t>If the transaction ceases to be an</w:t>
      </w:r>
      <w:r w:rsidR="002832DE" w:rsidRPr="005F597E">
        <w:t xml:space="preserve"> </w:t>
      </w:r>
      <w:r w:rsidR="002832DE">
        <w:t>eligible transaction</w:t>
      </w:r>
      <w:r w:rsidRPr="00160FF7">
        <w:t>,</w:t>
      </w:r>
      <w:r w:rsidR="00F109FE">
        <w:t xml:space="preserve"> subject to the dutiable value of the eligible property,</w:t>
      </w:r>
      <w:r w:rsidRPr="00160FF7">
        <w:t xml:space="preserve"> it</w:t>
      </w:r>
      <w:r w:rsidR="002832DE">
        <w:t xml:space="preserve"> will become liable for duty </w:t>
      </w:r>
      <w:r w:rsidR="00F109FE">
        <w:t xml:space="preserve">or additional duty </w:t>
      </w:r>
      <w:r w:rsidR="002832DE">
        <w:t xml:space="preserve">as at the </w:t>
      </w:r>
      <w:r w:rsidR="001013D1">
        <w:t>transaction date</w:t>
      </w:r>
      <w:r w:rsidR="002832DE">
        <w:t xml:space="preserve">. In other words, the </w:t>
      </w:r>
      <w:r w:rsidR="00A61F7C" w:rsidRPr="00160FF7">
        <w:t>transferee</w:t>
      </w:r>
      <w:r w:rsidR="002832DE">
        <w:t xml:space="preserve"> will become liable to </w:t>
      </w:r>
      <w:r w:rsidR="002832DE" w:rsidRPr="005F597E">
        <w:t>pay the</w:t>
      </w:r>
      <w:r w:rsidR="002832DE">
        <w:t xml:space="preserve"> Territory</w:t>
      </w:r>
      <w:r w:rsidR="002832DE" w:rsidRPr="005F597E">
        <w:t xml:space="preserve"> </w:t>
      </w:r>
      <w:r w:rsidR="00E615CB">
        <w:t xml:space="preserve">the </w:t>
      </w:r>
      <w:r w:rsidR="002832DE" w:rsidRPr="005F597E">
        <w:t xml:space="preserve">amount of duty that would have been </w:t>
      </w:r>
      <w:r w:rsidR="002832DE">
        <w:t>payable</w:t>
      </w:r>
      <w:r w:rsidR="002832DE" w:rsidRPr="005F597E">
        <w:t xml:space="preserve"> </w:t>
      </w:r>
      <w:r w:rsidR="002832DE">
        <w:t xml:space="preserve">on the eligible transaction if the </w:t>
      </w:r>
      <w:r w:rsidR="009D4361">
        <w:t xml:space="preserve">transaction </w:t>
      </w:r>
      <w:r w:rsidR="002832DE">
        <w:t xml:space="preserve">had not been eligible for the </w:t>
      </w:r>
      <w:r w:rsidR="009E65D9">
        <w:t>PDCS</w:t>
      </w:r>
      <w:r w:rsidR="002832DE">
        <w:t xml:space="preserve">. </w:t>
      </w:r>
    </w:p>
    <w:p w14:paraId="2D3674EC" w14:textId="6F858E30" w:rsidR="004D553A" w:rsidRPr="004D553A" w:rsidRDefault="004D553A" w:rsidP="004D553A">
      <w:r w:rsidRPr="004D553A">
        <w:t xml:space="preserve">If the transferee ceases to be eligible for </w:t>
      </w:r>
      <w:r>
        <w:t>PDCS</w:t>
      </w:r>
      <w:r w:rsidRPr="004D553A">
        <w:t xml:space="preserve"> the transferee will be liable for duty at the non-concessional rate. A transferee is liable for duty from the transaction date. A requirement to pay the duty arises from 14 days after the transfer is registered with the registrar-general under section 16 (1) ‘Table 16 Items 1 and 3’ of the Act. A tax default arises if the tax is not paid within 14 days and penalty tax applies under section</w:t>
      </w:r>
      <w:r w:rsidR="00C37E11">
        <w:t>s</w:t>
      </w:r>
      <w:r w:rsidRPr="004D553A">
        <w:t xml:space="preserve"> 31 (1)</w:t>
      </w:r>
      <w:r w:rsidR="00C37E11">
        <w:t>, (2) or</w:t>
      </w:r>
      <w:r w:rsidR="00B568A6">
        <w:t xml:space="preserve"> (4) </w:t>
      </w:r>
      <w:r w:rsidR="00B568A6" w:rsidRPr="00DA19E1">
        <w:t>of the TA</w:t>
      </w:r>
      <w:r w:rsidR="00B568A6">
        <w:t xml:space="preserve"> </w:t>
      </w:r>
      <w:r w:rsidR="00B568A6" w:rsidRPr="00DA19E1">
        <w:t>A</w:t>
      </w:r>
      <w:r w:rsidR="00B568A6">
        <w:t>ct</w:t>
      </w:r>
      <w:r w:rsidRPr="004D553A">
        <w:t>, unless the Commissioner is satisfied that section 31 (5) applies, such as taking reasonable care to comply with a tax law. Interest also applies to a tax default and is calculated daily under section 25 (1) of the TA Act. Interest therefore is imposed from the 15</w:t>
      </w:r>
      <w:r w:rsidRPr="004D553A">
        <w:rPr>
          <w:vertAlign w:val="superscript"/>
        </w:rPr>
        <w:t>th</w:t>
      </w:r>
      <w:r w:rsidRPr="004D553A">
        <w:t xml:space="preserve"> day after the transfer is registered with the registrar-general until the purchaser pays the unpaid tax. The unpaid tax can include penalty tax if a purchaser failed to meet the criteria for an ‘eligible transaction’ under section </w:t>
      </w:r>
      <w:r w:rsidR="00D032EA">
        <w:t>4</w:t>
      </w:r>
      <w:r w:rsidRPr="004D553A">
        <w:t xml:space="preserve"> of th</w:t>
      </w:r>
      <w:r w:rsidR="008D69B8">
        <w:t>e</w:t>
      </w:r>
      <w:r w:rsidRPr="004D553A">
        <w:t xml:space="preserve"> </w:t>
      </w:r>
      <w:r w:rsidR="008D69B8">
        <w:t>Determination</w:t>
      </w:r>
      <w:r w:rsidRPr="004D553A">
        <w:t xml:space="preserve"> and by definition includes the residence period requirements. </w:t>
      </w:r>
    </w:p>
    <w:p w14:paraId="1D3044CC" w14:textId="77777777" w:rsidR="004D553A" w:rsidRPr="004D553A" w:rsidRDefault="004D553A" w:rsidP="004D553A"/>
    <w:p w14:paraId="5FCC0F63" w14:textId="77777777" w:rsidR="004D553A" w:rsidRPr="004D553A" w:rsidRDefault="004D553A" w:rsidP="004D553A">
      <w:r w:rsidRPr="004D553A">
        <w:t xml:space="preserve">If a transferee gives notice to the Commissioner within 14 days of either the end any period for compliance with a requirement (such as residency periods) or the date the transferee first becomes aware the transaction is not eligible, the Commissioner may remit penalty tax and interest associated with the tax default. </w:t>
      </w:r>
    </w:p>
    <w:p w14:paraId="32773B88" w14:textId="77777777" w:rsidR="004D553A" w:rsidRPr="004D553A" w:rsidRDefault="004D553A" w:rsidP="004D553A"/>
    <w:p w14:paraId="763FBE42" w14:textId="78143B5C" w:rsidR="00B64277" w:rsidRDefault="004D553A" w:rsidP="004D553A">
      <w:r w:rsidRPr="004D553A">
        <w:t>The TA</w:t>
      </w:r>
      <w:r w:rsidR="00B568A6">
        <w:t xml:space="preserve"> </w:t>
      </w:r>
      <w:r w:rsidRPr="004D553A">
        <w:t>A</w:t>
      </w:r>
      <w:r w:rsidR="00B568A6">
        <w:t>ct</w:t>
      </w:r>
      <w:r w:rsidRPr="004D553A">
        <w:t xml:space="preserve"> also provides a range of offences which may apply, such as for the avoidance of tax and failing to notify the Commissioner.</w:t>
      </w:r>
      <w:r>
        <w:t xml:space="preserve"> </w:t>
      </w:r>
    </w:p>
    <w:p w14:paraId="5FB9BAFC" w14:textId="5D2AF9AE" w:rsidR="00B64277" w:rsidRDefault="00B64277" w:rsidP="00B64277">
      <w:pPr>
        <w:keepNext/>
        <w:rPr>
          <w:rFonts w:ascii="Arial" w:hAnsi="Arial" w:cs="Arial"/>
          <w:b/>
          <w:sz w:val="26"/>
          <w:szCs w:val="26"/>
        </w:rPr>
      </w:pPr>
      <w:r>
        <w:rPr>
          <w:rFonts w:ascii="Arial" w:hAnsi="Arial" w:cs="Arial"/>
          <w:b/>
          <w:sz w:val="26"/>
          <w:szCs w:val="26"/>
        </w:rPr>
        <w:lastRenderedPageBreak/>
        <w:t>Application for the PDCS</w:t>
      </w:r>
    </w:p>
    <w:p w14:paraId="7347409E" w14:textId="77777777" w:rsidR="00B64277" w:rsidRDefault="00B64277" w:rsidP="00B64277">
      <w:pPr>
        <w:keepNext/>
        <w:rPr>
          <w:rFonts w:ascii="Arial" w:hAnsi="Arial" w:cs="Arial"/>
          <w:b/>
          <w:sz w:val="26"/>
          <w:szCs w:val="26"/>
        </w:rPr>
      </w:pPr>
    </w:p>
    <w:p w14:paraId="0F86DCE5" w14:textId="69D4782D" w:rsidR="00B64277" w:rsidRDefault="00B64277" w:rsidP="00B64277">
      <w:pPr>
        <w:keepNext/>
      </w:pPr>
      <w:r w:rsidRPr="006C7F22">
        <w:t xml:space="preserve">An application </w:t>
      </w:r>
      <w:r>
        <w:t>under</w:t>
      </w:r>
      <w:r w:rsidRPr="006C7F22">
        <w:t xml:space="preserve"> the </w:t>
      </w:r>
      <w:r>
        <w:t xml:space="preserve">PDCS may be made at the time the </w:t>
      </w:r>
      <w:r w:rsidR="00037382">
        <w:t>transferee</w:t>
      </w:r>
      <w:r>
        <w:t xml:space="preserve"> lodges the transfer of the property with the registrar-general of Land Titles. In practice, a </w:t>
      </w:r>
      <w:r w:rsidR="00037382">
        <w:t>transferee</w:t>
      </w:r>
      <w:r>
        <w:t xml:space="preserve"> would usually </w:t>
      </w:r>
      <w:r w:rsidR="00A25040">
        <w:t xml:space="preserve">declare their eligibility and claim </w:t>
      </w:r>
      <w:r>
        <w:t xml:space="preserve">the PDCS concession code on the transfer instrument at the time of lodgement. </w:t>
      </w:r>
    </w:p>
    <w:p w14:paraId="43D4FB75" w14:textId="77777777" w:rsidR="00B64277" w:rsidRDefault="00B64277" w:rsidP="00B64277">
      <w:pPr>
        <w:keepNext/>
      </w:pPr>
    </w:p>
    <w:p w14:paraId="5CBF8F2B" w14:textId="0FE71461" w:rsidR="00B64277" w:rsidRDefault="00B64277" w:rsidP="00B64277">
      <w:pPr>
        <w:keepNext/>
      </w:pPr>
      <w:r>
        <w:t xml:space="preserve">If an application is not made within this timeframe, the </w:t>
      </w:r>
      <w:r w:rsidR="00037382">
        <w:t>transferee</w:t>
      </w:r>
      <w:r>
        <w:t xml:space="preserve"> may apply to the Commissioner for an extension of time to submit a late application. In applying to the Commissioner, the </w:t>
      </w:r>
      <w:r w:rsidR="00037382">
        <w:t>transferee</w:t>
      </w:r>
      <w:r>
        <w:t xml:space="preserve"> must specify the grounds on which an extension is sought and must submit the application for an extension of time </w:t>
      </w:r>
      <w:r w:rsidRPr="00717299">
        <w:t>within 12</w:t>
      </w:r>
      <w:r>
        <w:t> </w:t>
      </w:r>
      <w:r w:rsidRPr="00717299">
        <w:t>months</w:t>
      </w:r>
      <w:r>
        <w:t xml:space="preserve"> of the lodgement of the transfer of the eligible property.</w:t>
      </w:r>
    </w:p>
    <w:p w14:paraId="3BE45264" w14:textId="77777777" w:rsidR="00B64277" w:rsidRDefault="00B64277" w:rsidP="00B64277">
      <w:pPr>
        <w:keepNext/>
      </w:pPr>
    </w:p>
    <w:p w14:paraId="4139A423" w14:textId="18541690" w:rsidR="00B64277" w:rsidRDefault="00B64277" w:rsidP="00B64277">
      <w:pPr>
        <w:keepNext/>
      </w:pPr>
      <w:r>
        <w:t xml:space="preserve">The Commissioner may extend the time if satisfied that the applicant was not able to apply for the duty concession at the time of lodgement due to an unforeseen circumstance (such as, serious illness affecting the applicant). </w:t>
      </w:r>
    </w:p>
    <w:p w14:paraId="725BFECC" w14:textId="77777777" w:rsidR="00B64277" w:rsidRDefault="00B64277" w:rsidP="004D553A"/>
    <w:p w14:paraId="3690E23F" w14:textId="2BA38465" w:rsidR="006E1AEF" w:rsidRPr="0053158D" w:rsidRDefault="006E1AEF" w:rsidP="006E1AEF">
      <w:pPr>
        <w:keepNext/>
        <w:rPr>
          <w:rFonts w:ascii="Arial" w:hAnsi="Arial" w:cs="Arial"/>
          <w:b/>
          <w:sz w:val="26"/>
          <w:szCs w:val="26"/>
        </w:rPr>
      </w:pPr>
      <w:r w:rsidRPr="0053158D">
        <w:rPr>
          <w:rFonts w:ascii="Arial" w:hAnsi="Arial" w:cs="Arial"/>
          <w:b/>
          <w:sz w:val="26"/>
          <w:szCs w:val="26"/>
        </w:rPr>
        <w:t>Revocation</w:t>
      </w:r>
      <w:r>
        <w:rPr>
          <w:rFonts w:ascii="Arial" w:hAnsi="Arial" w:cs="Arial"/>
          <w:b/>
          <w:sz w:val="26"/>
          <w:szCs w:val="26"/>
        </w:rPr>
        <w:t xml:space="preserve"> </w:t>
      </w:r>
    </w:p>
    <w:p w14:paraId="6F446CD1" w14:textId="77777777" w:rsidR="006E1AEF" w:rsidRPr="0053158D" w:rsidRDefault="006E1AEF" w:rsidP="006E1AEF"/>
    <w:p w14:paraId="12BA18E0" w14:textId="3E88E05D" w:rsidR="006E1AEF" w:rsidRDefault="006E1AEF" w:rsidP="006E1AEF">
      <w:pPr>
        <w:rPr>
          <w:lang w:val="en-US"/>
        </w:rPr>
      </w:pPr>
      <w:r>
        <w:t xml:space="preserve">Section </w:t>
      </w:r>
      <w:r w:rsidR="00B64277">
        <w:t xml:space="preserve">8 </w:t>
      </w:r>
      <w:r>
        <w:t xml:space="preserve">of </w:t>
      </w:r>
      <w:r w:rsidR="008336E0">
        <w:t>the Determination</w:t>
      </w:r>
      <w:r>
        <w:t xml:space="preserve"> </w:t>
      </w:r>
      <w:r w:rsidRPr="0053158D">
        <w:t>revokes</w:t>
      </w:r>
      <w:r w:rsidRPr="0053158D">
        <w:rPr>
          <w:i/>
        </w:rPr>
        <w:t xml:space="preserve"> </w:t>
      </w:r>
      <w:r w:rsidR="007F1AC1">
        <w:t>DI2024</w:t>
      </w:r>
      <w:r>
        <w:t>-</w:t>
      </w:r>
      <w:r w:rsidR="007F1AC1">
        <w:t>177</w:t>
      </w:r>
      <w:r w:rsidRPr="00DC7B99">
        <w:t>.</w:t>
      </w:r>
      <w:r w:rsidRPr="0053158D">
        <w:t xml:space="preserve"> </w:t>
      </w:r>
    </w:p>
    <w:p w14:paraId="08591056" w14:textId="77777777" w:rsidR="006E1AEF" w:rsidRPr="0053158D" w:rsidRDefault="006E1AEF" w:rsidP="006E1AEF">
      <w:pPr>
        <w:rPr>
          <w:rFonts w:ascii="Arial" w:hAnsi="Arial" w:cs="Arial"/>
          <w:b/>
          <w:sz w:val="22"/>
          <w:szCs w:val="22"/>
        </w:rPr>
      </w:pPr>
    </w:p>
    <w:p w14:paraId="33411E24" w14:textId="3B6E541D" w:rsidR="001B089B" w:rsidRDefault="001B089B" w:rsidP="001B089B">
      <w:pPr>
        <w:pStyle w:val="Amain"/>
        <w:tabs>
          <w:tab w:val="clear" w:pos="500"/>
          <w:tab w:val="clear" w:pos="700"/>
          <w:tab w:val="right" w:pos="-284"/>
          <w:tab w:val="left" w:pos="567"/>
        </w:tabs>
        <w:spacing w:before="0" w:after="0"/>
        <w:ind w:left="0" w:firstLine="0"/>
        <w:jc w:val="left"/>
        <w:outlineLvl w:val="9"/>
      </w:pPr>
      <w:r>
        <w:t xml:space="preserve"> </w:t>
      </w:r>
    </w:p>
    <w:p w14:paraId="35A3B7D1" w14:textId="77777777" w:rsidR="00235825" w:rsidRDefault="00235825"/>
    <w:sectPr w:rsidR="00235825" w:rsidSect="004C4A40">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E924" w14:textId="77777777" w:rsidR="00DD6C12" w:rsidRDefault="00DD6C12">
      <w:r>
        <w:separator/>
      </w:r>
    </w:p>
  </w:endnote>
  <w:endnote w:type="continuationSeparator" w:id="0">
    <w:p w14:paraId="3DF8FE7E" w14:textId="77777777" w:rsidR="00DD6C12" w:rsidRDefault="00D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7A3A" w14:textId="77777777" w:rsidR="00C02455" w:rsidRDefault="00C02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8807" w14:textId="03996B2C" w:rsidR="001E0CCB" w:rsidRPr="00C02455" w:rsidRDefault="00C02455" w:rsidP="00C02455">
    <w:pPr>
      <w:pStyle w:val="Footer"/>
      <w:jc w:val="center"/>
      <w:rPr>
        <w:rFonts w:cs="Arial"/>
        <w:sz w:val="14"/>
      </w:rPr>
    </w:pPr>
    <w:r w:rsidRPr="00C0245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69F9" w14:textId="77777777" w:rsidR="00C02455" w:rsidRDefault="00C02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89E8" w14:textId="77777777" w:rsidR="00DD6C12" w:rsidRDefault="00DD6C12">
      <w:r>
        <w:separator/>
      </w:r>
    </w:p>
  </w:footnote>
  <w:footnote w:type="continuationSeparator" w:id="0">
    <w:p w14:paraId="46159445" w14:textId="77777777" w:rsidR="00DD6C12" w:rsidRDefault="00DD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F319" w14:textId="77777777" w:rsidR="00C02455" w:rsidRDefault="00C02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5098" w14:textId="77777777" w:rsidR="00C02455" w:rsidRDefault="00C02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C337" w14:textId="77777777" w:rsidR="00C02455" w:rsidRDefault="00C02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2D1BC3"/>
    <w:multiLevelType w:val="hybridMultilevel"/>
    <w:tmpl w:val="594AC3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95950"/>
    <w:multiLevelType w:val="hybridMultilevel"/>
    <w:tmpl w:val="FC248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8" w15:restartNumberingAfterBreak="0">
    <w:nsid w:val="6A940DE0"/>
    <w:multiLevelType w:val="hybridMultilevel"/>
    <w:tmpl w:val="CC9AC6FA"/>
    <w:lvl w:ilvl="0" w:tplc="F1C84B64">
      <w:start w:val="10"/>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B6440E"/>
    <w:multiLevelType w:val="hybridMultilevel"/>
    <w:tmpl w:val="11044406"/>
    <w:lvl w:ilvl="0" w:tplc="24E846FE">
      <w:start w:val="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7373664">
    <w:abstractNumId w:val="4"/>
  </w:num>
  <w:num w:numId="2" w16cid:durableId="223178791">
    <w:abstractNumId w:val="0"/>
  </w:num>
  <w:num w:numId="3" w16cid:durableId="976374391">
    <w:abstractNumId w:val="6"/>
  </w:num>
  <w:num w:numId="4" w16cid:durableId="2142573633">
    <w:abstractNumId w:val="12"/>
  </w:num>
  <w:num w:numId="5" w16cid:durableId="1512530676">
    <w:abstractNumId w:val="20"/>
  </w:num>
  <w:num w:numId="6" w16cid:durableId="1613056412">
    <w:abstractNumId w:val="3"/>
  </w:num>
  <w:num w:numId="7" w16cid:durableId="1495757253">
    <w:abstractNumId w:val="10"/>
  </w:num>
  <w:num w:numId="8" w16cid:durableId="1991135889">
    <w:abstractNumId w:val="11"/>
  </w:num>
  <w:num w:numId="9" w16cid:durableId="1039624155">
    <w:abstractNumId w:val="5"/>
  </w:num>
  <w:num w:numId="10" w16cid:durableId="1808861915">
    <w:abstractNumId w:val="17"/>
  </w:num>
  <w:num w:numId="11" w16cid:durableId="1319185412">
    <w:abstractNumId w:val="15"/>
  </w:num>
  <w:num w:numId="12" w16cid:durableId="931545705">
    <w:abstractNumId w:val="8"/>
  </w:num>
  <w:num w:numId="13" w16cid:durableId="528840561">
    <w:abstractNumId w:val="19"/>
  </w:num>
  <w:num w:numId="14" w16cid:durableId="1524704815">
    <w:abstractNumId w:val="2"/>
  </w:num>
  <w:num w:numId="15" w16cid:durableId="1868374947">
    <w:abstractNumId w:val="9"/>
  </w:num>
  <w:num w:numId="16" w16cid:durableId="294454022">
    <w:abstractNumId w:val="21"/>
  </w:num>
  <w:num w:numId="17" w16cid:durableId="1744908465">
    <w:abstractNumId w:val="14"/>
  </w:num>
  <w:num w:numId="18" w16cid:durableId="458913390">
    <w:abstractNumId w:val="16"/>
  </w:num>
  <w:num w:numId="19" w16cid:durableId="1184124861">
    <w:abstractNumId w:val="1"/>
  </w:num>
  <w:num w:numId="20" w16cid:durableId="31393475">
    <w:abstractNumId w:val="13"/>
  </w:num>
  <w:num w:numId="21" w16cid:durableId="616066737">
    <w:abstractNumId w:val="18"/>
  </w:num>
  <w:num w:numId="22" w16cid:durableId="168564095">
    <w:abstractNumId w:val="22"/>
  </w:num>
  <w:num w:numId="23" w16cid:durableId="1701278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026F"/>
    <w:rsid w:val="000003A2"/>
    <w:rsid w:val="00001083"/>
    <w:rsid w:val="00001F9E"/>
    <w:rsid w:val="00010513"/>
    <w:rsid w:val="00010C58"/>
    <w:rsid w:val="000139A2"/>
    <w:rsid w:val="0001776D"/>
    <w:rsid w:val="0002003B"/>
    <w:rsid w:val="00027CE7"/>
    <w:rsid w:val="00031BDC"/>
    <w:rsid w:val="00032F2A"/>
    <w:rsid w:val="000341B5"/>
    <w:rsid w:val="00037382"/>
    <w:rsid w:val="00043265"/>
    <w:rsid w:val="00045E60"/>
    <w:rsid w:val="00046F8A"/>
    <w:rsid w:val="00047EDF"/>
    <w:rsid w:val="00055EB0"/>
    <w:rsid w:val="00071F00"/>
    <w:rsid w:val="000726F9"/>
    <w:rsid w:val="0007271C"/>
    <w:rsid w:val="00081CA7"/>
    <w:rsid w:val="00081EAB"/>
    <w:rsid w:val="00083237"/>
    <w:rsid w:val="00084553"/>
    <w:rsid w:val="00087703"/>
    <w:rsid w:val="00092B51"/>
    <w:rsid w:val="00093172"/>
    <w:rsid w:val="00095A65"/>
    <w:rsid w:val="000A0EC2"/>
    <w:rsid w:val="000A19F3"/>
    <w:rsid w:val="000A275D"/>
    <w:rsid w:val="000A3C96"/>
    <w:rsid w:val="000A4E2C"/>
    <w:rsid w:val="000B2B21"/>
    <w:rsid w:val="000B5894"/>
    <w:rsid w:val="000C1050"/>
    <w:rsid w:val="000C183A"/>
    <w:rsid w:val="000C5146"/>
    <w:rsid w:val="000D3A86"/>
    <w:rsid w:val="000F0E2A"/>
    <w:rsid w:val="001013D1"/>
    <w:rsid w:val="0010351F"/>
    <w:rsid w:val="00104AB5"/>
    <w:rsid w:val="00105077"/>
    <w:rsid w:val="00112312"/>
    <w:rsid w:val="001200AA"/>
    <w:rsid w:val="00125113"/>
    <w:rsid w:val="00127894"/>
    <w:rsid w:val="00143744"/>
    <w:rsid w:val="001460DF"/>
    <w:rsid w:val="001529C2"/>
    <w:rsid w:val="001533F4"/>
    <w:rsid w:val="001570EB"/>
    <w:rsid w:val="00160FF7"/>
    <w:rsid w:val="00162E21"/>
    <w:rsid w:val="00170015"/>
    <w:rsid w:val="001737AF"/>
    <w:rsid w:val="00176920"/>
    <w:rsid w:val="00177FE4"/>
    <w:rsid w:val="00181A1C"/>
    <w:rsid w:val="00182E22"/>
    <w:rsid w:val="001842E0"/>
    <w:rsid w:val="00184665"/>
    <w:rsid w:val="001866CC"/>
    <w:rsid w:val="00195FA1"/>
    <w:rsid w:val="00197020"/>
    <w:rsid w:val="001A0ADE"/>
    <w:rsid w:val="001A23DC"/>
    <w:rsid w:val="001A6123"/>
    <w:rsid w:val="001A6534"/>
    <w:rsid w:val="001A6800"/>
    <w:rsid w:val="001A773D"/>
    <w:rsid w:val="001A7BB5"/>
    <w:rsid w:val="001B089B"/>
    <w:rsid w:val="001B2B42"/>
    <w:rsid w:val="001B59B2"/>
    <w:rsid w:val="001C249D"/>
    <w:rsid w:val="001C5686"/>
    <w:rsid w:val="001C5EAD"/>
    <w:rsid w:val="001D2184"/>
    <w:rsid w:val="001D31ED"/>
    <w:rsid w:val="001D3D73"/>
    <w:rsid w:val="001D6DE7"/>
    <w:rsid w:val="001E0CCB"/>
    <w:rsid w:val="001E6C23"/>
    <w:rsid w:val="001F1F9A"/>
    <w:rsid w:val="001F3298"/>
    <w:rsid w:val="001F56D4"/>
    <w:rsid w:val="002011DD"/>
    <w:rsid w:val="002022D8"/>
    <w:rsid w:val="00202CEA"/>
    <w:rsid w:val="00211BE2"/>
    <w:rsid w:val="00211C17"/>
    <w:rsid w:val="0021279A"/>
    <w:rsid w:val="00217E47"/>
    <w:rsid w:val="00220028"/>
    <w:rsid w:val="0022254E"/>
    <w:rsid w:val="0022498A"/>
    <w:rsid w:val="00233CF3"/>
    <w:rsid w:val="00235291"/>
    <w:rsid w:val="00235825"/>
    <w:rsid w:val="00237826"/>
    <w:rsid w:val="002419A8"/>
    <w:rsid w:val="0024204A"/>
    <w:rsid w:val="002421A1"/>
    <w:rsid w:val="002423EF"/>
    <w:rsid w:val="00252748"/>
    <w:rsid w:val="002541D3"/>
    <w:rsid w:val="002564DE"/>
    <w:rsid w:val="00275B52"/>
    <w:rsid w:val="002816CC"/>
    <w:rsid w:val="002828D5"/>
    <w:rsid w:val="0028292B"/>
    <w:rsid w:val="002832DE"/>
    <w:rsid w:val="00283A83"/>
    <w:rsid w:val="002848A0"/>
    <w:rsid w:val="00290C35"/>
    <w:rsid w:val="00292AE1"/>
    <w:rsid w:val="002A609D"/>
    <w:rsid w:val="002B221C"/>
    <w:rsid w:val="002B6096"/>
    <w:rsid w:val="002B755E"/>
    <w:rsid w:val="002C10B2"/>
    <w:rsid w:val="002C728D"/>
    <w:rsid w:val="002E3A50"/>
    <w:rsid w:val="002F5D0B"/>
    <w:rsid w:val="00305C41"/>
    <w:rsid w:val="00305CBC"/>
    <w:rsid w:val="00307B74"/>
    <w:rsid w:val="003143D2"/>
    <w:rsid w:val="00314724"/>
    <w:rsid w:val="003148FB"/>
    <w:rsid w:val="003170E2"/>
    <w:rsid w:val="003200A7"/>
    <w:rsid w:val="00324CB6"/>
    <w:rsid w:val="003258E2"/>
    <w:rsid w:val="0033378F"/>
    <w:rsid w:val="0033454A"/>
    <w:rsid w:val="00335943"/>
    <w:rsid w:val="00336C6F"/>
    <w:rsid w:val="0034365E"/>
    <w:rsid w:val="00344BC2"/>
    <w:rsid w:val="00350A05"/>
    <w:rsid w:val="00356A31"/>
    <w:rsid w:val="003573C5"/>
    <w:rsid w:val="0035773A"/>
    <w:rsid w:val="00365E4A"/>
    <w:rsid w:val="0037075D"/>
    <w:rsid w:val="00372F33"/>
    <w:rsid w:val="00380BFF"/>
    <w:rsid w:val="0038131C"/>
    <w:rsid w:val="00382522"/>
    <w:rsid w:val="00383C95"/>
    <w:rsid w:val="00390519"/>
    <w:rsid w:val="003944EF"/>
    <w:rsid w:val="00396D64"/>
    <w:rsid w:val="003A354D"/>
    <w:rsid w:val="003A49BE"/>
    <w:rsid w:val="003A5919"/>
    <w:rsid w:val="003A6A5A"/>
    <w:rsid w:val="003B2059"/>
    <w:rsid w:val="003B24E7"/>
    <w:rsid w:val="003B2D20"/>
    <w:rsid w:val="003C1C8E"/>
    <w:rsid w:val="003C24D1"/>
    <w:rsid w:val="003D0ED6"/>
    <w:rsid w:val="003D4909"/>
    <w:rsid w:val="003D5717"/>
    <w:rsid w:val="003E151C"/>
    <w:rsid w:val="003E55BE"/>
    <w:rsid w:val="003E68EE"/>
    <w:rsid w:val="003F25A2"/>
    <w:rsid w:val="003F4340"/>
    <w:rsid w:val="003F6177"/>
    <w:rsid w:val="003F63B1"/>
    <w:rsid w:val="003F69DD"/>
    <w:rsid w:val="00411018"/>
    <w:rsid w:val="004167E9"/>
    <w:rsid w:val="00424FED"/>
    <w:rsid w:val="0042518B"/>
    <w:rsid w:val="00430507"/>
    <w:rsid w:val="00432A7C"/>
    <w:rsid w:val="004408AD"/>
    <w:rsid w:val="00443D76"/>
    <w:rsid w:val="00447E90"/>
    <w:rsid w:val="0045169B"/>
    <w:rsid w:val="00452DB6"/>
    <w:rsid w:val="00454973"/>
    <w:rsid w:val="00457661"/>
    <w:rsid w:val="0046556A"/>
    <w:rsid w:val="00466BFC"/>
    <w:rsid w:val="00471C05"/>
    <w:rsid w:val="0047541C"/>
    <w:rsid w:val="00476206"/>
    <w:rsid w:val="00480221"/>
    <w:rsid w:val="004924E9"/>
    <w:rsid w:val="00492EE1"/>
    <w:rsid w:val="004939FA"/>
    <w:rsid w:val="004958BF"/>
    <w:rsid w:val="004B5651"/>
    <w:rsid w:val="004B77BC"/>
    <w:rsid w:val="004B78FD"/>
    <w:rsid w:val="004C2289"/>
    <w:rsid w:val="004C4333"/>
    <w:rsid w:val="004C4A40"/>
    <w:rsid w:val="004C53B7"/>
    <w:rsid w:val="004C78BC"/>
    <w:rsid w:val="004D3345"/>
    <w:rsid w:val="004D553A"/>
    <w:rsid w:val="004E544A"/>
    <w:rsid w:val="004F2424"/>
    <w:rsid w:val="004F3B84"/>
    <w:rsid w:val="004F3D11"/>
    <w:rsid w:val="004F48B0"/>
    <w:rsid w:val="005104D6"/>
    <w:rsid w:val="0053158D"/>
    <w:rsid w:val="00535BF4"/>
    <w:rsid w:val="00544385"/>
    <w:rsid w:val="0055503F"/>
    <w:rsid w:val="0055742F"/>
    <w:rsid w:val="00557CA6"/>
    <w:rsid w:val="00557EA2"/>
    <w:rsid w:val="005648A2"/>
    <w:rsid w:val="00565168"/>
    <w:rsid w:val="005675E6"/>
    <w:rsid w:val="005759AF"/>
    <w:rsid w:val="005833A1"/>
    <w:rsid w:val="00583530"/>
    <w:rsid w:val="0058482F"/>
    <w:rsid w:val="00584890"/>
    <w:rsid w:val="005877E7"/>
    <w:rsid w:val="00592409"/>
    <w:rsid w:val="00594DC0"/>
    <w:rsid w:val="00597EC2"/>
    <w:rsid w:val="005C24D6"/>
    <w:rsid w:val="005C4F31"/>
    <w:rsid w:val="005C5ABD"/>
    <w:rsid w:val="005C64EE"/>
    <w:rsid w:val="005C6581"/>
    <w:rsid w:val="005C741F"/>
    <w:rsid w:val="005D70F1"/>
    <w:rsid w:val="005E1C70"/>
    <w:rsid w:val="005E43C1"/>
    <w:rsid w:val="005F3755"/>
    <w:rsid w:val="005F42B9"/>
    <w:rsid w:val="005F597E"/>
    <w:rsid w:val="0061038C"/>
    <w:rsid w:val="00610BEA"/>
    <w:rsid w:val="006122F7"/>
    <w:rsid w:val="00615425"/>
    <w:rsid w:val="00625061"/>
    <w:rsid w:val="0062671D"/>
    <w:rsid w:val="00626A08"/>
    <w:rsid w:val="0063087D"/>
    <w:rsid w:val="0063159B"/>
    <w:rsid w:val="00632D74"/>
    <w:rsid w:val="0063782C"/>
    <w:rsid w:val="00644E63"/>
    <w:rsid w:val="006463CF"/>
    <w:rsid w:val="00651331"/>
    <w:rsid w:val="00655C96"/>
    <w:rsid w:val="00655FD4"/>
    <w:rsid w:val="006619AA"/>
    <w:rsid w:val="0066239F"/>
    <w:rsid w:val="00663543"/>
    <w:rsid w:val="00664489"/>
    <w:rsid w:val="00670FE9"/>
    <w:rsid w:val="00671330"/>
    <w:rsid w:val="00671BB4"/>
    <w:rsid w:val="00671F9A"/>
    <w:rsid w:val="00674852"/>
    <w:rsid w:val="006753FB"/>
    <w:rsid w:val="00676D40"/>
    <w:rsid w:val="00682893"/>
    <w:rsid w:val="006829B3"/>
    <w:rsid w:val="006929F8"/>
    <w:rsid w:val="0069507C"/>
    <w:rsid w:val="006A45B1"/>
    <w:rsid w:val="006B61FD"/>
    <w:rsid w:val="006C25D4"/>
    <w:rsid w:val="006C51AA"/>
    <w:rsid w:val="006E0E62"/>
    <w:rsid w:val="006E1AEF"/>
    <w:rsid w:val="006E1F6D"/>
    <w:rsid w:val="006E1FE1"/>
    <w:rsid w:val="006E3948"/>
    <w:rsid w:val="006F74CD"/>
    <w:rsid w:val="00700F26"/>
    <w:rsid w:val="00700F42"/>
    <w:rsid w:val="00702388"/>
    <w:rsid w:val="00703BAE"/>
    <w:rsid w:val="00704196"/>
    <w:rsid w:val="00707D6A"/>
    <w:rsid w:val="00710A87"/>
    <w:rsid w:val="007141C0"/>
    <w:rsid w:val="00720F3B"/>
    <w:rsid w:val="00725282"/>
    <w:rsid w:val="00725F6A"/>
    <w:rsid w:val="007276F9"/>
    <w:rsid w:val="00730A0F"/>
    <w:rsid w:val="0073131A"/>
    <w:rsid w:val="00736BBB"/>
    <w:rsid w:val="00750085"/>
    <w:rsid w:val="0075065A"/>
    <w:rsid w:val="00754A71"/>
    <w:rsid w:val="0076763A"/>
    <w:rsid w:val="00772B27"/>
    <w:rsid w:val="00776D42"/>
    <w:rsid w:val="00782AAC"/>
    <w:rsid w:val="0078326B"/>
    <w:rsid w:val="007868C2"/>
    <w:rsid w:val="0078761C"/>
    <w:rsid w:val="007956A9"/>
    <w:rsid w:val="007A15B5"/>
    <w:rsid w:val="007A17AE"/>
    <w:rsid w:val="007A7A9E"/>
    <w:rsid w:val="007A7D7D"/>
    <w:rsid w:val="007B785B"/>
    <w:rsid w:val="007C2BF5"/>
    <w:rsid w:val="007C6577"/>
    <w:rsid w:val="007C7035"/>
    <w:rsid w:val="007D1C64"/>
    <w:rsid w:val="007D70FB"/>
    <w:rsid w:val="007D767A"/>
    <w:rsid w:val="007E5DE6"/>
    <w:rsid w:val="007E7B2C"/>
    <w:rsid w:val="007F1AC1"/>
    <w:rsid w:val="007F1EEC"/>
    <w:rsid w:val="007F2FEC"/>
    <w:rsid w:val="00800FBC"/>
    <w:rsid w:val="008020EC"/>
    <w:rsid w:val="00805C04"/>
    <w:rsid w:val="008071CE"/>
    <w:rsid w:val="00816F98"/>
    <w:rsid w:val="00820FC7"/>
    <w:rsid w:val="008215FE"/>
    <w:rsid w:val="00822662"/>
    <w:rsid w:val="00824ABD"/>
    <w:rsid w:val="008336E0"/>
    <w:rsid w:val="00833E28"/>
    <w:rsid w:val="00834CB8"/>
    <w:rsid w:val="00841F92"/>
    <w:rsid w:val="00845D84"/>
    <w:rsid w:val="00860244"/>
    <w:rsid w:val="008602C8"/>
    <w:rsid w:val="00861A34"/>
    <w:rsid w:val="0086473D"/>
    <w:rsid w:val="008676F5"/>
    <w:rsid w:val="008706CF"/>
    <w:rsid w:val="00870995"/>
    <w:rsid w:val="00870CD6"/>
    <w:rsid w:val="00874E3D"/>
    <w:rsid w:val="0087740C"/>
    <w:rsid w:val="00881B06"/>
    <w:rsid w:val="008847BF"/>
    <w:rsid w:val="00885E24"/>
    <w:rsid w:val="00891788"/>
    <w:rsid w:val="00893A36"/>
    <w:rsid w:val="008947C3"/>
    <w:rsid w:val="00896DB5"/>
    <w:rsid w:val="008977AE"/>
    <w:rsid w:val="008A07B3"/>
    <w:rsid w:val="008A2D73"/>
    <w:rsid w:val="008A3981"/>
    <w:rsid w:val="008A464E"/>
    <w:rsid w:val="008A6077"/>
    <w:rsid w:val="008A68F4"/>
    <w:rsid w:val="008A7410"/>
    <w:rsid w:val="008B1C8A"/>
    <w:rsid w:val="008B365C"/>
    <w:rsid w:val="008B7787"/>
    <w:rsid w:val="008B7EE9"/>
    <w:rsid w:val="008C0849"/>
    <w:rsid w:val="008C0E36"/>
    <w:rsid w:val="008C4CEA"/>
    <w:rsid w:val="008D11D3"/>
    <w:rsid w:val="008D69B8"/>
    <w:rsid w:val="008D7183"/>
    <w:rsid w:val="008D7815"/>
    <w:rsid w:val="008E3A67"/>
    <w:rsid w:val="008E3CEB"/>
    <w:rsid w:val="008F0B1D"/>
    <w:rsid w:val="008F5371"/>
    <w:rsid w:val="00900E6E"/>
    <w:rsid w:val="009058BA"/>
    <w:rsid w:val="00907585"/>
    <w:rsid w:val="00913C43"/>
    <w:rsid w:val="009310B9"/>
    <w:rsid w:val="0093273D"/>
    <w:rsid w:val="009340C6"/>
    <w:rsid w:val="00934C0D"/>
    <w:rsid w:val="0094192A"/>
    <w:rsid w:val="00944FBD"/>
    <w:rsid w:val="00954609"/>
    <w:rsid w:val="00965A82"/>
    <w:rsid w:val="00965AED"/>
    <w:rsid w:val="00966207"/>
    <w:rsid w:val="00967574"/>
    <w:rsid w:val="009679F6"/>
    <w:rsid w:val="00970883"/>
    <w:rsid w:val="00977681"/>
    <w:rsid w:val="00980C4D"/>
    <w:rsid w:val="0098194C"/>
    <w:rsid w:val="00985DD4"/>
    <w:rsid w:val="00986170"/>
    <w:rsid w:val="009873CC"/>
    <w:rsid w:val="00990F91"/>
    <w:rsid w:val="00991F1E"/>
    <w:rsid w:val="00994D2C"/>
    <w:rsid w:val="009963CA"/>
    <w:rsid w:val="009A352A"/>
    <w:rsid w:val="009A4108"/>
    <w:rsid w:val="009A60B7"/>
    <w:rsid w:val="009A6127"/>
    <w:rsid w:val="009B4B0F"/>
    <w:rsid w:val="009C3478"/>
    <w:rsid w:val="009C3E98"/>
    <w:rsid w:val="009C4E0C"/>
    <w:rsid w:val="009C550F"/>
    <w:rsid w:val="009C5722"/>
    <w:rsid w:val="009D3FDF"/>
    <w:rsid w:val="009D4361"/>
    <w:rsid w:val="009D470C"/>
    <w:rsid w:val="009D772B"/>
    <w:rsid w:val="009E066E"/>
    <w:rsid w:val="009E492D"/>
    <w:rsid w:val="009E623B"/>
    <w:rsid w:val="009E65D9"/>
    <w:rsid w:val="009F01B7"/>
    <w:rsid w:val="009F2116"/>
    <w:rsid w:val="00A0007B"/>
    <w:rsid w:val="00A016AD"/>
    <w:rsid w:val="00A04CF1"/>
    <w:rsid w:val="00A05DD3"/>
    <w:rsid w:val="00A073B5"/>
    <w:rsid w:val="00A07916"/>
    <w:rsid w:val="00A100BA"/>
    <w:rsid w:val="00A15876"/>
    <w:rsid w:val="00A15E04"/>
    <w:rsid w:val="00A21390"/>
    <w:rsid w:val="00A2255A"/>
    <w:rsid w:val="00A2341D"/>
    <w:rsid w:val="00A25040"/>
    <w:rsid w:val="00A30E54"/>
    <w:rsid w:val="00A32BA3"/>
    <w:rsid w:val="00A335E2"/>
    <w:rsid w:val="00A40A52"/>
    <w:rsid w:val="00A46DEB"/>
    <w:rsid w:val="00A4764A"/>
    <w:rsid w:val="00A539FE"/>
    <w:rsid w:val="00A55AA8"/>
    <w:rsid w:val="00A61F7C"/>
    <w:rsid w:val="00A6218E"/>
    <w:rsid w:val="00A621A7"/>
    <w:rsid w:val="00A71B62"/>
    <w:rsid w:val="00A74B57"/>
    <w:rsid w:val="00A8317A"/>
    <w:rsid w:val="00AA1C85"/>
    <w:rsid w:val="00AA5D13"/>
    <w:rsid w:val="00AB5A08"/>
    <w:rsid w:val="00AC2098"/>
    <w:rsid w:val="00AC3EEF"/>
    <w:rsid w:val="00AD1418"/>
    <w:rsid w:val="00AD2319"/>
    <w:rsid w:val="00AD4927"/>
    <w:rsid w:val="00AE1C39"/>
    <w:rsid w:val="00AE2061"/>
    <w:rsid w:val="00AE276F"/>
    <w:rsid w:val="00AE5777"/>
    <w:rsid w:val="00AE7E48"/>
    <w:rsid w:val="00AF2B52"/>
    <w:rsid w:val="00AF5353"/>
    <w:rsid w:val="00B06F7C"/>
    <w:rsid w:val="00B1067A"/>
    <w:rsid w:val="00B137C0"/>
    <w:rsid w:val="00B2740B"/>
    <w:rsid w:val="00B3663A"/>
    <w:rsid w:val="00B40B3A"/>
    <w:rsid w:val="00B4197A"/>
    <w:rsid w:val="00B54842"/>
    <w:rsid w:val="00B551D5"/>
    <w:rsid w:val="00B568A6"/>
    <w:rsid w:val="00B64277"/>
    <w:rsid w:val="00B671CE"/>
    <w:rsid w:val="00B74DC0"/>
    <w:rsid w:val="00B810E6"/>
    <w:rsid w:val="00B8375B"/>
    <w:rsid w:val="00B964C3"/>
    <w:rsid w:val="00BA4D26"/>
    <w:rsid w:val="00BB4F8D"/>
    <w:rsid w:val="00BC1954"/>
    <w:rsid w:val="00BC5293"/>
    <w:rsid w:val="00BD0BB5"/>
    <w:rsid w:val="00BD21E7"/>
    <w:rsid w:val="00BD27BC"/>
    <w:rsid w:val="00BE0E05"/>
    <w:rsid w:val="00BE578F"/>
    <w:rsid w:val="00BE7988"/>
    <w:rsid w:val="00BF1669"/>
    <w:rsid w:val="00C02455"/>
    <w:rsid w:val="00C0397B"/>
    <w:rsid w:val="00C07FE4"/>
    <w:rsid w:val="00C168F5"/>
    <w:rsid w:val="00C207D4"/>
    <w:rsid w:val="00C21B11"/>
    <w:rsid w:val="00C22322"/>
    <w:rsid w:val="00C2384B"/>
    <w:rsid w:val="00C339C6"/>
    <w:rsid w:val="00C357B4"/>
    <w:rsid w:val="00C36C86"/>
    <w:rsid w:val="00C37042"/>
    <w:rsid w:val="00C37233"/>
    <w:rsid w:val="00C37E11"/>
    <w:rsid w:val="00C40073"/>
    <w:rsid w:val="00C4252F"/>
    <w:rsid w:val="00C4330C"/>
    <w:rsid w:val="00C4575C"/>
    <w:rsid w:val="00C469D9"/>
    <w:rsid w:val="00C52779"/>
    <w:rsid w:val="00C52F82"/>
    <w:rsid w:val="00C54E1F"/>
    <w:rsid w:val="00C6284E"/>
    <w:rsid w:val="00C65E29"/>
    <w:rsid w:val="00C66E2A"/>
    <w:rsid w:val="00C82495"/>
    <w:rsid w:val="00C83D87"/>
    <w:rsid w:val="00C84401"/>
    <w:rsid w:val="00C87908"/>
    <w:rsid w:val="00C90BD7"/>
    <w:rsid w:val="00C92C0B"/>
    <w:rsid w:val="00CA1C3F"/>
    <w:rsid w:val="00CA3FEB"/>
    <w:rsid w:val="00CB0B4E"/>
    <w:rsid w:val="00CB2BE9"/>
    <w:rsid w:val="00CB4C9F"/>
    <w:rsid w:val="00CB60CA"/>
    <w:rsid w:val="00CC1F17"/>
    <w:rsid w:val="00CC4CB6"/>
    <w:rsid w:val="00CC69B6"/>
    <w:rsid w:val="00CD35F9"/>
    <w:rsid w:val="00CD3CA3"/>
    <w:rsid w:val="00CD4AFA"/>
    <w:rsid w:val="00CE3894"/>
    <w:rsid w:val="00CE4899"/>
    <w:rsid w:val="00CF0F89"/>
    <w:rsid w:val="00CF1641"/>
    <w:rsid w:val="00D032EA"/>
    <w:rsid w:val="00D065E6"/>
    <w:rsid w:val="00D07ADF"/>
    <w:rsid w:val="00D15E5B"/>
    <w:rsid w:val="00D164B2"/>
    <w:rsid w:val="00D16C62"/>
    <w:rsid w:val="00D2391E"/>
    <w:rsid w:val="00D26A88"/>
    <w:rsid w:val="00D33A63"/>
    <w:rsid w:val="00D35248"/>
    <w:rsid w:val="00D42905"/>
    <w:rsid w:val="00D46FD7"/>
    <w:rsid w:val="00D51F77"/>
    <w:rsid w:val="00D71843"/>
    <w:rsid w:val="00D73AC1"/>
    <w:rsid w:val="00D74A02"/>
    <w:rsid w:val="00D82A08"/>
    <w:rsid w:val="00D82C8F"/>
    <w:rsid w:val="00D85AC6"/>
    <w:rsid w:val="00D96ECB"/>
    <w:rsid w:val="00D97FA9"/>
    <w:rsid w:val="00DA073B"/>
    <w:rsid w:val="00DA1245"/>
    <w:rsid w:val="00DA6CBE"/>
    <w:rsid w:val="00DB14E0"/>
    <w:rsid w:val="00DC098C"/>
    <w:rsid w:val="00DC1040"/>
    <w:rsid w:val="00DD4441"/>
    <w:rsid w:val="00DD6C12"/>
    <w:rsid w:val="00DE30A5"/>
    <w:rsid w:val="00DE3BD4"/>
    <w:rsid w:val="00DE70DC"/>
    <w:rsid w:val="00DF5A48"/>
    <w:rsid w:val="00E03FE4"/>
    <w:rsid w:val="00E06912"/>
    <w:rsid w:val="00E13BEA"/>
    <w:rsid w:val="00E143C0"/>
    <w:rsid w:val="00E1644F"/>
    <w:rsid w:val="00E2063F"/>
    <w:rsid w:val="00E2131B"/>
    <w:rsid w:val="00E26893"/>
    <w:rsid w:val="00E32E89"/>
    <w:rsid w:val="00E33A69"/>
    <w:rsid w:val="00E35188"/>
    <w:rsid w:val="00E3677A"/>
    <w:rsid w:val="00E4756B"/>
    <w:rsid w:val="00E510E5"/>
    <w:rsid w:val="00E615CB"/>
    <w:rsid w:val="00E642FA"/>
    <w:rsid w:val="00E65A97"/>
    <w:rsid w:val="00E739CC"/>
    <w:rsid w:val="00E831C8"/>
    <w:rsid w:val="00E909BF"/>
    <w:rsid w:val="00E92A25"/>
    <w:rsid w:val="00EB1828"/>
    <w:rsid w:val="00EB1F99"/>
    <w:rsid w:val="00EB2D2F"/>
    <w:rsid w:val="00EB460C"/>
    <w:rsid w:val="00EB7039"/>
    <w:rsid w:val="00EC0510"/>
    <w:rsid w:val="00EC125B"/>
    <w:rsid w:val="00EC61F6"/>
    <w:rsid w:val="00ED5917"/>
    <w:rsid w:val="00EE10B9"/>
    <w:rsid w:val="00EE3C40"/>
    <w:rsid w:val="00EE62B4"/>
    <w:rsid w:val="00EF0C59"/>
    <w:rsid w:val="00EF74D8"/>
    <w:rsid w:val="00F0572E"/>
    <w:rsid w:val="00F109FE"/>
    <w:rsid w:val="00F124AC"/>
    <w:rsid w:val="00F136D8"/>
    <w:rsid w:val="00F13B40"/>
    <w:rsid w:val="00F22C15"/>
    <w:rsid w:val="00F23A6C"/>
    <w:rsid w:val="00F32946"/>
    <w:rsid w:val="00F361E5"/>
    <w:rsid w:val="00F36A3E"/>
    <w:rsid w:val="00F44C41"/>
    <w:rsid w:val="00F46DE4"/>
    <w:rsid w:val="00F47073"/>
    <w:rsid w:val="00F472B4"/>
    <w:rsid w:val="00F50328"/>
    <w:rsid w:val="00F50A11"/>
    <w:rsid w:val="00F5152F"/>
    <w:rsid w:val="00F5506B"/>
    <w:rsid w:val="00F5667D"/>
    <w:rsid w:val="00F578C1"/>
    <w:rsid w:val="00F62620"/>
    <w:rsid w:val="00F646A0"/>
    <w:rsid w:val="00F6527A"/>
    <w:rsid w:val="00F737FF"/>
    <w:rsid w:val="00F76F78"/>
    <w:rsid w:val="00F84401"/>
    <w:rsid w:val="00F87CBD"/>
    <w:rsid w:val="00F93432"/>
    <w:rsid w:val="00F96354"/>
    <w:rsid w:val="00FA5021"/>
    <w:rsid w:val="00FA54FD"/>
    <w:rsid w:val="00FB0E7F"/>
    <w:rsid w:val="00FB19A9"/>
    <w:rsid w:val="00FB44D8"/>
    <w:rsid w:val="00FC3818"/>
    <w:rsid w:val="00FD13E7"/>
    <w:rsid w:val="00FD1A5F"/>
    <w:rsid w:val="00FD221A"/>
    <w:rsid w:val="00FD2E69"/>
    <w:rsid w:val="00FD5B56"/>
    <w:rsid w:val="00FD7A79"/>
    <w:rsid w:val="00FE1E24"/>
    <w:rsid w:val="00FE4693"/>
    <w:rsid w:val="00FF0696"/>
    <w:rsid w:val="00FF38C0"/>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F3622"/>
  <w14:defaultImageDpi w14:val="0"/>
  <w15:docId w15:val="{D6330968-A04B-47F5-9CF4-6D205BDE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ED6"/>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5E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065E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065E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065E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D065E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D065E6"/>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D065E6"/>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sid w:val="00D065E6"/>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D065E6"/>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styleId="CommentText">
    <w:name w:val="annotation text"/>
    <w:basedOn w:val="Normal"/>
    <w:link w:val="CommentTextChar"/>
    <w:uiPriority w:val="99"/>
    <w:rsid w:val="00D065E6"/>
    <w:rPr>
      <w:sz w:val="20"/>
    </w:rPr>
  </w:style>
  <w:style w:type="character" w:customStyle="1" w:styleId="CommentTextChar">
    <w:name w:val="Comment Text Char"/>
    <w:basedOn w:val="DefaultParagraphFont"/>
    <w:link w:val="CommentText"/>
    <w:uiPriority w:val="99"/>
    <w:locked/>
    <w:rsid w:val="00D065E6"/>
    <w:rPr>
      <w:rFonts w:cs="Times New Roman"/>
      <w:lang w:val="x-none" w:eastAsia="en-US"/>
    </w:rPr>
  </w:style>
  <w:style w:type="paragraph" w:styleId="CommentSubject">
    <w:name w:val="annotation subject"/>
    <w:basedOn w:val="CommentText"/>
    <w:next w:val="CommentText"/>
    <w:link w:val="CommentSubjectChar"/>
    <w:uiPriority w:val="99"/>
    <w:rsid w:val="00D065E6"/>
    <w:rPr>
      <w:b/>
      <w:bCs/>
    </w:rPr>
  </w:style>
  <w:style w:type="character" w:customStyle="1" w:styleId="CommentSubjectChar">
    <w:name w:val="Comment Subject Char"/>
    <w:basedOn w:val="CommentTextChar"/>
    <w:link w:val="CommentSubject"/>
    <w:uiPriority w:val="99"/>
    <w:locked/>
    <w:rsid w:val="00D065E6"/>
    <w:rPr>
      <w:rFonts w:cs="Times New Roman"/>
      <w:b/>
      <w:bCs/>
      <w:lang w:val="x-none" w:eastAsia="en-US"/>
    </w:rPr>
  </w:style>
  <w:style w:type="paragraph" w:styleId="BalloonText">
    <w:name w:val="Balloon Text"/>
    <w:basedOn w:val="Normal"/>
    <w:link w:val="BalloonTextChar"/>
    <w:uiPriority w:val="99"/>
    <w:rsid w:val="003D5717"/>
    <w:rPr>
      <w:rFonts w:ascii="Tahoma" w:hAnsi="Tahoma" w:cs="Tahoma"/>
      <w:sz w:val="16"/>
      <w:szCs w:val="16"/>
    </w:rPr>
  </w:style>
  <w:style w:type="character" w:customStyle="1" w:styleId="BalloonTextChar">
    <w:name w:val="Balloon Text Char"/>
    <w:basedOn w:val="DefaultParagraphFont"/>
    <w:link w:val="BalloonText"/>
    <w:uiPriority w:val="99"/>
    <w:locked/>
    <w:rsid w:val="003D5717"/>
    <w:rPr>
      <w:rFonts w:ascii="Tahoma" w:hAnsi="Tahoma" w:cs="Tahoma"/>
      <w:sz w:val="16"/>
      <w:szCs w:val="16"/>
      <w:lang w:val="x-none" w:eastAsia="en-US"/>
    </w:rPr>
  </w:style>
  <w:style w:type="character" w:styleId="CommentReference">
    <w:name w:val="annotation reference"/>
    <w:basedOn w:val="DefaultParagraphFont"/>
    <w:uiPriority w:val="99"/>
    <w:rsid w:val="00782AAC"/>
    <w:rPr>
      <w:rFonts w:cs="Times New Roman"/>
      <w:sz w:val="16"/>
      <w:szCs w:val="16"/>
    </w:rPr>
  </w:style>
  <w:style w:type="paragraph" w:styleId="Revision">
    <w:name w:val="Revision"/>
    <w:hidden/>
    <w:uiPriority w:val="99"/>
    <w:semiHidden/>
    <w:rsid w:val="004C53B7"/>
    <w:rPr>
      <w:sz w:val="24"/>
      <w:lang w:eastAsia="en-US"/>
    </w:rPr>
  </w:style>
  <w:style w:type="paragraph" w:customStyle="1" w:styleId="TableHd">
    <w:name w:val="TableHd"/>
    <w:basedOn w:val="Normal"/>
    <w:rsid w:val="00105077"/>
    <w:pPr>
      <w:keepNext/>
      <w:tabs>
        <w:tab w:val="left" w:pos="0"/>
      </w:tabs>
      <w:spacing w:before="300"/>
      <w:ind w:left="1200" w:hanging="1200"/>
    </w:pPr>
    <w:rPr>
      <w:rFonts w:ascii="Arial" w:hAnsi="Arial"/>
      <w:b/>
      <w:sz w:val="20"/>
    </w:rPr>
  </w:style>
  <w:style w:type="paragraph" w:customStyle="1" w:styleId="TableColHd">
    <w:name w:val="TableColHd"/>
    <w:basedOn w:val="Normal"/>
    <w:rsid w:val="00105077"/>
    <w:pPr>
      <w:keepNext/>
      <w:tabs>
        <w:tab w:val="left" w:pos="0"/>
      </w:tabs>
      <w:spacing w:after="60"/>
    </w:pPr>
    <w:rPr>
      <w:rFonts w:ascii="Arial" w:hAnsi="Arial"/>
      <w:b/>
      <w:sz w:val="18"/>
    </w:rPr>
  </w:style>
  <w:style w:type="table" w:styleId="TableGrid">
    <w:name w:val="Table Grid"/>
    <w:basedOn w:val="TableNormal"/>
    <w:rsid w:val="00631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03483">
      <w:marLeft w:val="0"/>
      <w:marRight w:val="0"/>
      <w:marTop w:val="0"/>
      <w:marBottom w:val="0"/>
      <w:divBdr>
        <w:top w:val="none" w:sz="0" w:space="0" w:color="auto"/>
        <w:left w:val="none" w:sz="0" w:space="0" w:color="auto"/>
        <w:bottom w:val="none" w:sz="0" w:space="0" w:color="auto"/>
        <w:right w:val="none" w:sz="0" w:space="0" w:color="auto"/>
      </w:divBdr>
    </w:div>
    <w:div w:id="1127503484">
      <w:marLeft w:val="0"/>
      <w:marRight w:val="0"/>
      <w:marTop w:val="0"/>
      <w:marBottom w:val="0"/>
      <w:divBdr>
        <w:top w:val="none" w:sz="0" w:space="0" w:color="auto"/>
        <w:left w:val="none" w:sz="0" w:space="0" w:color="auto"/>
        <w:bottom w:val="none" w:sz="0" w:space="0" w:color="auto"/>
        <w:right w:val="none" w:sz="0" w:space="0" w:color="auto"/>
      </w:divBdr>
    </w:div>
    <w:div w:id="1127503485">
      <w:marLeft w:val="0"/>
      <w:marRight w:val="0"/>
      <w:marTop w:val="0"/>
      <w:marBottom w:val="0"/>
      <w:divBdr>
        <w:top w:val="none" w:sz="0" w:space="0" w:color="auto"/>
        <w:left w:val="none" w:sz="0" w:space="0" w:color="auto"/>
        <w:bottom w:val="none" w:sz="0" w:space="0" w:color="auto"/>
        <w:right w:val="none" w:sz="0" w:space="0" w:color="auto"/>
      </w:divBdr>
    </w:div>
    <w:div w:id="1127503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963E5A-0F15-477F-9689-E8F187B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241205-6D19-4ACC-8EF4-3708CE186E8B}">
  <ds:schemaRefs>
    <ds:schemaRef ds:uri="http://schemas.openxmlformats.org/officeDocument/2006/bibliography"/>
  </ds:schemaRefs>
</ds:datastoreItem>
</file>

<file path=customXml/itemProps3.xml><?xml version="1.0" encoding="utf-8"?>
<ds:datastoreItem xmlns:ds="http://schemas.openxmlformats.org/officeDocument/2006/customXml" ds:itemID="{CE0672C7-0837-4A4D-B034-1A43070DDC4C}">
  <ds:schemaRefs>
    <ds:schemaRef ds:uri="http://schemas.openxmlformats.org/officeDocument/2006/bibliography"/>
  </ds:schemaRefs>
</ds:datastoreItem>
</file>

<file path=customXml/itemProps4.xml><?xml version="1.0" encoding="utf-8"?>
<ds:datastoreItem xmlns:ds="http://schemas.openxmlformats.org/officeDocument/2006/customXml" ds:itemID="{C0497111-0B27-4726-A840-C75B14851876}">
  <ds:schemaRefs>
    <ds:schemaRef ds:uri="http://schemas.microsoft.com/sharepoint/v3/contenttype/forms"/>
  </ds:schemaRefs>
</ds:datastoreItem>
</file>

<file path=customXml/itemProps5.xml><?xml version="1.0" encoding="utf-8"?>
<ds:datastoreItem xmlns:ds="http://schemas.openxmlformats.org/officeDocument/2006/customXml" ds:itemID="{3FFA4A93-ECFC-45F8-891A-D30D20AD055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2192</Words>
  <Characters>11352</Characters>
  <Application>Microsoft Office Word</Application>
  <DocSecurity>0</DocSecurity>
  <Lines>265</Lines>
  <Paragraphs>68</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Stonham, Joshua</cp:lastModifiedBy>
  <cp:revision>4</cp:revision>
  <cp:lastPrinted>2020-06-02T01:20:00Z</cp:lastPrinted>
  <dcterms:created xsi:type="dcterms:W3CDTF">2025-06-30T04:46:00Z</dcterms:created>
  <dcterms:modified xsi:type="dcterms:W3CDTF">2025-06-30T04:46:00Z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2024-05-30T04:05:06Z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6b4de82a-71ce-48a7-8b60-ed015c21507e</vt:lpwstr>
  </property>
  <property fmtid="{D5CDD505-2E9C-101B-9397-08002B2CF9AE}" pid="9" name="MSIP_Label_69af8531-eb46-4968-8cb3-105d2f5ea87e_ContentBits">
    <vt:lpwstr>0</vt:lpwstr>
  </property>
</Properties>
</file>