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BBF4" w14:textId="77777777" w:rsidR="002222AA" w:rsidRDefault="002222AA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BED4FBE" w14:textId="3278A8FA" w:rsidR="002222AA" w:rsidRPr="008D57B9" w:rsidRDefault="00931E3A" w:rsidP="0059719E">
      <w:pPr>
        <w:pStyle w:val="Billname"/>
        <w:spacing w:before="700"/>
        <w:jc w:val="both"/>
      </w:pPr>
      <w:r>
        <w:t xml:space="preserve">Taxation Administration </w:t>
      </w:r>
      <w:r w:rsidR="00A14E34" w:rsidRPr="008D57B9">
        <w:t>(</w:t>
      </w:r>
      <w:r>
        <w:t>Amounts and Rates</w:t>
      </w:r>
      <w:r w:rsidR="002B527E">
        <w:t>—</w:t>
      </w:r>
      <w:r>
        <w:t xml:space="preserve">Payroll </w:t>
      </w:r>
      <w:r w:rsidR="009C31DD">
        <w:t>Tax) Determination 20</w:t>
      </w:r>
      <w:r w:rsidR="007962A4">
        <w:t>2</w:t>
      </w:r>
      <w:r w:rsidR="00404E8A">
        <w:t>5</w:t>
      </w:r>
      <w:r>
        <w:t xml:space="preserve"> </w:t>
      </w:r>
    </w:p>
    <w:p w14:paraId="4A18E62B" w14:textId="3AE7E0E8" w:rsidR="002222AA" w:rsidRPr="008D57B9" w:rsidRDefault="009C31DD" w:rsidP="0059719E">
      <w:pPr>
        <w:spacing w:before="240" w:after="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7962A4">
        <w:rPr>
          <w:rFonts w:ascii="Arial" w:hAnsi="Arial" w:cs="Arial"/>
          <w:b/>
          <w:bCs/>
        </w:rPr>
        <w:t>2</w:t>
      </w:r>
      <w:r w:rsidR="00404E8A">
        <w:rPr>
          <w:rFonts w:ascii="Arial" w:hAnsi="Arial" w:cs="Arial"/>
          <w:b/>
          <w:bCs/>
        </w:rPr>
        <w:t>5</w:t>
      </w:r>
      <w:r w:rsidR="007B3F79">
        <w:rPr>
          <w:rFonts w:ascii="Arial" w:hAnsi="Arial" w:cs="Arial"/>
          <w:b/>
          <w:bCs/>
        </w:rPr>
        <w:t>–</w:t>
      </w:r>
      <w:r w:rsidR="002A479C">
        <w:rPr>
          <w:rFonts w:ascii="Arial" w:hAnsi="Arial" w:cs="Arial"/>
          <w:b/>
          <w:bCs/>
        </w:rPr>
        <w:t>161</w:t>
      </w:r>
    </w:p>
    <w:p w14:paraId="3842D7AA" w14:textId="77777777" w:rsidR="002222AA" w:rsidRPr="008D57B9" w:rsidRDefault="002222AA" w:rsidP="0059719E">
      <w:pPr>
        <w:pStyle w:val="madeunder"/>
        <w:spacing w:before="240" w:after="120"/>
      </w:pPr>
      <w:r w:rsidRPr="008D57B9">
        <w:t xml:space="preserve">made under the  </w:t>
      </w:r>
    </w:p>
    <w:p w14:paraId="775858A4" w14:textId="77777777" w:rsidR="00A14E34" w:rsidRPr="008D57B9" w:rsidRDefault="00A14E34" w:rsidP="0059719E">
      <w:pPr>
        <w:pStyle w:val="CoverActName"/>
        <w:rPr>
          <w:rFonts w:ascii="Times New Roman" w:hAnsi="Times New Roman"/>
        </w:rPr>
      </w:pPr>
      <w:r w:rsidRPr="008D57B9">
        <w:rPr>
          <w:i/>
          <w:iCs/>
          <w:sz w:val="20"/>
        </w:rPr>
        <w:t>Taxation Administration Act 1999</w:t>
      </w:r>
      <w:r w:rsidRPr="008D57B9">
        <w:rPr>
          <w:sz w:val="20"/>
        </w:rPr>
        <w:t>, s</w:t>
      </w:r>
      <w:r w:rsidR="00CC6CAB" w:rsidRPr="008D57B9">
        <w:rPr>
          <w:sz w:val="20"/>
        </w:rPr>
        <w:t> </w:t>
      </w:r>
      <w:r w:rsidRPr="008D57B9">
        <w:rPr>
          <w:sz w:val="20"/>
        </w:rPr>
        <w:t xml:space="preserve">139 </w:t>
      </w:r>
      <w:r w:rsidR="002B527E">
        <w:rPr>
          <w:sz w:val="20"/>
        </w:rPr>
        <w:t>(</w:t>
      </w:r>
      <w:r w:rsidRPr="008D57B9">
        <w:rPr>
          <w:sz w:val="20"/>
        </w:rPr>
        <w:t>Determination of amounts payable under tax laws</w:t>
      </w:r>
      <w:r w:rsidR="002B527E">
        <w:rPr>
          <w:sz w:val="20"/>
        </w:rPr>
        <w:t>)</w:t>
      </w:r>
    </w:p>
    <w:p w14:paraId="134D7B26" w14:textId="77777777" w:rsidR="002222AA" w:rsidRPr="008D57B9" w:rsidRDefault="002222AA" w:rsidP="0059719E">
      <w:pPr>
        <w:spacing w:before="360"/>
        <w:ind w:right="565"/>
        <w:jc w:val="both"/>
        <w:rPr>
          <w:rFonts w:ascii="Arial" w:hAnsi="Arial" w:cs="Arial"/>
          <w:b/>
          <w:bCs/>
          <w:sz w:val="28"/>
          <w:szCs w:val="28"/>
        </w:rPr>
      </w:pPr>
      <w:r w:rsidRPr="008D57B9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E7A261E" w14:textId="77777777" w:rsidR="002222AA" w:rsidRPr="008D57B9" w:rsidRDefault="002222AA" w:rsidP="0059719E">
      <w:pPr>
        <w:pStyle w:val="N-line3"/>
        <w:pBdr>
          <w:bottom w:val="none" w:sz="0" w:space="0" w:color="auto"/>
        </w:pBdr>
      </w:pPr>
    </w:p>
    <w:p w14:paraId="4F15010C" w14:textId="77777777" w:rsidR="002222AA" w:rsidRPr="008D57B9" w:rsidRDefault="002222AA" w:rsidP="0059719E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3D61361" w14:textId="1916ADE6" w:rsidR="00931E3A" w:rsidRDefault="00931E3A" w:rsidP="0059719E">
      <w:pPr>
        <w:spacing w:before="140" w:after="120"/>
        <w:jc w:val="both"/>
      </w:pPr>
      <w:r>
        <w:t xml:space="preserve">This instrument is the </w:t>
      </w:r>
      <w:r w:rsidRPr="00931E3A">
        <w:rPr>
          <w:i/>
        </w:rPr>
        <w:t xml:space="preserve">Taxation Administration (Amounts </w:t>
      </w:r>
      <w:r w:rsidR="00140DE7">
        <w:rPr>
          <w:i/>
        </w:rPr>
        <w:t xml:space="preserve">and </w:t>
      </w:r>
      <w:r w:rsidRPr="00931E3A">
        <w:rPr>
          <w:i/>
        </w:rPr>
        <w:t>Rates</w:t>
      </w:r>
      <w:r w:rsidR="002B527E">
        <w:rPr>
          <w:i/>
        </w:rPr>
        <w:t>—</w:t>
      </w:r>
      <w:r w:rsidRPr="00931E3A">
        <w:rPr>
          <w:i/>
        </w:rPr>
        <w:t>Payroll Tax) Determination 20</w:t>
      </w:r>
      <w:r w:rsidR="007962A4">
        <w:rPr>
          <w:i/>
        </w:rPr>
        <w:t>2</w:t>
      </w:r>
      <w:r w:rsidR="00404E8A">
        <w:rPr>
          <w:i/>
        </w:rPr>
        <w:t>5</w:t>
      </w:r>
      <w:r w:rsidR="007E72BB">
        <w:rPr>
          <w:iCs/>
        </w:rPr>
        <w:t>.</w:t>
      </w:r>
      <w:r w:rsidR="00527C3A">
        <w:rPr>
          <w:iCs/>
        </w:rPr>
        <w:t xml:space="preserve"> </w:t>
      </w:r>
      <w:r>
        <w:t>This instrument commences on 1 July 20</w:t>
      </w:r>
      <w:r w:rsidR="007962A4">
        <w:t>2</w:t>
      </w:r>
      <w:r w:rsidR="00404E8A">
        <w:t>5</w:t>
      </w:r>
      <w:r>
        <w:t>.</w:t>
      </w:r>
    </w:p>
    <w:p w14:paraId="76B27143" w14:textId="77777777" w:rsidR="00931E3A" w:rsidRDefault="00A95DA7" w:rsidP="0059719E">
      <w:pPr>
        <w:spacing w:before="140" w:after="120"/>
        <w:jc w:val="both"/>
      </w:pPr>
      <w:r>
        <w:t xml:space="preserve">Under section 139 of the </w:t>
      </w:r>
      <w:r w:rsidRPr="00A95DA7">
        <w:rPr>
          <w:i/>
        </w:rPr>
        <w:t>Taxation Administration Act 1999</w:t>
      </w:r>
      <w:r>
        <w:t xml:space="preserve">, the Minister has the authority to determine, by disallowable instrument, </w:t>
      </w:r>
      <w:r w:rsidR="00677189">
        <w:t xml:space="preserve">the </w:t>
      </w:r>
      <w:r>
        <w:t xml:space="preserve">amounts and rates applicable </w:t>
      </w:r>
      <w:r w:rsidR="005A3945">
        <w:t xml:space="preserve">under </w:t>
      </w:r>
      <w:r>
        <w:t xml:space="preserve">the </w:t>
      </w:r>
      <w:r w:rsidR="00783760">
        <w:rPr>
          <w:i/>
        </w:rPr>
        <w:t>Payroll</w:t>
      </w:r>
      <w:r w:rsidR="00783760" w:rsidRPr="00A95DA7">
        <w:rPr>
          <w:i/>
        </w:rPr>
        <w:t xml:space="preserve"> </w:t>
      </w:r>
      <w:r w:rsidRPr="00A95DA7">
        <w:rPr>
          <w:i/>
        </w:rPr>
        <w:t>Tax Act 2011</w:t>
      </w:r>
      <w:r>
        <w:t>.</w:t>
      </w:r>
    </w:p>
    <w:p w14:paraId="36B00F73" w14:textId="4CE08748" w:rsidR="007E72BB" w:rsidRDefault="007E72BB" w:rsidP="0059719E">
      <w:pPr>
        <w:spacing w:before="140" w:after="120"/>
        <w:jc w:val="both"/>
      </w:pPr>
      <w:r>
        <w:t xml:space="preserve">Payroll tax is collected monthly, but </w:t>
      </w:r>
      <w:r w:rsidR="00837814">
        <w:t xml:space="preserve">it </w:t>
      </w:r>
      <w:r>
        <w:t>is an annual tax based on Australia-wide wages paid or payable during the whole or part of a financial year.</w:t>
      </w:r>
    </w:p>
    <w:p w14:paraId="1B4D8F36" w14:textId="19F12C7C" w:rsidR="00931E3A" w:rsidRDefault="00A95DA7" w:rsidP="0059719E">
      <w:pPr>
        <w:spacing w:before="140" w:after="120"/>
        <w:jc w:val="both"/>
      </w:pPr>
      <w:r>
        <w:t>This instrument determines the threshold</w:t>
      </w:r>
      <w:r w:rsidR="00837814">
        <w:t xml:space="preserve"> amount</w:t>
      </w:r>
      <w:r>
        <w:t xml:space="preserve"> for the payment of ACT payroll tax under the </w:t>
      </w:r>
      <w:r w:rsidRPr="007021D9">
        <w:rPr>
          <w:i/>
        </w:rPr>
        <w:t>Payroll Tax Act 2011</w:t>
      </w:r>
      <w:r>
        <w:t xml:space="preserve">. </w:t>
      </w:r>
      <w:r w:rsidR="007962A4">
        <w:t xml:space="preserve">The </w:t>
      </w:r>
      <w:r>
        <w:t xml:space="preserve">annual Australia-wide wages </w:t>
      </w:r>
      <w:r w:rsidR="003A12A6">
        <w:t>tax</w:t>
      </w:r>
      <w:r w:rsidR="00A85500">
        <w:t>-</w:t>
      </w:r>
      <w:r w:rsidR="003A12A6">
        <w:t xml:space="preserve">free </w:t>
      </w:r>
      <w:r>
        <w:t xml:space="preserve">threshold </w:t>
      </w:r>
      <w:r w:rsidR="00837814">
        <w:t xml:space="preserve">(annual threshold amount) </w:t>
      </w:r>
      <w:r w:rsidR="007962A4">
        <w:t>remains</w:t>
      </w:r>
      <w:r>
        <w:t xml:space="preserve"> </w:t>
      </w:r>
      <w:r w:rsidR="007962A4">
        <w:t xml:space="preserve">at </w:t>
      </w:r>
      <w:r>
        <w:t xml:space="preserve">$2,000,000 and the monthly threshold </w:t>
      </w:r>
      <w:r w:rsidR="00837814">
        <w:t xml:space="preserve">amount </w:t>
      </w:r>
      <w:r w:rsidR="00A85500">
        <w:t>at</w:t>
      </w:r>
      <w:r w:rsidR="007E72BB">
        <w:t xml:space="preserve"> </w:t>
      </w:r>
      <w:r>
        <w:t>$166,666.66.</w:t>
      </w:r>
    </w:p>
    <w:p w14:paraId="37225344" w14:textId="5ED43572" w:rsidR="005A1F14" w:rsidRDefault="007E72BB" w:rsidP="0059719E">
      <w:pPr>
        <w:spacing w:before="140" w:after="120"/>
        <w:jc w:val="both"/>
      </w:pPr>
      <w:r>
        <w:t xml:space="preserve">This instrument also determines </w:t>
      </w:r>
      <w:r w:rsidR="005A1F14">
        <w:t>the payroll tax rate for the 2025</w:t>
      </w:r>
      <w:r w:rsidR="00404E8A">
        <w:t xml:space="preserve">-26 </w:t>
      </w:r>
      <w:r w:rsidR="005A1F14">
        <w:t xml:space="preserve">year </w:t>
      </w:r>
      <w:r w:rsidR="005A1F14" w:rsidRPr="005A1F14">
        <w:t>to calculate payroll tax on ACT taxable wages</w:t>
      </w:r>
      <w:r w:rsidR="00837814">
        <w:t xml:space="preserve"> </w:t>
      </w:r>
      <w:r w:rsidR="005A1F14" w:rsidRPr="005A1F14">
        <w:t>if the total wages paid or payable are in excess of the annual or monthly threshold</w:t>
      </w:r>
      <w:r w:rsidR="00837814">
        <w:t xml:space="preserve"> amount</w:t>
      </w:r>
      <w:r w:rsidR="005A1F14" w:rsidRPr="005A1F14">
        <w:t xml:space="preserve"> </w:t>
      </w:r>
      <w:r w:rsidR="005A1F14">
        <w:t>–</w:t>
      </w:r>
      <w:r w:rsidR="00837814">
        <w:t xml:space="preserve"> </w:t>
      </w:r>
      <w:r w:rsidR="0059719E">
        <w:t xml:space="preserve">and will be an amount being </w:t>
      </w:r>
      <w:r w:rsidR="005A1F14">
        <w:t xml:space="preserve">a </w:t>
      </w:r>
      <w:r w:rsidR="00837814">
        <w:t xml:space="preserve">sum of the </w:t>
      </w:r>
      <w:r w:rsidR="005A1F14">
        <w:t xml:space="preserve">general rate and a surcharge rate. </w:t>
      </w:r>
    </w:p>
    <w:p w14:paraId="097BDBB1" w14:textId="304A438B" w:rsidR="007E72BB" w:rsidRDefault="005A1F14" w:rsidP="0059719E">
      <w:pPr>
        <w:spacing w:before="140" w:after="120"/>
        <w:jc w:val="both"/>
      </w:pPr>
      <w:r>
        <w:t>A</w:t>
      </w:r>
      <w:r w:rsidR="007E72BB">
        <w:t xml:space="preserve"> general </w:t>
      </w:r>
      <w:r w:rsidR="00527C3A">
        <w:t xml:space="preserve">payroll tax </w:t>
      </w:r>
      <w:r w:rsidR="007E72BB">
        <w:t>rate of 6.85 per cent</w:t>
      </w:r>
      <w:r w:rsidR="00DF5927">
        <w:t xml:space="preserve"> per annum</w:t>
      </w:r>
      <w:r>
        <w:t xml:space="preserve"> is </w:t>
      </w:r>
      <w:r w:rsidR="00DF5927">
        <w:t>determined</w:t>
      </w:r>
      <w:r w:rsidR="00882607">
        <w:t xml:space="preserve"> as per Table 1</w:t>
      </w:r>
      <w:r w:rsidR="007E72BB">
        <w:t xml:space="preserve">. </w:t>
      </w:r>
      <w:r w:rsidR="00882607">
        <w:t xml:space="preserve">A general payroll tax rate of 6.85 per cent also applies for payroll tax payable monthly as per Table 2.  </w:t>
      </w:r>
    </w:p>
    <w:p w14:paraId="6FA7DD4E" w14:textId="1F0345DB" w:rsidR="007E72BB" w:rsidRDefault="007E72BB" w:rsidP="0059719E">
      <w:pPr>
        <w:tabs>
          <w:tab w:val="num" w:pos="720"/>
        </w:tabs>
        <w:spacing w:before="140"/>
        <w:jc w:val="both"/>
      </w:pPr>
      <w:r>
        <w:t xml:space="preserve">From 1 July 2024, </w:t>
      </w:r>
      <w:r w:rsidRPr="007E72BB">
        <w:t xml:space="preserve">a payroll tax surcharge </w:t>
      </w:r>
      <w:r>
        <w:t xml:space="preserve">rate </w:t>
      </w:r>
      <w:r w:rsidR="00CC4FFD">
        <w:t xml:space="preserve">was </w:t>
      </w:r>
      <w:r>
        <w:t>appl</w:t>
      </w:r>
      <w:r w:rsidR="00404E8A">
        <w:t>ie</w:t>
      </w:r>
      <w:r w:rsidR="00740C2C">
        <w:t>d</w:t>
      </w:r>
      <w:r>
        <w:t xml:space="preserve"> </w:t>
      </w:r>
      <w:r w:rsidRPr="007E72BB">
        <w:t>for large businesses</w:t>
      </w:r>
      <w:r w:rsidR="00404E8A">
        <w:t xml:space="preserve">. From 1 July 2025, </w:t>
      </w:r>
      <w:r w:rsidR="00CC4FFD">
        <w:t xml:space="preserve">the payroll tax surcharge rate </w:t>
      </w:r>
      <w:r w:rsidR="00983C0C">
        <w:t>increases to</w:t>
      </w:r>
      <w:r>
        <w:t>:</w:t>
      </w:r>
      <w:r w:rsidR="005A1F14">
        <w:t xml:space="preserve"> </w:t>
      </w:r>
    </w:p>
    <w:p w14:paraId="15E1E888" w14:textId="2D5492A9" w:rsidR="007E72BB" w:rsidRDefault="007E72BB" w:rsidP="0059719E">
      <w:pPr>
        <w:numPr>
          <w:ilvl w:val="0"/>
          <w:numId w:val="30"/>
        </w:numPr>
        <w:spacing w:before="120"/>
        <w:ind w:left="777" w:hanging="357"/>
        <w:jc w:val="both"/>
      </w:pPr>
      <w:r w:rsidRPr="007E72BB">
        <w:t>0.</w:t>
      </w:r>
      <w:r w:rsidR="00404E8A">
        <w:t>50</w:t>
      </w:r>
      <w:r w:rsidR="00404E8A" w:rsidRPr="007E72BB">
        <w:t xml:space="preserve"> </w:t>
      </w:r>
      <w:r w:rsidRPr="007E72BB">
        <w:t xml:space="preserve">per cent on ACT </w:t>
      </w:r>
      <w:r w:rsidR="00527C3A">
        <w:t xml:space="preserve">taxable </w:t>
      </w:r>
      <w:r w:rsidRPr="007E72BB">
        <w:t>wages</w:t>
      </w:r>
      <w:r w:rsidR="00527C3A">
        <w:t>, where an employer is</w:t>
      </w:r>
      <w:r w:rsidRPr="007E72BB">
        <w:t xml:space="preserve"> above the payroll tax threshold for businesses with Australia-wide wages above $</w:t>
      </w:r>
      <w:r w:rsidR="00404E8A" w:rsidRPr="007E72BB">
        <w:t>50</w:t>
      </w:r>
      <w:r w:rsidR="00404E8A">
        <w:t> </w:t>
      </w:r>
      <w:r w:rsidRPr="007E72BB">
        <w:t>million</w:t>
      </w:r>
      <w:r>
        <w:t xml:space="preserve"> per annum or </w:t>
      </w:r>
      <w:r w:rsidRPr="007E72BB">
        <w:t>$4</w:t>
      </w:r>
      <w:r>
        <w:t>,</w:t>
      </w:r>
      <w:r w:rsidRPr="007E72BB">
        <w:t>166</w:t>
      </w:r>
      <w:r>
        <w:t>,</w:t>
      </w:r>
      <w:r w:rsidRPr="007E72BB">
        <w:t>666.66 mon</w:t>
      </w:r>
      <w:r>
        <w:t>t</w:t>
      </w:r>
      <w:r w:rsidRPr="007E72BB">
        <w:t>hly</w:t>
      </w:r>
      <w:r>
        <w:t>;</w:t>
      </w:r>
      <w:r w:rsidRPr="007E72BB">
        <w:t xml:space="preserve"> and </w:t>
      </w:r>
    </w:p>
    <w:p w14:paraId="16A2722A" w14:textId="38C228C9" w:rsidR="007E72BB" w:rsidRDefault="00404E8A" w:rsidP="0059719E">
      <w:pPr>
        <w:numPr>
          <w:ilvl w:val="0"/>
          <w:numId w:val="30"/>
        </w:numPr>
        <w:spacing w:after="120"/>
        <w:ind w:left="777" w:hanging="357"/>
        <w:jc w:val="both"/>
      </w:pPr>
      <w:r>
        <w:lastRenderedPageBreak/>
        <w:t>1.00</w:t>
      </w:r>
      <w:r w:rsidR="007E72BB" w:rsidRPr="007E72BB">
        <w:t xml:space="preserve"> per cent on ACT </w:t>
      </w:r>
      <w:r w:rsidR="00527C3A">
        <w:t xml:space="preserve">taxable </w:t>
      </w:r>
      <w:r w:rsidR="007E72BB" w:rsidRPr="007E72BB">
        <w:t>wages</w:t>
      </w:r>
      <w:r w:rsidR="00527C3A">
        <w:t>, where an employer is</w:t>
      </w:r>
      <w:r w:rsidR="007E72BB" w:rsidRPr="007E72BB">
        <w:t xml:space="preserve"> above the payroll tax threshold for businesses with Australia</w:t>
      </w:r>
      <w:r w:rsidR="00527C3A">
        <w:t>-</w:t>
      </w:r>
      <w:r w:rsidR="007E72BB" w:rsidRPr="007E72BB">
        <w:t>wide wages above $100</w:t>
      </w:r>
      <w:r w:rsidR="007E72BB">
        <w:t> </w:t>
      </w:r>
      <w:r w:rsidR="007E72BB" w:rsidRPr="007E72BB">
        <w:t>million</w:t>
      </w:r>
      <w:r w:rsidR="007E72BB">
        <w:t xml:space="preserve"> per annum or </w:t>
      </w:r>
      <w:r w:rsidR="007E72BB" w:rsidRPr="007E72BB">
        <w:rPr>
          <w:color w:val="000000"/>
          <w:szCs w:val="24"/>
          <w:lang w:eastAsia="en-AU"/>
        </w:rPr>
        <w:t>$8</w:t>
      </w:r>
      <w:r w:rsidR="007E72BB">
        <w:rPr>
          <w:color w:val="000000"/>
          <w:szCs w:val="24"/>
          <w:lang w:eastAsia="en-AU"/>
        </w:rPr>
        <w:t>,</w:t>
      </w:r>
      <w:r w:rsidR="007E72BB" w:rsidRPr="007E72BB">
        <w:rPr>
          <w:color w:val="000000"/>
          <w:szCs w:val="24"/>
          <w:lang w:eastAsia="en-AU"/>
        </w:rPr>
        <w:t>333</w:t>
      </w:r>
      <w:r w:rsidR="007E72BB">
        <w:rPr>
          <w:color w:val="000000"/>
          <w:szCs w:val="24"/>
          <w:lang w:eastAsia="en-AU"/>
        </w:rPr>
        <w:t>,</w:t>
      </w:r>
      <w:r w:rsidR="007E72BB" w:rsidRPr="007E72BB">
        <w:rPr>
          <w:color w:val="000000"/>
          <w:szCs w:val="24"/>
          <w:lang w:eastAsia="en-AU"/>
        </w:rPr>
        <w:t>333.33</w:t>
      </w:r>
      <w:r w:rsidR="00527C3A">
        <w:rPr>
          <w:color w:val="000000"/>
          <w:szCs w:val="24"/>
          <w:lang w:eastAsia="en-AU"/>
        </w:rPr>
        <w:t xml:space="preserve"> monthly</w:t>
      </w:r>
      <w:r w:rsidR="007E72BB" w:rsidRPr="007E72BB">
        <w:t xml:space="preserve">. </w:t>
      </w:r>
    </w:p>
    <w:p w14:paraId="2C0D81ED" w14:textId="59360926" w:rsidR="00EE4622" w:rsidRPr="00EE4622" w:rsidRDefault="00EE4622" w:rsidP="0059719E">
      <w:pPr>
        <w:spacing w:after="120"/>
        <w:jc w:val="both"/>
        <w:rPr>
          <w:lang w:eastAsia="en-AU"/>
        </w:rPr>
      </w:pPr>
      <w:r w:rsidRPr="00EE4622">
        <w:rPr>
          <w:lang w:eastAsia="en-AU"/>
        </w:rPr>
        <w:t>For example, the general</w:t>
      </w:r>
      <w:r w:rsidR="0059719E">
        <w:rPr>
          <w:lang w:eastAsia="en-AU"/>
        </w:rPr>
        <w:t xml:space="preserve"> rates</w:t>
      </w:r>
      <w:r w:rsidRPr="00EE4622">
        <w:rPr>
          <w:lang w:eastAsia="en-AU"/>
        </w:rPr>
        <w:t xml:space="preserve"> and surcharge</w:t>
      </w:r>
      <w:r>
        <w:rPr>
          <w:lang w:eastAsia="en-AU"/>
        </w:rPr>
        <w:t xml:space="preserve"> rates will result in:</w:t>
      </w:r>
      <w:r w:rsidRPr="00EE4622">
        <w:rPr>
          <w:lang w:eastAsia="en-AU"/>
        </w:rPr>
        <w:t xml:space="preserve"> </w:t>
      </w:r>
    </w:p>
    <w:p w14:paraId="6AE3F1F7" w14:textId="61EE0442" w:rsidR="00EE4622" w:rsidRDefault="00EE4622" w:rsidP="0059719E">
      <w:pPr>
        <w:pStyle w:val="ListParagraph"/>
        <w:numPr>
          <w:ilvl w:val="0"/>
          <w:numId w:val="32"/>
        </w:numPr>
        <w:spacing w:after="120"/>
        <w:jc w:val="both"/>
      </w:pPr>
      <w:r w:rsidRPr="00EE4622">
        <w:rPr>
          <w:lang w:eastAsia="en-AU"/>
        </w:rPr>
        <w:t xml:space="preserve">For a payroll tax </w:t>
      </w:r>
      <w:r w:rsidR="00D47184">
        <w:rPr>
          <w:lang w:eastAsia="en-AU"/>
        </w:rPr>
        <w:t>employer</w:t>
      </w:r>
      <w:r w:rsidRPr="00EE4622">
        <w:rPr>
          <w:lang w:eastAsia="en-AU"/>
        </w:rPr>
        <w:t xml:space="preserve"> with annual Australia-wide wages of $20 million</w:t>
      </w:r>
      <w:r w:rsidR="0059719E">
        <w:rPr>
          <w:lang w:eastAsia="en-AU"/>
        </w:rPr>
        <w:t xml:space="preserve"> - </w:t>
      </w:r>
      <w:r w:rsidRPr="00EE4622">
        <w:rPr>
          <w:lang w:eastAsia="en-AU"/>
        </w:rPr>
        <w:t xml:space="preserve"> payroll tax of 6.85 per cent </w:t>
      </w:r>
      <w:r w:rsidR="0059719E">
        <w:rPr>
          <w:lang w:eastAsia="en-AU"/>
        </w:rPr>
        <w:t xml:space="preserve">will apply </w:t>
      </w:r>
      <w:r w:rsidRPr="00EE4622">
        <w:rPr>
          <w:lang w:eastAsia="en-AU"/>
        </w:rPr>
        <w:t>to all ACT taxable wages above the relevant tax-free threshold amount.</w:t>
      </w:r>
      <w:r w:rsidR="0059719E">
        <w:rPr>
          <w:lang w:eastAsia="en-AU"/>
        </w:rPr>
        <w:t xml:space="preserve"> The surcharge rate is nil. </w:t>
      </w:r>
    </w:p>
    <w:p w14:paraId="559A7CB9" w14:textId="6FD27D4F" w:rsidR="00EE4622" w:rsidRPr="00EE4622" w:rsidRDefault="00EE4622" w:rsidP="0059719E">
      <w:pPr>
        <w:pStyle w:val="ListParagraph"/>
        <w:numPr>
          <w:ilvl w:val="0"/>
          <w:numId w:val="32"/>
        </w:numPr>
        <w:contextualSpacing w:val="0"/>
        <w:jc w:val="both"/>
        <w:rPr>
          <w:sz w:val="22"/>
          <w:lang w:eastAsia="en-AU"/>
        </w:rPr>
      </w:pPr>
      <w:r w:rsidRPr="00EE4622">
        <w:rPr>
          <w:lang w:eastAsia="en-AU"/>
        </w:rPr>
        <w:t xml:space="preserve">For a payroll tax </w:t>
      </w:r>
      <w:r w:rsidR="00D47184">
        <w:rPr>
          <w:lang w:eastAsia="en-AU"/>
        </w:rPr>
        <w:t>employer</w:t>
      </w:r>
      <w:r w:rsidRPr="00EE4622">
        <w:rPr>
          <w:lang w:eastAsia="en-AU"/>
        </w:rPr>
        <w:t xml:space="preserve"> with annual Australia-wide wages of $60 million</w:t>
      </w:r>
      <w:r w:rsidR="0059719E">
        <w:rPr>
          <w:lang w:eastAsia="en-AU"/>
        </w:rPr>
        <w:t xml:space="preserve"> -</w:t>
      </w:r>
      <w:r w:rsidRPr="00EE4622">
        <w:rPr>
          <w:lang w:eastAsia="en-AU"/>
        </w:rPr>
        <w:t xml:space="preserve"> payroll tax of 7.</w:t>
      </w:r>
      <w:r w:rsidR="00404E8A">
        <w:rPr>
          <w:lang w:eastAsia="en-AU"/>
        </w:rPr>
        <w:t>35</w:t>
      </w:r>
      <w:r w:rsidR="00404E8A" w:rsidRPr="00EE4622">
        <w:rPr>
          <w:lang w:eastAsia="en-AU"/>
        </w:rPr>
        <w:t xml:space="preserve"> </w:t>
      </w:r>
      <w:r w:rsidRPr="00EE4622">
        <w:rPr>
          <w:lang w:eastAsia="en-AU"/>
        </w:rPr>
        <w:t xml:space="preserve">per cent (comprising 6.85 per cent </w:t>
      </w:r>
      <w:r w:rsidR="0059719E">
        <w:rPr>
          <w:lang w:eastAsia="en-AU"/>
        </w:rPr>
        <w:t xml:space="preserve">(general rate) </w:t>
      </w:r>
      <w:r w:rsidRPr="00EE4622">
        <w:rPr>
          <w:lang w:eastAsia="en-AU"/>
        </w:rPr>
        <w:t>plus 0.5</w:t>
      </w:r>
      <w:r w:rsidR="00404E8A">
        <w:rPr>
          <w:lang w:eastAsia="en-AU"/>
        </w:rPr>
        <w:t>0</w:t>
      </w:r>
      <w:r w:rsidRPr="00EE4622">
        <w:rPr>
          <w:lang w:eastAsia="en-AU"/>
        </w:rPr>
        <w:t xml:space="preserve"> per cent</w:t>
      </w:r>
      <w:r w:rsidR="0059719E">
        <w:rPr>
          <w:lang w:eastAsia="en-AU"/>
        </w:rPr>
        <w:t xml:space="preserve"> (surcharge rate)</w:t>
      </w:r>
      <w:r w:rsidRPr="00EE4622">
        <w:rPr>
          <w:lang w:eastAsia="en-AU"/>
        </w:rPr>
        <w:t xml:space="preserve">) </w:t>
      </w:r>
      <w:r w:rsidR="0059719E">
        <w:rPr>
          <w:lang w:eastAsia="en-AU"/>
        </w:rPr>
        <w:t xml:space="preserve">will apply </w:t>
      </w:r>
      <w:r w:rsidRPr="00EE4622">
        <w:rPr>
          <w:lang w:eastAsia="en-AU"/>
        </w:rPr>
        <w:t>to all ACT taxable wages above the relevant tax-free threshold amount.</w:t>
      </w:r>
    </w:p>
    <w:p w14:paraId="5C27C0C9" w14:textId="76D7A1CD" w:rsidR="00EE4622" w:rsidRPr="00EE4622" w:rsidRDefault="00EE4622" w:rsidP="0059719E">
      <w:pPr>
        <w:pStyle w:val="ListParagraph"/>
        <w:numPr>
          <w:ilvl w:val="0"/>
          <w:numId w:val="32"/>
        </w:numPr>
        <w:spacing w:after="120"/>
        <w:jc w:val="both"/>
      </w:pPr>
      <w:r w:rsidRPr="00EE4622">
        <w:rPr>
          <w:lang w:eastAsia="en-AU"/>
        </w:rPr>
        <w:t xml:space="preserve">For a payroll tax </w:t>
      </w:r>
      <w:r w:rsidR="00D47184">
        <w:rPr>
          <w:lang w:eastAsia="en-AU"/>
        </w:rPr>
        <w:t>employer</w:t>
      </w:r>
      <w:r w:rsidRPr="00EE4622">
        <w:rPr>
          <w:lang w:eastAsia="en-AU"/>
        </w:rPr>
        <w:t xml:space="preserve"> with annual Australia</w:t>
      </w:r>
      <w:r w:rsidR="00D47184">
        <w:rPr>
          <w:lang w:eastAsia="en-AU"/>
        </w:rPr>
        <w:t>-</w:t>
      </w:r>
      <w:r w:rsidRPr="00EE4622">
        <w:rPr>
          <w:lang w:eastAsia="en-AU"/>
        </w:rPr>
        <w:t>wide wages of $120 million</w:t>
      </w:r>
      <w:r w:rsidR="0059719E">
        <w:rPr>
          <w:lang w:eastAsia="en-AU"/>
        </w:rPr>
        <w:t xml:space="preserve"> -</w:t>
      </w:r>
      <w:r w:rsidRPr="00EE4622">
        <w:rPr>
          <w:lang w:eastAsia="en-AU"/>
        </w:rPr>
        <w:t xml:space="preserve"> payroll tax of </w:t>
      </w:r>
      <w:r w:rsidR="00404E8A">
        <w:rPr>
          <w:lang w:eastAsia="en-AU"/>
        </w:rPr>
        <w:t>7.85</w:t>
      </w:r>
      <w:r w:rsidRPr="00EE4622">
        <w:rPr>
          <w:lang w:eastAsia="en-AU"/>
        </w:rPr>
        <w:t xml:space="preserve"> per cent (</w:t>
      </w:r>
      <w:r>
        <w:rPr>
          <w:lang w:eastAsia="en-AU"/>
        </w:rPr>
        <w:t xml:space="preserve">comprising </w:t>
      </w:r>
      <w:r w:rsidRPr="00EE4622">
        <w:rPr>
          <w:lang w:eastAsia="en-AU"/>
        </w:rPr>
        <w:t>6.85</w:t>
      </w:r>
      <w:r>
        <w:rPr>
          <w:lang w:eastAsia="en-AU"/>
        </w:rPr>
        <w:t xml:space="preserve"> per cent </w:t>
      </w:r>
      <w:r w:rsidR="0059719E">
        <w:rPr>
          <w:lang w:eastAsia="en-AU"/>
        </w:rPr>
        <w:t xml:space="preserve">(general rate) </w:t>
      </w:r>
      <w:r>
        <w:rPr>
          <w:lang w:eastAsia="en-AU"/>
        </w:rPr>
        <w:t xml:space="preserve">plus </w:t>
      </w:r>
      <w:r w:rsidR="00404E8A">
        <w:rPr>
          <w:lang w:eastAsia="en-AU"/>
        </w:rPr>
        <w:t>1.00</w:t>
      </w:r>
      <w:r>
        <w:rPr>
          <w:lang w:eastAsia="en-AU"/>
        </w:rPr>
        <w:t xml:space="preserve"> per cent</w:t>
      </w:r>
      <w:r w:rsidR="0059719E">
        <w:rPr>
          <w:lang w:eastAsia="en-AU"/>
        </w:rPr>
        <w:t xml:space="preserve"> (surcharge rate)</w:t>
      </w:r>
      <w:r w:rsidRPr="00EE4622">
        <w:rPr>
          <w:lang w:eastAsia="en-AU"/>
        </w:rPr>
        <w:t xml:space="preserve">) </w:t>
      </w:r>
      <w:r w:rsidR="0059719E">
        <w:rPr>
          <w:lang w:eastAsia="en-AU"/>
        </w:rPr>
        <w:t>will apply</w:t>
      </w:r>
      <w:r w:rsidR="0059719E" w:rsidRPr="00EE4622">
        <w:rPr>
          <w:lang w:eastAsia="en-AU"/>
        </w:rPr>
        <w:t xml:space="preserve"> </w:t>
      </w:r>
      <w:r w:rsidRPr="00EE4622">
        <w:rPr>
          <w:lang w:eastAsia="en-AU"/>
        </w:rPr>
        <w:t>to all ACT taxable wages above the relevant tax-free threshold amount.</w:t>
      </w:r>
    </w:p>
    <w:p w14:paraId="7102770B" w14:textId="038A27D6" w:rsidR="007E72BB" w:rsidRPr="007E72BB" w:rsidRDefault="002C2AD7" w:rsidP="0059719E">
      <w:pPr>
        <w:spacing w:before="120" w:after="120"/>
        <w:jc w:val="both"/>
      </w:pPr>
      <w:r>
        <w:t>U</w:t>
      </w:r>
      <w:r w:rsidR="007E72BB" w:rsidRPr="007E72BB">
        <w:t>niversities with an ACT campus</w:t>
      </w:r>
      <w:r>
        <w:t xml:space="preserve"> and</w:t>
      </w:r>
      <w:r w:rsidR="00C216AA">
        <w:t xml:space="preserve"> as prescribed in section 4 of this instrument </w:t>
      </w:r>
      <w:r>
        <w:t xml:space="preserve">as an </w:t>
      </w:r>
      <w:r w:rsidR="00C216AA">
        <w:t>‘eligible university’</w:t>
      </w:r>
      <w:r>
        <w:t xml:space="preserve"> are charged only a general rate. No surcharge rate applies to those employers also an eligible university. </w:t>
      </w:r>
    </w:p>
    <w:p w14:paraId="4F12B265" w14:textId="77777777" w:rsidR="003E4878" w:rsidRDefault="00553AD4" w:rsidP="0059719E">
      <w:pPr>
        <w:spacing w:before="140" w:after="120"/>
        <w:jc w:val="both"/>
      </w:pPr>
      <w:r>
        <w:t xml:space="preserve">This instrument </w:t>
      </w:r>
      <w:r w:rsidR="005A1F14">
        <w:t>commences on 1 July 202</w:t>
      </w:r>
      <w:r w:rsidR="00404E8A">
        <w:t>5</w:t>
      </w:r>
      <w:r w:rsidR="003E4878">
        <w:t>.</w:t>
      </w:r>
    </w:p>
    <w:p w14:paraId="069DCD45" w14:textId="59CD0892" w:rsidR="00F73012" w:rsidRDefault="003E4878" w:rsidP="0059719E">
      <w:pPr>
        <w:spacing w:before="140" w:after="120"/>
        <w:jc w:val="both"/>
      </w:pPr>
      <w:r>
        <w:t xml:space="preserve">Section 6 </w:t>
      </w:r>
      <w:r w:rsidR="00553AD4">
        <w:t xml:space="preserve">revokes </w:t>
      </w:r>
      <w:r w:rsidR="007E72BB" w:rsidRPr="00A85500">
        <w:rPr>
          <w:i/>
          <w:iCs/>
        </w:rPr>
        <w:t>Taxation Administration (Amounts and Rates—Payroll Tax) Determination 2016 (No</w:t>
      </w:r>
      <w:r w:rsidR="005A1F14">
        <w:rPr>
          <w:i/>
          <w:iCs/>
        </w:rPr>
        <w:t> </w:t>
      </w:r>
      <w:r w:rsidR="007E72BB" w:rsidRPr="00A85500">
        <w:rPr>
          <w:i/>
          <w:iCs/>
        </w:rPr>
        <w:t>1)</w:t>
      </w:r>
      <w:r w:rsidR="007E72BB">
        <w:t xml:space="preserve">, </w:t>
      </w:r>
      <w:r w:rsidR="00553AD4">
        <w:t>DI201</w:t>
      </w:r>
      <w:r w:rsidR="007962A4">
        <w:t>6</w:t>
      </w:r>
      <w:r w:rsidR="00553AD4">
        <w:t>-</w:t>
      </w:r>
      <w:r w:rsidR="007962A4">
        <w:t>145</w:t>
      </w:r>
      <w:r w:rsidR="00553AD4">
        <w:t xml:space="preserve">. </w:t>
      </w:r>
    </w:p>
    <w:sectPr w:rsidR="00F73012" w:rsidSect="00543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88CE" w14:textId="77777777" w:rsidR="002E6A74" w:rsidRDefault="002E6A74">
      <w:r>
        <w:separator/>
      </w:r>
    </w:p>
  </w:endnote>
  <w:endnote w:type="continuationSeparator" w:id="0">
    <w:p w14:paraId="64B2F7EC" w14:textId="77777777" w:rsidR="002E6A74" w:rsidRDefault="002E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BF7D" w14:textId="77777777" w:rsidR="006E6893" w:rsidRDefault="006E6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19C5" w14:textId="3C121157" w:rsidR="008E7BDA" w:rsidRPr="006E6893" w:rsidRDefault="006E6893" w:rsidP="006E6893">
    <w:pPr>
      <w:pStyle w:val="Footer"/>
      <w:jc w:val="center"/>
      <w:rPr>
        <w:rFonts w:cs="Arial"/>
        <w:sz w:val="14"/>
      </w:rPr>
    </w:pPr>
    <w:r w:rsidRPr="006E68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329B" w14:textId="77777777" w:rsidR="006E6893" w:rsidRDefault="006E6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3198" w14:textId="77777777" w:rsidR="002E6A74" w:rsidRDefault="002E6A74">
      <w:r>
        <w:separator/>
      </w:r>
    </w:p>
  </w:footnote>
  <w:footnote w:type="continuationSeparator" w:id="0">
    <w:p w14:paraId="463650A2" w14:textId="77777777" w:rsidR="002E6A74" w:rsidRDefault="002E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28F9" w14:textId="77777777" w:rsidR="006E6893" w:rsidRDefault="006E6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1727" w14:textId="77777777" w:rsidR="006E6893" w:rsidRDefault="006E6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EDC8" w14:textId="77777777" w:rsidR="006E6893" w:rsidRDefault="006E6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EC714FB"/>
    <w:multiLevelType w:val="hybridMultilevel"/>
    <w:tmpl w:val="FFFFFFFF"/>
    <w:lvl w:ilvl="0" w:tplc="E014DB42">
      <w:start w:val="1"/>
      <w:numFmt w:val="lowerLetter"/>
      <w:lvlText w:val="%1)"/>
      <w:lvlJc w:val="left"/>
      <w:pPr>
        <w:tabs>
          <w:tab w:val="num" w:pos="782"/>
        </w:tabs>
        <w:ind w:left="782" w:hanging="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42FE8CBC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4244F8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3307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174740B2"/>
    <w:multiLevelType w:val="hybridMultilevel"/>
    <w:tmpl w:val="70A63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7303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456D18"/>
    <w:multiLevelType w:val="multilevel"/>
    <w:tmpl w:val="DE02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C211DF3"/>
    <w:multiLevelType w:val="multilevel"/>
    <w:tmpl w:val="FFFFFFFF"/>
    <w:lvl w:ilvl="0">
      <w:start w:val="1"/>
      <w:numFmt w:val="bullet"/>
      <w:lvlText w:val="▪"/>
      <w:lvlJc w:val="left"/>
      <w:pPr>
        <w:tabs>
          <w:tab w:val="num" w:pos="1664"/>
        </w:tabs>
        <w:ind w:left="1644" w:hanging="340"/>
      </w:pPr>
      <w:rPr>
        <w:rFonts w:ascii="Times New Roman" w:hint="default"/>
      </w:rPr>
    </w:lvl>
    <w:lvl w:ilvl="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2">
      <w:start w:val="2"/>
      <w:numFmt w:val="lowerRoman"/>
      <w:lvlText w:val="%3."/>
      <w:lvlJc w:val="right"/>
      <w:pPr>
        <w:tabs>
          <w:tab w:val="num" w:pos="2248"/>
        </w:tabs>
        <w:ind w:left="2248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58"/>
        </w:tabs>
        <w:ind w:left="275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72"/>
        </w:tabs>
        <w:ind w:left="2872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  <w:rPr>
        <w:rFonts w:cs="Times New Roman" w:hint="default"/>
      </w:rPr>
    </w:lvl>
  </w:abstractNum>
  <w:abstractNum w:abstractNumId="11" w15:restartNumberingAfterBreak="0">
    <w:nsid w:val="2F504644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C642B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5" w15:restartNumberingAfterBreak="0">
    <w:nsid w:val="36FF151D"/>
    <w:multiLevelType w:val="hybridMultilevel"/>
    <w:tmpl w:val="FFFFFFFF"/>
    <w:lvl w:ilvl="0" w:tplc="C2E42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2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6A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81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6D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A6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86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88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4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CEA2995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B2253A"/>
    <w:multiLevelType w:val="hybridMultilevel"/>
    <w:tmpl w:val="FFFFFFFF"/>
    <w:lvl w:ilvl="0" w:tplc="41BADD6C">
      <w:numFmt w:val="decimal"/>
      <w:lvlText w:val="%1."/>
      <w:lvlJc w:val="left"/>
      <w:pPr>
        <w:tabs>
          <w:tab w:val="num" w:pos="680"/>
        </w:tabs>
        <w:ind w:left="72" w:hanging="72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4E20AF"/>
    <w:multiLevelType w:val="hybridMultilevel"/>
    <w:tmpl w:val="FFFFFFFF"/>
    <w:lvl w:ilvl="0" w:tplc="918055A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8064B1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1" w15:restartNumberingAfterBreak="0">
    <w:nsid w:val="4D5F7C4B"/>
    <w:multiLevelType w:val="hybridMultilevel"/>
    <w:tmpl w:val="3962E24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E381296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565F5E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7F237C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5D817A6C"/>
    <w:multiLevelType w:val="hybridMultilevel"/>
    <w:tmpl w:val="FFFFFFFF"/>
    <w:lvl w:ilvl="0" w:tplc="80FE2ED2">
      <w:start w:val="1"/>
      <w:numFmt w:val="bullet"/>
      <w:lvlText w:val="▪"/>
      <w:lvlJc w:val="left"/>
      <w:pPr>
        <w:tabs>
          <w:tab w:val="num" w:pos="1607"/>
        </w:tabs>
        <w:ind w:left="1588" w:hanging="341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  <w:rPr>
        <w:rFonts w:cs="Times New Roman"/>
      </w:rPr>
    </w:lvl>
  </w:abstractNum>
  <w:abstractNum w:abstractNumId="25" w15:restartNumberingAfterBreak="0">
    <w:nsid w:val="63696F78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90526D"/>
    <w:multiLevelType w:val="hybridMultilevel"/>
    <w:tmpl w:val="FFFFFFFF"/>
    <w:lvl w:ilvl="0" w:tplc="3260006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1649FE4">
      <w:start w:val="1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3C0BC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9E2A6A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C03725"/>
    <w:multiLevelType w:val="hybridMultilevel"/>
    <w:tmpl w:val="FFFFFFFF"/>
    <w:lvl w:ilvl="0" w:tplc="BA42F2A2">
      <w:start w:val="1"/>
      <w:numFmt w:val="lowerRoman"/>
      <w:lvlText w:val="%1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B248EC"/>
    <w:multiLevelType w:val="hybridMultilevel"/>
    <w:tmpl w:val="FFFFFFFF"/>
    <w:lvl w:ilvl="0" w:tplc="D24082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C0A1E1C">
      <w:start w:val="1"/>
      <w:numFmt w:val="bullet"/>
      <w:lvlText w:val="o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7CD420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0314216">
    <w:abstractNumId w:val="2"/>
  </w:num>
  <w:num w:numId="2" w16cid:durableId="1001198411">
    <w:abstractNumId w:val="0"/>
  </w:num>
  <w:num w:numId="3" w16cid:durableId="1407722763">
    <w:abstractNumId w:val="4"/>
  </w:num>
  <w:num w:numId="4" w16cid:durableId="1084036155">
    <w:abstractNumId w:val="16"/>
  </w:num>
  <w:num w:numId="5" w16cid:durableId="1152333942">
    <w:abstractNumId w:val="31"/>
  </w:num>
  <w:num w:numId="6" w16cid:durableId="869995988">
    <w:abstractNumId w:val="1"/>
  </w:num>
  <w:num w:numId="7" w16cid:durableId="695422250">
    <w:abstractNumId w:val="13"/>
  </w:num>
  <w:num w:numId="8" w16cid:durableId="90778204">
    <w:abstractNumId w:val="14"/>
  </w:num>
  <w:num w:numId="9" w16cid:durableId="907493836">
    <w:abstractNumId w:val="22"/>
  </w:num>
  <w:num w:numId="10" w16cid:durableId="1936740392">
    <w:abstractNumId w:val="5"/>
  </w:num>
  <w:num w:numId="11" w16cid:durableId="1397045228">
    <w:abstractNumId w:val="19"/>
  </w:num>
  <w:num w:numId="12" w16cid:durableId="377364559">
    <w:abstractNumId w:val="3"/>
  </w:num>
  <w:num w:numId="13" w16cid:durableId="753431275">
    <w:abstractNumId w:val="30"/>
  </w:num>
  <w:num w:numId="14" w16cid:durableId="1935356772">
    <w:abstractNumId w:val="32"/>
  </w:num>
  <w:num w:numId="15" w16cid:durableId="901409388">
    <w:abstractNumId w:val="29"/>
  </w:num>
  <w:num w:numId="16" w16cid:durableId="1912539767">
    <w:abstractNumId w:val="26"/>
  </w:num>
  <w:num w:numId="17" w16cid:durableId="554124549">
    <w:abstractNumId w:val="10"/>
  </w:num>
  <w:num w:numId="18" w16cid:durableId="641428385">
    <w:abstractNumId w:val="20"/>
  </w:num>
  <w:num w:numId="19" w16cid:durableId="1298338691">
    <w:abstractNumId w:val="6"/>
  </w:num>
  <w:num w:numId="20" w16cid:durableId="1219047746">
    <w:abstractNumId w:val="24"/>
  </w:num>
  <w:num w:numId="21" w16cid:durableId="1773479086">
    <w:abstractNumId w:val="23"/>
  </w:num>
  <w:num w:numId="22" w16cid:durableId="1611470085">
    <w:abstractNumId w:val="18"/>
  </w:num>
  <w:num w:numId="23" w16cid:durableId="272907553">
    <w:abstractNumId w:val="12"/>
  </w:num>
  <w:num w:numId="24" w16cid:durableId="1446345393">
    <w:abstractNumId w:val="25"/>
  </w:num>
  <w:num w:numId="25" w16cid:durableId="746268625">
    <w:abstractNumId w:val="17"/>
  </w:num>
  <w:num w:numId="26" w16cid:durableId="899704881">
    <w:abstractNumId w:val="28"/>
  </w:num>
  <w:num w:numId="27" w16cid:durableId="2031643837">
    <w:abstractNumId w:val="8"/>
  </w:num>
  <w:num w:numId="28" w16cid:durableId="1613896080">
    <w:abstractNumId w:val="11"/>
  </w:num>
  <w:num w:numId="29" w16cid:durableId="1452700471">
    <w:abstractNumId w:val="15"/>
  </w:num>
  <w:num w:numId="30" w16cid:durableId="1209685540">
    <w:abstractNumId w:val="27"/>
  </w:num>
  <w:num w:numId="31" w16cid:durableId="553275849">
    <w:abstractNumId w:val="9"/>
  </w:num>
  <w:num w:numId="32" w16cid:durableId="1019505161">
    <w:abstractNumId w:val="7"/>
  </w:num>
  <w:num w:numId="33" w16cid:durableId="1240023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A"/>
    <w:rsid w:val="0001279B"/>
    <w:rsid w:val="00030BC9"/>
    <w:rsid w:val="00037CDD"/>
    <w:rsid w:val="00041BB9"/>
    <w:rsid w:val="000F3F42"/>
    <w:rsid w:val="00113642"/>
    <w:rsid w:val="00115E20"/>
    <w:rsid w:val="00140DE7"/>
    <w:rsid w:val="00176F1D"/>
    <w:rsid w:val="001816D6"/>
    <w:rsid w:val="002222AA"/>
    <w:rsid w:val="00237826"/>
    <w:rsid w:val="00242F27"/>
    <w:rsid w:val="00244532"/>
    <w:rsid w:val="002A479C"/>
    <w:rsid w:val="002B00A4"/>
    <w:rsid w:val="002B2796"/>
    <w:rsid w:val="002B527E"/>
    <w:rsid w:val="002C2AD7"/>
    <w:rsid w:val="002E6A74"/>
    <w:rsid w:val="00344BE5"/>
    <w:rsid w:val="00353E34"/>
    <w:rsid w:val="00383266"/>
    <w:rsid w:val="003A12A6"/>
    <w:rsid w:val="003A78DB"/>
    <w:rsid w:val="003E4878"/>
    <w:rsid w:val="003F2B0D"/>
    <w:rsid w:val="00404E8A"/>
    <w:rsid w:val="00425A73"/>
    <w:rsid w:val="00450C22"/>
    <w:rsid w:val="00464535"/>
    <w:rsid w:val="00466B43"/>
    <w:rsid w:val="00473A7C"/>
    <w:rsid w:val="004A541A"/>
    <w:rsid w:val="004B5A4C"/>
    <w:rsid w:val="004D781F"/>
    <w:rsid w:val="00527C3A"/>
    <w:rsid w:val="0054350E"/>
    <w:rsid w:val="00553898"/>
    <w:rsid w:val="00553AD4"/>
    <w:rsid w:val="00554259"/>
    <w:rsid w:val="00557247"/>
    <w:rsid w:val="00561E05"/>
    <w:rsid w:val="0059719E"/>
    <w:rsid w:val="005A1F14"/>
    <w:rsid w:val="005A3945"/>
    <w:rsid w:val="005A60F2"/>
    <w:rsid w:val="005D1398"/>
    <w:rsid w:val="006221E5"/>
    <w:rsid w:val="00677189"/>
    <w:rsid w:val="006E6893"/>
    <w:rsid w:val="006E7FDE"/>
    <w:rsid w:val="007021D9"/>
    <w:rsid w:val="00716BE8"/>
    <w:rsid w:val="00730FFC"/>
    <w:rsid w:val="00740C2C"/>
    <w:rsid w:val="00750C5F"/>
    <w:rsid w:val="00783760"/>
    <w:rsid w:val="007962A4"/>
    <w:rsid w:val="007B3F79"/>
    <w:rsid w:val="007E72BB"/>
    <w:rsid w:val="007F6978"/>
    <w:rsid w:val="00837814"/>
    <w:rsid w:val="00882607"/>
    <w:rsid w:val="008D57B9"/>
    <w:rsid w:val="008E7BDA"/>
    <w:rsid w:val="008F08E7"/>
    <w:rsid w:val="00903F80"/>
    <w:rsid w:val="00931E3A"/>
    <w:rsid w:val="00931F64"/>
    <w:rsid w:val="009663C4"/>
    <w:rsid w:val="00974CF6"/>
    <w:rsid w:val="00983C0C"/>
    <w:rsid w:val="00984A23"/>
    <w:rsid w:val="009A681B"/>
    <w:rsid w:val="009C31DD"/>
    <w:rsid w:val="00A14E34"/>
    <w:rsid w:val="00A447E8"/>
    <w:rsid w:val="00A62CD1"/>
    <w:rsid w:val="00A85500"/>
    <w:rsid w:val="00A8650A"/>
    <w:rsid w:val="00A95DA7"/>
    <w:rsid w:val="00AA08B7"/>
    <w:rsid w:val="00AF4428"/>
    <w:rsid w:val="00AF4D38"/>
    <w:rsid w:val="00AF6BE7"/>
    <w:rsid w:val="00B03774"/>
    <w:rsid w:val="00B5579E"/>
    <w:rsid w:val="00B72377"/>
    <w:rsid w:val="00BB6892"/>
    <w:rsid w:val="00BD2B6E"/>
    <w:rsid w:val="00C00B94"/>
    <w:rsid w:val="00C216AA"/>
    <w:rsid w:val="00C34CD6"/>
    <w:rsid w:val="00C443D5"/>
    <w:rsid w:val="00C56347"/>
    <w:rsid w:val="00C64971"/>
    <w:rsid w:val="00C759AB"/>
    <w:rsid w:val="00C816F3"/>
    <w:rsid w:val="00CB6D6D"/>
    <w:rsid w:val="00CC4FFD"/>
    <w:rsid w:val="00CC6CAB"/>
    <w:rsid w:val="00CE4298"/>
    <w:rsid w:val="00D10903"/>
    <w:rsid w:val="00D10E4A"/>
    <w:rsid w:val="00D23E3B"/>
    <w:rsid w:val="00D47184"/>
    <w:rsid w:val="00D91337"/>
    <w:rsid w:val="00DF5927"/>
    <w:rsid w:val="00E64154"/>
    <w:rsid w:val="00EA2209"/>
    <w:rsid w:val="00EA3DA2"/>
    <w:rsid w:val="00EE4622"/>
    <w:rsid w:val="00F3386D"/>
    <w:rsid w:val="00F73012"/>
    <w:rsid w:val="00FA3DFC"/>
    <w:rsid w:val="00FB28A8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605355"/>
  <w14:defaultImageDpi w14:val="0"/>
  <w15:docId w15:val="{B21F8906-3560-47C0-B9D0-A3ECA4A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3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3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3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2B52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2B527E"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84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4A23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rsid w:val="00DF59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59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5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592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E4622"/>
    <w:pPr>
      <w:ind w:left="720"/>
      <w:contextualSpacing/>
    </w:pPr>
  </w:style>
  <w:style w:type="paragraph" w:styleId="Revision">
    <w:name w:val="Revision"/>
    <w:hidden/>
    <w:uiPriority w:val="99"/>
    <w:semiHidden/>
    <w:rsid w:val="00404E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8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0E992-B9A0-40CD-BC82-F61BF2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2691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2016-06-09T06:05:00Z</cp:lastPrinted>
  <dcterms:created xsi:type="dcterms:W3CDTF">2025-06-30T05:19:00Z</dcterms:created>
  <dcterms:modified xsi:type="dcterms:W3CDTF">2025-06-30T05:19:00Z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2024-06-04T15:38:42Z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a11aca0f-fe63-468d-ad69-7414aaaae434</vt:lpwstr>
  </property>
  <property fmtid="{D5CDD505-2E9C-101B-9397-08002B2CF9AE}" pid="8" name="MSIP_Label_69af8531-eb46-4968-8cb3-105d2f5ea87e_ContentBits">
    <vt:lpwstr>0</vt:lpwstr>
  </property>
</Properties>
</file>