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A9EFB" w14:textId="77777777" w:rsidR="006815C9" w:rsidRDefault="006815C9" w:rsidP="00614DCB">
      <w:pPr>
        <w:spacing w:before="120"/>
        <w:rPr>
          <w:rFonts w:ascii="Arial" w:hAnsi="Arial" w:cs="Arial"/>
        </w:rPr>
      </w:pPr>
      <w:bookmarkStart w:id="0" w:name="_Toc44738651"/>
      <w:r>
        <w:rPr>
          <w:rFonts w:ascii="Arial" w:hAnsi="Arial" w:cs="Arial"/>
        </w:rPr>
        <w:t>Australian Capital Territory</w:t>
      </w:r>
    </w:p>
    <w:p w14:paraId="1281DFA6" w14:textId="398AB3F8" w:rsidR="006815C9" w:rsidRDefault="0066794D" w:rsidP="00614DCB">
      <w:pPr>
        <w:pStyle w:val="Billname"/>
        <w:spacing w:before="700"/>
      </w:pPr>
      <w:r>
        <w:t>Building</w:t>
      </w:r>
      <w:r w:rsidR="006815C9">
        <w:t xml:space="preserve"> </w:t>
      </w:r>
      <w:r w:rsidR="005260AE">
        <w:t xml:space="preserve">and Construction Legislation </w:t>
      </w:r>
      <w:r>
        <w:t xml:space="preserve">Amendment Regulation </w:t>
      </w:r>
      <w:r w:rsidR="00C83810">
        <w:t>202</w:t>
      </w:r>
      <w:r w:rsidR="00270B44">
        <w:t>5</w:t>
      </w:r>
      <w:r w:rsidR="00C83810">
        <w:t xml:space="preserve"> </w:t>
      </w:r>
      <w:r w:rsidR="00DD2B6B">
        <w:t>(No 1)</w:t>
      </w:r>
    </w:p>
    <w:p w14:paraId="1B6D9C54" w14:textId="3935A522" w:rsidR="006815C9" w:rsidRDefault="00F5371D" w:rsidP="00614DCB">
      <w:pPr>
        <w:spacing w:before="340"/>
        <w:rPr>
          <w:rFonts w:ascii="Arial" w:hAnsi="Arial" w:cs="Arial"/>
          <w:b/>
          <w:bCs/>
        </w:rPr>
      </w:pPr>
      <w:r>
        <w:rPr>
          <w:rFonts w:ascii="Arial" w:hAnsi="Arial" w:cs="Arial"/>
          <w:b/>
          <w:bCs/>
        </w:rPr>
        <w:t xml:space="preserve">Subordinate law </w:t>
      </w:r>
      <w:r w:rsidR="00530761">
        <w:rPr>
          <w:rFonts w:ascii="Arial" w:hAnsi="Arial" w:cs="Arial"/>
          <w:b/>
          <w:bCs/>
        </w:rPr>
        <w:t>SL20</w:t>
      </w:r>
      <w:r w:rsidR="00270B44">
        <w:rPr>
          <w:rFonts w:ascii="Arial" w:hAnsi="Arial" w:cs="Arial"/>
          <w:b/>
          <w:bCs/>
        </w:rPr>
        <w:t>25-</w:t>
      </w:r>
      <w:r w:rsidR="00DD2B6B">
        <w:rPr>
          <w:rFonts w:ascii="Arial" w:hAnsi="Arial" w:cs="Arial"/>
          <w:b/>
          <w:bCs/>
        </w:rPr>
        <w:t>11</w:t>
      </w:r>
    </w:p>
    <w:p w14:paraId="5712FEC2" w14:textId="77777777" w:rsidR="006815C9" w:rsidRDefault="006815C9" w:rsidP="00620F86">
      <w:pPr>
        <w:pStyle w:val="madeunder"/>
        <w:spacing w:before="300" w:after="0"/>
        <w:jc w:val="left"/>
      </w:pPr>
      <w:r>
        <w:t xml:space="preserve">made under the  </w:t>
      </w:r>
    </w:p>
    <w:p w14:paraId="7890F056" w14:textId="6B6118B0" w:rsidR="00923774" w:rsidRPr="006B73D4" w:rsidRDefault="00923774" w:rsidP="00923774">
      <w:pPr>
        <w:spacing w:before="360"/>
        <w:ind w:right="565"/>
        <w:rPr>
          <w:rFonts w:ascii="Arial" w:hAnsi="Arial" w:cs="Arial"/>
          <w:b/>
          <w:sz w:val="20"/>
        </w:rPr>
      </w:pPr>
      <w:r w:rsidRPr="006B73D4">
        <w:rPr>
          <w:rFonts w:ascii="Arial" w:hAnsi="Arial" w:cs="Arial"/>
          <w:b/>
          <w:sz w:val="20"/>
        </w:rPr>
        <w:t>Building Act 2004, the Construction Occupations (Licensing) Act 2004, and the Gas Safety Act 2000</w:t>
      </w:r>
    </w:p>
    <w:p w14:paraId="18049C84" w14:textId="63A97F99" w:rsidR="006815C9" w:rsidRDefault="006815C9" w:rsidP="00923774">
      <w:pPr>
        <w:spacing w:before="360"/>
        <w:ind w:right="565"/>
        <w:rPr>
          <w:rFonts w:ascii="Arial" w:hAnsi="Arial" w:cs="Arial"/>
          <w:b/>
          <w:bCs/>
          <w:sz w:val="28"/>
          <w:szCs w:val="28"/>
        </w:rPr>
      </w:pPr>
      <w:r>
        <w:rPr>
          <w:rFonts w:ascii="Arial" w:hAnsi="Arial" w:cs="Arial"/>
          <w:b/>
          <w:bCs/>
          <w:sz w:val="28"/>
          <w:szCs w:val="28"/>
        </w:rPr>
        <w:t>EXPLANATORY STATEMENT</w:t>
      </w:r>
    </w:p>
    <w:p w14:paraId="03F5214A" w14:textId="77777777" w:rsidR="006815C9" w:rsidRDefault="006815C9" w:rsidP="00620F86">
      <w:pPr>
        <w:pStyle w:val="N-line3"/>
        <w:pBdr>
          <w:bottom w:val="none" w:sz="0" w:space="0" w:color="auto"/>
        </w:pBdr>
        <w:jc w:val="left"/>
      </w:pPr>
    </w:p>
    <w:p w14:paraId="6E0AC33C" w14:textId="77777777" w:rsidR="006815C9" w:rsidRDefault="006815C9" w:rsidP="00620F86">
      <w:pPr>
        <w:pStyle w:val="N-line3"/>
        <w:pBdr>
          <w:top w:val="single" w:sz="12" w:space="1" w:color="auto"/>
          <w:bottom w:val="none" w:sz="0" w:space="0" w:color="auto"/>
        </w:pBdr>
        <w:jc w:val="left"/>
      </w:pPr>
    </w:p>
    <w:bookmarkEnd w:id="0"/>
    <w:p w14:paraId="6019DE6F" w14:textId="4E663E5D" w:rsidR="00DA0F68" w:rsidRDefault="00530761" w:rsidP="00614DCB">
      <w:r>
        <w:t xml:space="preserve">This explanatory statement relates to the </w:t>
      </w:r>
      <w:r w:rsidRPr="00D13FFE">
        <w:rPr>
          <w:i/>
        </w:rPr>
        <w:t xml:space="preserve">Building </w:t>
      </w:r>
      <w:r>
        <w:rPr>
          <w:i/>
        </w:rPr>
        <w:t>and Construction Legislation Amendment Regulation 202</w:t>
      </w:r>
      <w:r w:rsidR="00270B44">
        <w:rPr>
          <w:i/>
        </w:rPr>
        <w:t>5</w:t>
      </w:r>
      <w:r w:rsidR="00DD2B6B">
        <w:rPr>
          <w:i/>
        </w:rPr>
        <w:t xml:space="preserve"> (No 1)</w:t>
      </w:r>
      <w:r>
        <w:t xml:space="preserve"> (</w:t>
      </w:r>
      <w:r w:rsidRPr="00765265">
        <w:t>regulation</w:t>
      </w:r>
      <w:r>
        <w:t xml:space="preserve">) as made by the </w:t>
      </w:r>
      <w:r w:rsidR="005260AE">
        <w:t xml:space="preserve">Executive. </w:t>
      </w:r>
      <w:r w:rsidRPr="00530761">
        <w:t>It has been prepared to assist the reader of the regulation and to help inform debate on it. It does not form part of the regulation and has not been endorsed by the Legislative Assembly.</w:t>
      </w:r>
    </w:p>
    <w:p w14:paraId="101218C8" w14:textId="77777777" w:rsidR="00DA0F68" w:rsidRDefault="00DA0F68" w:rsidP="00614DCB"/>
    <w:p w14:paraId="1F7107C0" w14:textId="6A30A5C3" w:rsidR="00530761" w:rsidRDefault="002E115C" w:rsidP="00614DCB">
      <w:pPr>
        <w:rPr>
          <w:sz w:val="22"/>
        </w:rPr>
      </w:pPr>
      <w:r>
        <w:rPr>
          <w:rStyle w:val="ui-provider"/>
        </w:rPr>
        <w:t>Th</w:t>
      </w:r>
      <w:r w:rsidR="007A025B">
        <w:rPr>
          <w:rStyle w:val="ui-provider"/>
        </w:rPr>
        <w:t>is</w:t>
      </w:r>
      <w:r>
        <w:rPr>
          <w:rStyle w:val="ui-provider"/>
        </w:rPr>
        <w:t xml:space="preserve"> </w:t>
      </w:r>
      <w:r w:rsidR="00DA0F68">
        <w:rPr>
          <w:rStyle w:val="ui-provider"/>
        </w:rPr>
        <w:t>s</w:t>
      </w:r>
      <w:r>
        <w:rPr>
          <w:rStyle w:val="ui-provider"/>
        </w:rPr>
        <w:t>tatement must be read in conjunction with the regulation. It is not, and is not meant to be, a comprehensive description of the regulation. What is said about a provision is not to be taken as an authoritative guide to the meaning of a provision, this being a task for the courts.</w:t>
      </w:r>
    </w:p>
    <w:p w14:paraId="5BECBF01" w14:textId="77777777" w:rsidR="00530761" w:rsidRDefault="00530761" w:rsidP="00614DCB"/>
    <w:p w14:paraId="799A0586" w14:textId="77777777" w:rsidR="000832A1" w:rsidRDefault="000832A1" w:rsidP="00614DCB">
      <w:pPr>
        <w:rPr>
          <w:b/>
        </w:rPr>
      </w:pPr>
      <w:r>
        <w:rPr>
          <w:b/>
        </w:rPr>
        <w:t>Overview</w:t>
      </w:r>
    </w:p>
    <w:p w14:paraId="24D2CF1B" w14:textId="77777777" w:rsidR="00D13FFE" w:rsidRDefault="00D13FFE" w:rsidP="00614DCB">
      <w:pPr>
        <w:rPr>
          <w:b/>
        </w:rPr>
      </w:pPr>
    </w:p>
    <w:p w14:paraId="39C48B30" w14:textId="61760B34" w:rsidR="00111AC7" w:rsidRDefault="00D13FFE" w:rsidP="00614DCB">
      <w:pPr>
        <w:rPr>
          <w:color w:val="000000"/>
          <w:szCs w:val="24"/>
        </w:rPr>
      </w:pPr>
      <w:r w:rsidRPr="007A025B">
        <w:t xml:space="preserve">The </w:t>
      </w:r>
      <w:r w:rsidR="007A025B" w:rsidRPr="00620F86">
        <w:rPr>
          <w:iCs/>
        </w:rPr>
        <w:t>regulation</w:t>
      </w:r>
      <w:r w:rsidRPr="0078775E">
        <w:rPr>
          <w:iCs/>
        </w:rPr>
        <w:t xml:space="preserve"> </w:t>
      </w:r>
      <w:r w:rsidRPr="007A025B">
        <w:t xml:space="preserve">amends </w:t>
      </w:r>
      <w:r w:rsidRPr="006B73D4">
        <w:t xml:space="preserve">the </w:t>
      </w:r>
      <w:r w:rsidR="00923774" w:rsidRPr="006B73D4">
        <w:rPr>
          <w:i/>
        </w:rPr>
        <w:t xml:space="preserve">Building (General) Regulation 2008, Construction Occupations (Licensing) Regulation 2004, </w:t>
      </w:r>
      <w:r w:rsidR="00A137E8" w:rsidRPr="00891E94">
        <w:rPr>
          <w:iCs/>
        </w:rPr>
        <w:t xml:space="preserve">and </w:t>
      </w:r>
      <w:r w:rsidR="00923774" w:rsidRPr="006B73D4">
        <w:rPr>
          <w:i/>
        </w:rPr>
        <w:t xml:space="preserve">Gas Safety Regulation 2001 </w:t>
      </w:r>
      <w:r w:rsidR="0078775E" w:rsidRPr="00620F86">
        <w:rPr>
          <w:iCs/>
        </w:rPr>
        <w:t>(</w:t>
      </w:r>
      <w:r w:rsidR="0078775E" w:rsidRPr="00765265">
        <w:rPr>
          <w:iCs/>
        </w:rPr>
        <w:t>amended regulations</w:t>
      </w:r>
      <w:r w:rsidR="0078775E" w:rsidRPr="00620F86">
        <w:rPr>
          <w:iCs/>
        </w:rPr>
        <w:t>)</w:t>
      </w:r>
      <w:r w:rsidR="00A06228" w:rsidRPr="007A025B">
        <w:rPr>
          <w:i/>
        </w:rPr>
        <w:t>.</w:t>
      </w:r>
    </w:p>
    <w:p w14:paraId="09A39E08" w14:textId="77777777" w:rsidR="00111AC7" w:rsidRDefault="00111AC7" w:rsidP="00614DCB">
      <w:pPr>
        <w:rPr>
          <w:color w:val="000000"/>
          <w:szCs w:val="24"/>
        </w:rPr>
      </w:pPr>
    </w:p>
    <w:p w14:paraId="7A0BE421" w14:textId="21706758" w:rsidR="00C83810" w:rsidRDefault="00111AC7" w:rsidP="00614DCB">
      <w:pPr>
        <w:rPr>
          <w:color w:val="000000"/>
          <w:szCs w:val="24"/>
        </w:rPr>
      </w:pPr>
      <w:r>
        <w:rPr>
          <w:color w:val="000000"/>
          <w:szCs w:val="24"/>
        </w:rPr>
        <w:t>The regulation</w:t>
      </w:r>
      <w:r w:rsidR="00C83810">
        <w:rPr>
          <w:color w:val="000000"/>
          <w:szCs w:val="24"/>
        </w:rPr>
        <w:t xml:space="preserve"> </w:t>
      </w:r>
      <w:r w:rsidR="006B73D4" w:rsidRPr="00EA0D9E">
        <w:rPr>
          <w:color w:val="000000"/>
          <w:szCs w:val="24"/>
        </w:rPr>
        <w:t>seeks</w:t>
      </w:r>
      <w:r w:rsidR="00EA0D9E" w:rsidRPr="00EA0D9E">
        <w:rPr>
          <w:color w:val="000000"/>
          <w:szCs w:val="24"/>
        </w:rPr>
        <w:t xml:space="preserve"> to maintain a current, clear, and effective regulatory environment that supports safety, compliance, and administrative efficiency within the building, construction, and gas sectors in the AC</w:t>
      </w:r>
      <w:r w:rsidR="00EA0D9E">
        <w:rPr>
          <w:color w:val="000000"/>
          <w:szCs w:val="24"/>
        </w:rPr>
        <w:t>T</w:t>
      </w:r>
      <w:r w:rsidR="00C83810" w:rsidRPr="00C83810">
        <w:rPr>
          <w:color w:val="000000"/>
          <w:szCs w:val="24"/>
        </w:rPr>
        <w:t>. This is in part achieved by updating references to specific sections or parts of the Building Code of Australia</w:t>
      </w:r>
      <w:r w:rsidR="00DA0F68">
        <w:rPr>
          <w:color w:val="000000"/>
          <w:szCs w:val="24"/>
        </w:rPr>
        <w:t xml:space="preserve"> (</w:t>
      </w:r>
      <w:r w:rsidR="00DA0F68" w:rsidRPr="00765265">
        <w:rPr>
          <w:color w:val="000000"/>
          <w:szCs w:val="24"/>
        </w:rPr>
        <w:t>BCA</w:t>
      </w:r>
      <w:r w:rsidR="00DA0F68">
        <w:rPr>
          <w:color w:val="000000"/>
          <w:szCs w:val="24"/>
        </w:rPr>
        <w:t>)</w:t>
      </w:r>
      <w:r w:rsidR="00C83810" w:rsidRPr="00C83810">
        <w:rPr>
          <w:color w:val="000000"/>
          <w:szCs w:val="24"/>
        </w:rPr>
        <w:t xml:space="preserve">. Most of these amendments are minor and technical amendments to update references to </w:t>
      </w:r>
      <w:r w:rsidR="00475B3C">
        <w:rPr>
          <w:color w:val="000000"/>
          <w:szCs w:val="24"/>
        </w:rPr>
        <w:t xml:space="preserve">outdated </w:t>
      </w:r>
      <w:r w:rsidR="00C83810" w:rsidRPr="00C83810">
        <w:rPr>
          <w:color w:val="000000"/>
          <w:szCs w:val="24"/>
        </w:rPr>
        <w:t xml:space="preserve">provisions of the </w:t>
      </w:r>
      <w:r w:rsidR="00DA0F68" w:rsidRPr="00A06228">
        <w:rPr>
          <w:color w:val="000000"/>
          <w:szCs w:val="24"/>
        </w:rPr>
        <w:t xml:space="preserve">National Construction Code </w:t>
      </w:r>
      <w:r w:rsidR="00DA0F68">
        <w:rPr>
          <w:color w:val="000000"/>
          <w:szCs w:val="24"/>
        </w:rPr>
        <w:t>(</w:t>
      </w:r>
      <w:r w:rsidR="00C83810" w:rsidRPr="00765265">
        <w:rPr>
          <w:color w:val="000000"/>
          <w:szCs w:val="24"/>
        </w:rPr>
        <w:t>NCC</w:t>
      </w:r>
      <w:r w:rsidR="00DA0F68">
        <w:rPr>
          <w:color w:val="000000"/>
          <w:szCs w:val="24"/>
        </w:rPr>
        <w:t>)</w:t>
      </w:r>
      <w:r w:rsidR="00C83810">
        <w:rPr>
          <w:color w:val="000000"/>
          <w:szCs w:val="24"/>
        </w:rPr>
        <w:t>.</w:t>
      </w:r>
    </w:p>
    <w:p w14:paraId="6945430E" w14:textId="77777777" w:rsidR="006B73D4" w:rsidRDefault="006B73D4" w:rsidP="00614DCB">
      <w:pPr>
        <w:rPr>
          <w:color w:val="000000"/>
          <w:szCs w:val="24"/>
        </w:rPr>
      </w:pPr>
    </w:p>
    <w:p w14:paraId="6F45F08D" w14:textId="4AE746DB" w:rsidR="006B73D4" w:rsidRPr="006B73D4" w:rsidRDefault="006B73D4" w:rsidP="006B73D4">
      <w:pPr>
        <w:spacing w:after="240"/>
        <w:rPr>
          <w:iCs/>
        </w:rPr>
      </w:pPr>
      <w:r w:rsidRPr="006B73D4">
        <w:rPr>
          <w:iCs/>
        </w:rPr>
        <w:t xml:space="preserve">The primary purpose of this regulation is to revoke uncommenced provisions of the </w:t>
      </w:r>
      <w:r w:rsidRPr="006B73D4">
        <w:rPr>
          <w:i/>
        </w:rPr>
        <w:t>Building (General) Amendment Regulation 2024 (No 2)</w:t>
      </w:r>
      <w:r w:rsidRPr="006B73D4">
        <w:rPr>
          <w:iCs/>
        </w:rPr>
        <w:t>, which was notified on 9</w:t>
      </w:r>
      <w:r w:rsidR="00111AC7">
        <w:rPr>
          <w:iCs/>
        </w:rPr>
        <w:t> </w:t>
      </w:r>
      <w:r w:rsidRPr="006B73D4">
        <w:rPr>
          <w:iCs/>
        </w:rPr>
        <w:t>September 2024</w:t>
      </w:r>
      <w:r w:rsidR="00111AC7">
        <w:rPr>
          <w:iCs/>
        </w:rPr>
        <w:t>,</w:t>
      </w:r>
      <w:r w:rsidRPr="006B73D4">
        <w:rPr>
          <w:iCs/>
        </w:rPr>
        <w:t xml:space="preserve"> and scheduled to commence on 1 July 2025. As the</w:t>
      </w:r>
      <w:r w:rsidR="00475B3C">
        <w:rPr>
          <w:iCs/>
        </w:rPr>
        <w:t xml:space="preserve"> </w:t>
      </w:r>
      <w:r w:rsidR="00475B3C">
        <w:t>strengthening certification</w:t>
      </w:r>
      <w:r w:rsidRPr="006B73D4">
        <w:rPr>
          <w:iCs/>
        </w:rPr>
        <w:t xml:space="preserve"> initiative is no longer proceeding, it is appropriate to </w:t>
      </w:r>
      <w:r w:rsidR="00BA640D" w:rsidRPr="006B73D4">
        <w:rPr>
          <w:iCs/>
        </w:rPr>
        <w:t>re</w:t>
      </w:r>
      <w:r w:rsidR="00BA640D">
        <w:rPr>
          <w:iCs/>
        </w:rPr>
        <w:t>voke</w:t>
      </w:r>
      <w:r w:rsidR="00BA640D" w:rsidRPr="006B73D4">
        <w:rPr>
          <w:iCs/>
        </w:rPr>
        <w:t xml:space="preserve"> </w:t>
      </w:r>
      <w:r w:rsidRPr="006B73D4">
        <w:rPr>
          <w:iCs/>
        </w:rPr>
        <w:t xml:space="preserve">these provisions prior to their commencement to prevent any confusion within the </w:t>
      </w:r>
      <w:r w:rsidR="00A137E8">
        <w:rPr>
          <w:iCs/>
        </w:rPr>
        <w:t xml:space="preserve">building and construction </w:t>
      </w:r>
      <w:r w:rsidRPr="006B73D4">
        <w:rPr>
          <w:iCs/>
        </w:rPr>
        <w:t>industry.</w:t>
      </w:r>
    </w:p>
    <w:p w14:paraId="2BA693B5" w14:textId="307D49D1" w:rsidR="00541A14" w:rsidRPr="0006413A" w:rsidRDefault="007B15ED" w:rsidP="006B73D4">
      <w:pPr>
        <w:spacing w:after="240"/>
        <w:rPr>
          <w:iCs/>
        </w:rPr>
      </w:pPr>
      <w:r w:rsidRPr="00EC1DD8">
        <w:rPr>
          <w:color w:val="000000"/>
          <w:szCs w:val="24"/>
        </w:rPr>
        <w:lastRenderedPageBreak/>
        <w:t xml:space="preserve">This </w:t>
      </w:r>
      <w:r w:rsidR="000E314C">
        <w:rPr>
          <w:color w:val="000000"/>
          <w:szCs w:val="24"/>
        </w:rPr>
        <w:t>regulation</w:t>
      </w:r>
      <w:r w:rsidR="000E314C" w:rsidRPr="00EC1DD8">
        <w:rPr>
          <w:color w:val="000000"/>
          <w:szCs w:val="24"/>
        </w:rPr>
        <w:t xml:space="preserve"> </w:t>
      </w:r>
      <w:r w:rsidRPr="0006413A">
        <w:rPr>
          <w:iCs/>
        </w:rPr>
        <w:t xml:space="preserve">will also address several minor and technical amendments identified by the </w:t>
      </w:r>
      <w:r w:rsidR="00475B3C" w:rsidRPr="0006413A">
        <w:rPr>
          <w:iCs/>
        </w:rPr>
        <w:t xml:space="preserve">Environment, Planning and Sustainable Development Directorate </w:t>
      </w:r>
      <w:r w:rsidR="000E314C" w:rsidRPr="0006413A">
        <w:rPr>
          <w:iCs/>
        </w:rPr>
        <w:t xml:space="preserve">(Directorate) </w:t>
      </w:r>
      <w:r w:rsidR="00475B3C" w:rsidRPr="0006413A">
        <w:rPr>
          <w:iCs/>
        </w:rPr>
        <w:t>or</w:t>
      </w:r>
      <w:r w:rsidRPr="0006413A">
        <w:rPr>
          <w:iCs/>
        </w:rPr>
        <w:t xml:space="preserve"> sought by </w:t>
      </w:r>
      <w:r w:rsidR="00EC1DD8" w:rsidRPr="0006413A">
        <w:rPr>
          <w:iCs/>
        </w:rPr>
        <w:t>Access Canberra, as the building and construction industry regulator.</w:t>
      </w:r>
    </w:p>
    <w:p w14:paraId="1F964CB3" w14:textId="77777777" w:rsidR="0006413A" w:rsidRPr="0006413A" w:rsidRDefault="0006413A" w:rsidP="0006413A">
      <w:pPr>
        <w:spacing w:after="240"/>
        <w:rPr>
          <w:iCs/>
        </w:rPr>
      </w:pPr>
      <w:r w:rsidRPr="0006413A">
        <w:rPr>
          <w:iCs/>
        </w:rPr>
        <w:t xml:space="preserve">To support implementation of the new property developers licensing and regulation scheme, a new section (37A) to refer to people excluded under the </w:t>
      </w:r>
      <w:r w:rsidRPr="0006413A">
        <w:rPr>
          <w:i/>
          <w:iCs/>
        </w:rPr>
        <w:t>Property Developers Act 2024</w:t>
      </w:r>
      <w:r w:rsidRPr="0006413A">
        <w:t xml:space="preserve"> </w:t>
      </w:r>
      <w:r w:rsidRPr="0006413A">
        <w:rPr>
          <w:iCs/>
        </w:rPr>
        <w:t xml:space="preserve">will be inserted in the </w:t>
      </w:r>
      <w:r w:rsidRPr="0006413A">
        <w:t>Building (General) Regulation 2008</w:t>
      </w:r>
      <w:r w:rsidRPr="0006413A">
        <w:rPr>
          <w:iCs/>
        </w:rPr>
        <w:t>.</w:t>
      </w:r>
    </w:p>
    <w:p w14:paraId="68C66ED2" w14:textId="598039C6" w:rsidR="0006413A" w:rsidRPr="0006413A" w:rsidRDefault="0006413A" w:rsidP="0006413A">
      <w:pPr>
        <w:spacing w:after="240"/>
        <w:rPr>
          <w:iCs/>
        </w:rPr>
      </w:pPr>
      <w:r w:rsidRPr="0006413A">
        <w:rPr>
          <w:iCs/>
        </w:rPr>
        <w:t xml:space="preserve">This regulation does not make any policy change and simply provides a reference back to the policy position established in </w:t>
      </w:r>
      <w:r>
        <w:rPr>
          <w:iCs/>
        </w:rPr>
        <w:t>section 46(2) of the</w:t>
      </w:r>
      <w:r w:rsidRPr="0006413A">
        <w:rPr>
          <w:iCs/>
        </w:rPr>
        <w:t xml:space="preserve"> Property Developers Act</w:t>
      </w:r>
      <w:r>
        <w:rPr>
          <w:iCs/>
        </w:rPr>
        <w:t xml:space="preserve">. </w:t>
      </w:r>
      <w:r w:rsidRPr="0006413A">
        <w:rPr>
          <w:iCs/>
        </w:rPr>
        <w:t xml:space="preserve">It makes sure that the definition of </w:t>
      </w:r>
      <w:r w:rsidRPr="0006413A">
        <w:rPr>
          <w:i/>
          <w:iCs/>
        </w:rPr>
        <w:t>property developer</w:t>
      </w:r>
      <w:r w:rsidRPr="0006413A">
        <w:rPr>
          <w:iCs/>
        </w:rPr>
        <w:t xml:space="preserve"> in the </w:t>
      </w:r>
      <w:r w:rsidRPr="0006413A">
        <w:rPr>
          <w:i/>
        </w:rPr>
        <w:t>Building Act 2004</w:t>
      </w:r>
      <w:r w:rsidRPr="0006413A">
        <w:rPr>
          <w:iCs/>
        </w:rPr>
        <w:t xml:space="preserve"> has the same meaning as the definition in the </w:t>
      </w:r>
      <w:r>
        <w:rPr>
          <w:iCs/>
        </w:rPr>
        <w:t xml:space="preserve">Property Developers </w:t>
      </w:r>
      <w:r w:rsidRPr="0006413A">
        <w:rPr>
          <w:iCs/>
        </w:rPr>
        <w:t>Act.</w:t>
      </w:r>
    </w:p>
    <w:p w14:paraId="42F27B10" w14:textId="5FD72A4F" w:rsidR="00E82762" w:rsidRDefault="00E82762" w:rsidP="00614DCB">
      <w:pPr>
        <w:rPr>
          <w:b/>
        </w:rPr>
      </w:pPr>
      <w:r>
        <w:rPr>
          <w:b/>
        </w:rPr>
        <w:t xml:space="preserve">Regulatory Impact </w:t>
      </w:r>
      <w:r w:rsidR="004B7DFC">
        <w:rPr>
          <w:b/>
        </w:rPr>
        <w:t>Statement</w:t>
      </w:r>
    </w:p>
    <w:p w14:paraId="6B67E38F" w14:textId="77777777" w:rsidR="00E82762" w:rsidRDefault="00E82762" w:rsidP="00614DCB">
      <w:pPr>
        <w:rPr>
          <w:b/>
        </w:rPr>
      </w:pPr>
    </w:p>
    <w:p w14:paraId="0B91E17C" w14:textId="1CB0B1FF" w:rsidR="00E82762" w:rsidRDefault="00E82762" w:rsidP="00614DCB">
      <w:r>
        <w:t xml:space="preserve">A regulatory impact statement is not required </w:t>
      </w:r>
      <w:r w:rsidR="00DA0F68">
        <w:t xml:space="preserve">as the </w:t>
      </w:r>
      <w:r>
        <w:t>regulation does not impose any appreciable costs on the community, or part of a community</w:t>
      </w:r>
      <w:r w:rsidR="004B7DFC">
        <w:t xml:space="preserve"> under section 34(1) of the </w:t>
      </w:r>
      <w:r w:rsidR="004B7DFC" w:rsidRPr="00620F86">
        <w:rPr>
          <w:i/>
          <w:iCs/>
        </w:rPr>
        <w:t>Legislation Act 2001</w:t>
      </w:r>
      <w:r>
        <w:t>.</w:t>
      </w:r>
      <w:r w:rsidR="00182962">
        <w:t xml:space="preserve"> </w:t>
      </w:r>
    </w:p>
    <w:p w14:paraId="76840153" w14:textId="77777777" w:rsidR="00E82762" w:rsidRDefault="00E82762" w:rsidP="00614DCB"/>
    <w:p w14:paraId="67D83B9A" w14:textId="77777777" w:rsidR="00E82762" w:rsidRDefault="00E82762" w:rsidP="00614DCB">
      <w:r>
        <w:rPr>
          <w:b/>
        </w:rPr>
        <w:t>Offences and Penalties</w:t>
      </w:r>
    </w:p>
    <w:p w14:paraId="6D73725C" w14:textId="77777777" w:rsidR="00E82762" w:rsidRDefault="00E82762" w:rsidP="00614DCB"/>
    <w:p w14:paraId="00F73773" w14:textId="77777777" w:rsidR="00E82762" w:rsidRDefault="00E82762" w:rsidP="00614DCB">
      <w:r>
        <w:t>The regulation does not introduce any new offences or penalties.</w:t>
      </w:r>
    </w:p>
    <w:p w14:paraId="2716EC5A" w14:textId="77777777" w:rsidR="00E82762" w:rsidRDefault="00E82762" w:rsidP="00614DCB"/>
    <w:p w14:paraId="35760DAB" w14:textId="64CF71DB" w:rsidR="00E82762" w:rsidRDefault="004B7DFC" w:rsidP="00614DCB">
      <w:pPr>
        <w:rPr>
          <w:b/>
        </w:rPr>
      </w:pPr>
      <w:r>
        <w:rPr>
          <w:b/>
        </w:rPr>
        <w:t xml:space="preserve">Consistency with </w:t>
      </w:r>
      <w:r w:rsidR="00E82762">
        <w:rPr>
          <w:b/>
        </w:rPr>
        <w:t>Human Rights</w:t>
      </w:r>
    </w:p>
    <w:p w14:paraId="0CF7175A" w14:textId="77777777" w:rsidR="00E82762" w:rsidRDefault="00E82762" w:rsidP="00614DCB">
      <w:pPr>
        <w:rPr>
          <w:b/>
        </w:rPr>
      </w:pPr>
    </w:p>
    <w:p w14:paraId="043400DF" w14:textId="3CCF1E8D" w:rsidR="00DE417B" w:rsidRDefault="00E82762" w:rsidP="00614DCB">
      <w:pPr>
        <w:autoSpaceDE w:val="0"/>
        <w:autoSpaceDN w:val="0"/>
        <w:adjustRightInd w:val="0"/>
        <w:rPr>
          <w:rFonts w:ascii="TimesNewRomanPSMT" w:hAnsi="TimesNewRomanPSMT" w:cs="TimesNewRomanPSMT"/>
          <w:szCs w:val="24"/>
          <w:lang w:eastAsia="en-AU"/>
        </w:rPr>
      </w:pPr>
      <w:r>
        <w:rPr>
          <w:rFonts w:ascii="TimesNewRomanPSMT" w:hAnsi="TimesNewRomanPSMT" w:cs="TimesNewRomanPSMT"/>
          <w:szCs w:val="24"/>
          <w:lang w:eastAsia="en-AU"/>
        </w:rPr>
        <w:t xml:space="preserve">The Standing Committee on </w:t>
      </w:r>
      <w:r w:rsidR="00DE417B">
        <w:rPr>
          <w:rFonts w:ascii="TimesNewRomanPSMT" w:hAnsi="TimesNewRomanPSMT" w:cs="TimesNewRomanPSMT"/>
          <w:szCs w:val="24"/>
          <w:lang w:eastAsia="en-AU"/>
        </w:rPr>
        <w:t>Legal Affairs</w:t>
      </w:r>
      <w:r>
        <w:rPr>
          <w:rFonts w:ascii="TimesNewRomanPSMT" w:hAnsi="TimesNewRomanPSMT" w:cs="TimesNewRomanPSMT"/>
          <w:szCs w:val="24"/>
          <w:lang w:eastAsia="en-AU"/>
        </w:rPr>
        <w:t xml:space="preserve"> (Legislative Scrutiny</w:t>
      </w:r>
      <w:r w:rsidR="00DE417B">
        <w:rPr>
          <w:rFonts w:ascii="TimesNewRomanPSMT" w:hAnsi="TimesNewRomanPSMT" w:cs="TimesNewRomanPSMT"/>
          <w:szCs w:val="24"/>
          <w:lang w:eastAsia="en-AU"/>
        </w:rPr>
        <w:t xml:space="preserve"> </w:t>
      </w:r>
      <w:r>
        <w:rPr>
          <w:rFonts w:ascii="TimesNewRomanPSMT" w:hAnsi="TimesNewRomanPSMT" w:cs="TimesNewRomanPSMT"/>
          <w:szCs w:val="24"/>
          <w:lang w:eastAsia="en-AU"/>
        </w:rPr>
        <w:t>Role) terms of reference require consideration of human rights impacts</w:t>
      </w:r>
      <w:r w:rsidR="00620F86">
        <w:rPr>
          <w:rFonts w:ascii="TimesNewRomanPSMT" w:hAnsi="TimesNewRomanPSMT" w:cs="TimesNewRomanPSMT"/>
          <w:szCs w:val="24"/>
          <w:lang w:eastAsia="en-AU"/>
        </w:rPr>
        <w:t xml:space="preserve"> of subordinate legislation</w:t>
      </w:r>
      <w:r>
        <w:rPr>
          <w:rFonts w:ascii="TimesNewRomanPSMT" w:hAnsi="TimesNewRomanPSMT" w:cs="TimesNewRomanPSMT"/>
          <w:szCs w:val="24"/>
          <w:lang w:eastAsia="en-AU"/>
        </w:rPr>
        <w:t>, among other</w:t>
      </w:r>
      <w:r w:rsidR="007B15ED">
        <w:rPr>
          <w:rFonts w:ascii="TimesNewRomanPSMT" w:hAnsi="TimesNewRomanPSMT" w:cs="TimesNewRomanPSMT"/>
          <w:szCs w:val="24"/>
          <w:lang w:eastAsia="en-AU"/>
        </w:rPr>
        <w:t xml:space="preserve"> </w:t>
      </w:r>
      <w:r>
        <w:rPr>
          <w:rFonts w:ascii="TimesNewRomanPSMT" w:hAnsi="TimesNewRomanPSMT" w:cs="TimesNewRomanPSMT"/>
          <w:szCs w:val="24"/>
          <w:lang w:eastAsia="en-AU"/>
        </w:rPr>
        <w:t>matters.</w:t>
      </w:r>
    </w:p>
    <w:p w14:paraId="0C3526C5" w14:textId="77777777" w:rsidR="00DE417B" w:rsidRDefault="00DE417B" w:rsidP="00614DCB">
      <w:pPr>
        <w:autoSpaceDE w:val="0"/>
        <w:autoSpaceDN w:val="0"/>
        <w:adjustRightInd w:val="0"/>
        <w:rPr>
          <w:rFonts w:ascii="TimesNewRomanPSMT" w:hAnsi="TimesNewRomanPSMT" w:cs="TimesNewRomanPSMT"/>
          <w:szCs w:val="24"/>
          <w:lang w:eastAsia="en-AU"/>
        </w:rPr>
      </w:pPr>
    </w:p>
    <w:p w14:paraId="775D2CB4" w14:textId="07A19BBB" w:rsidR="00E82762" w:rsidRPr="00270B44" w:rsidRDefault="00E82762" w:rsidP="00614DCB">
      <w:pPr>
        <w:autoSpaceDE w:val="0"/>
        <w:autoSpaceDN w:val="0"/>
        <w:adjustRightInd w:val="0"/>
        <w:rPr>
          <w:rFonts w:ascii="TimesNewRomanPSMT" w:hAnsi="TimesNewRomanPSMT" w:cs="TimesNewRomanPSMT"/>
          <w:color w:val="8064A2" w:themeColor="accent4"/>
          <w:szCs w:val="24"/>
          <w:lang w:eastAsia="en-AU"/>
        </w:rPr>
      </w:pPr>
      <w:r w:rsidRPr="00EA0D9E">
        <w:rPr>
          <w:rFonts w:ascii="TimesNewRomanPSMT" w:hAnsi="TimesNewRomanPSMT" w:cs="TimesNewRomanPSMT"/>
          <w:szCs w:val="24"/>
          <w:lang w:eastAsia="en-AU"/>
        </w:rPr>
        <w:t xml:space="preserve">There are no human rights impacts related to this </w:t>
      </w:r>
      <w:r w:rsidR="00182962" w:rsidRPr="00EA0D9E">
        <w:rPr>
          <w:rFonts w:ascii="TimesNewRomanPSMT" w:hAnsi="TimesNewRomanPSMT" w:cs="TimesNewRomanPSMT"/>
          <w:szCs w:val="24"/>
          <w:lang w:eastAsia="en-AU"/>
        </w:rPr>
        <w:t>regulatio</w:t>
      </w:r>
      <w:r w:rsidR="001E6DCC" w:rsidRPr="00EA0D9E">
        <w:rPr>
          <w:rFonts w:ascii="TimesNewRomanPSMT" w:hAnsi="TimesNewRomanPSMT" w:cs="TimesNewRomanPSMT"/>
          <w:szCs w:val="24"/>
          <w:lang w:eastAsia="en-AU"/>
        </w:rPr>
        <w:t>n</w:t>
      </w:r>
      <w:r w:rsidRPr="00EA0D9E">
        <w:rPr>
          <w:rFonts w:ascii="TimesNewRomanPSMT" w:hAnsi="TimesNewRomanPSMT" w:cs="TimesNewRomanPSMT"/>
          <w:szCs w:val="24"/>
          <w:lang w:eastAsia="en-AU"/>
        </w:rPr>
        <w:t>.</w:t>
      </w:r>
      <w:r w:rsidR="00182962" w:rsidRPr="00EA0D9E">
        <w:rPr>
          <w:rFonts w:ascii="TimesNewRomanPSMT" w:hAnsi="TimesNewRomanPSMT" w:cs="TimesNewRomanPSMT"/>
          <w:szCs w:val="24"/>
          <w:lang w:eastAsia="en-AU"/>
        </w:rPr>
        <w:t xml:space="preserve"> </w:t>
      </w:r>
      <w:r w:rsidR="00917210" w:rsidRPr="00EA0D9E">
        <w:rPr>
          <w:rFonts w:ascii="TimesNewRomanPSMT" w:hAnsi="TimesNewRomanPSMT" w:cs="TimesNewRomanPSMT"/>
          <w:szCs w:val="24"/>
          <w:lang w:eastAsia="en-AU"/>
        </w:rPr>
        <w:t xml:space="preserve">The regulation does not engage with human rights under the </w:t>
      </w:r>
      <w:r w:rsidR="00917210" w:rsidRPr="00EA0D9E">
        <w:rPr>
          <w:rFonts w:ascii="TimesNewRomanPSMT" w:hAnsi="TimesNewRomanPSMT" w:cs="TimesNewRomanPSMT"/>
          <w:i/>
          <w:iCs/>
          <w:szCs w:val="24"/>
          <w:lang w:eastAsia="en-AU"/>
        </w:rPr>
        <w:t>Human Rights Act 2004</w:t>
      </w:r>
      <w:r w:rsidR="00917210" w:rsidRPr="00EA0D9E">
        <w:rPr>
          <w:rFonts w:ascii="TimesNewRomanPSMT" w:hAnsi="TimesNewRomanPSMT" w:cs="TimesNewRomanPSMT"/>
          <w:szCs w:val="24"/>
          <w:lang w:eastAsia="en-AU"/>
        </w:rPr>
        <w:t>.</w:t>
      </w:r>
    </w:p>
    <w:p w14:paraId="780FF3DF" w14:textId="77777777" w:rsidR="005241AA" w:rsidRDefault="005241AA" w:rsidP="00614DCB">
      <w:pPr>
        <w:autoSpaceDE w:val="0"/>
        <w:autoSpaceDN w:val="0"/>
        <w:adjustRightInd w:val="0"/>
        <w:rPr>
          <w:rFonts w:ascii="TimesNewRomanPSMT" w:hAnsi="TimesNewRomanPSMT" w:cs="TimesNewRomanPSMT"/>
          <w:szCs w:val="24"/>
          <w:highlight w:val="yellow"/>
          <w:lang w:eastAsia="en-AU"/>
        </w:rPr>
      </w:pPr>
    </w:p>
    <w:p w14:paraId="170BA2DB" w14:textId="0A74D3C6" w:rsidR="006561C4" w:rsidRDefault="00475B3C" w:rsidP="00614DCB">
      <w:pPr>
        <w:autoSpaceDE w:val="0"/>
        <w:autoSpaceDN w:val="0"/>
        <w:adjustRightInd w:val="0"/>
        <w:rPr>
          <w:rFonts w:ascii="TimesNewRomanPS-BoldMT" w:hAnsi="TimesNewRomanPS-BoldMT" w:cs="TimesNewRomanPS-BoldMT"/>
          <w:b/>
          <w:bCs/>
          <w:szCs w:val="24"/>
          <w:lang w:eastAsia="en-AU"/>
        </w:rPr>
      </w:pPr>
      <w:r w:rsidRPr="00FF7139">
        <w:rPr>
          <w:rFonts w:ascii="TimesNewRomanPS-BoldMT" w:hAnsi="TimesNewRomanPS-BoldMT" w:cs="TimesNewRomanPS-BoldMT"/>
          <w:b/>
          <w:bCs/>
          <w:szCs w:val="24"/>
          <w:lang w:eastAsia="en-AU"/>
        </w:rPr>
        <w:t>Consultation</w:t>
      </w:r>
    </w:p>
    <w:p w14:paraId="6812EDCA" w14:textId="6141201E" w:rsidR="00475B3C" w:rsidRPr="00FF7139" w:rsidRDefault="00475B3C" w:rsidP="00614DCB">
      <w:pPr>
        <w:autoSpaceDE w:val="0"/>
        <w:autoSpaceDN w:val="0"/>
        <w:adjustRightInd w:val="0"/>
        <w:rPr>
          <w:rFonts w:ascii="TimesNewRomanPSMT" w:hAnsi="TimesNewRomanPSMT" w:cs="TimesNewRomanPSMT"/>
          <w:szCs w:val="24"/>
          <w:lang w:eastAsia="en-AU"/>
        </w:rPr>
      </w:pPr>
      <w:r w:rsidRPr="00FF7139">
        <w:rPr>
          <w:rFonts w:ascii="TimesNewRomanPSMT" w:hAnsi="TimesNewRomanPSMT" w:cs="TimesNewRomanPSMT"/>
          <w:szCs w:val="24"/>
          <w:lang w:eastAsia="en-AU"/>
        </w:rPr>
        <w:t xml:space="preserve">The </w:t>
      </w:r>
      <w:r w:rsidR="008648A5">
        <w:rPr>
          <w:rFonts w:ascii="TimesNewRomanPSMT" w:hAnsi="TimesNewRomanPSMT" w:cs="TimesNewRomanPSMT"/>
          <w:szCs w:val="24"/>
          <w:lang w:eastAsia="en-AU"/>
        </w:rPr>
        <w:t>Directorate</w:t>
      </w:r>
      <w:r w:rsidR="008648A5" w:rsidRPr="00FF7139">
        <w:rPr>
          <w:rFonts w:ascii="TimesNewRomanPSMT" w:hAnsi="TimesNewRomanPSMT" w:cs="TimesNewRomanPSMT"/>
          <w:szCs w:val="24"/>
          <w:lang w:eastAsia="en-AU"/>
        </w:rPr>
        <w:t xml:space="preserve"> </w:t>
      </w:r>
      <w:r w:rsidRPr="00FF7139">
        <w:rPr>
          <w:rFonts w:ascii="TimesNewRomanPSMT" w:hAnsi="TimesNewRomanPSMT" w:cs="TimesNewRomanPSMT"/>
          <w:szCs w:val="24"/>
          <w:lang w:eastAsia="en-AU"/>
        </w:rPr>
        <w:t xml:space="preserve">has engaged with key regulatory and industry groups to discuss the new policy direction. These stakeholders generally support the shift in focus and have expressed their commitment to ongoing collaboration throughout all phases of the </w:t>
      </w:r>
      <w:r>
        <w:rPr>
          <w:rFonts w:ascii="TimesNewRomanPSMT" w:hAnsi="TimesNewRomanPSMT" w:cs="TimesNewRomanPSMT"/>
          <w:szCs w:val="24"/>
          <w:lang w:eastAsia="en-AU"/>
        </w:rPr>
        <w:t>government commitment</w:t>
      </w:r>
      <w:r w:rsidRPr="00FF7139">
        <w:rPr>
          <w:rFonts w:ascii="TimesNewRomanPSMT" w:hAnsi="TimesNewRomanPSMT" w:cs="TimesNewRomanPSMT"/>
          <w:szCs w:val="24"/>
          <w:lang w:eastAsia="en-AU"/>
        </w:rPr>
        <w:t xml:space="preserve">. The </w:t>
      </w:r>
      <w:r w:rsidR="008648A5">
        <w:rPr>
          <w:rFonts w:ascii="TimesNewRomanPSMT" w:hAnsi="TimesNewRomanPSMT" w:cs="TimesNewRomanPSMT"/>
          <w:szCs w:val="24"/>
          <w:lang w:eastAsia="en-AU"/>
        </w:rPr>
        <w:t>Directorate</w:t>
      </w:r>
      <w:r w:rsidR="008648A5" w:rsidRPr="00FF7139">
        <w:rPr>
          <w:rFonts w:ascii="TimesNewRomanPSMT" w:hAnsi="TimesNewRomanPSMT" w:cs="TimesNewRomanPSMT"/>
          <w:szCs w:val="24"/>
          <w:lang w:eastAsia="en-AU"/>
        </w:rPr>
        <w:t xml:space="preserve"> </w:t>
      </w:r>
      <w:r w:rsidRPr="00FF7139">
        <w:rPr>
          <w:rFonts w:ascii="TimesNewRomanPSMT" w:hAnsi="TimesNewRomanPSMT" w:cs="TimesNewRomanPSMT"/>
          <w:szCs w:val="24"/>
          <w:lang w:eastAsia="en-AU"/>
        </w:rPr>
        <w:t>will continue to work closely with these organi</w:t>
      </w:r>
      <w:r>
        <w:rPr>
          <w:rFonts w:ascii="TimesNewRomanPSMT" w:hAnsi="TimesNewRomanPSMT" w:cs="TimesNewRomanPSMT"/>
          <w:szCs w:val="24"/>
          <w:lang w:eastAsia="en-AU"/>
        </w:rPr>
        <w:t>s</w:t>
      </w:r>
      <w:r w:rsidRPr="00FF7139">
        <w:rPr>
          <w:rFonts w:ascii="TimesNewRomanPSMT" w:hAnsi="TimesNewRomanPSMT" w:cs="TimesNewRomanPSMT"/>
          <w:szCs w:val="24"/>
          <w:lang w:eastAsia="en-AU"/>
        </w:rPr>
        <w:t>ations and relevant teams to ensure effective stakeholder engagement and project success.</w:t>
      </w:r>
    </w:p>
    <w:p w14:paraId="0E580BDB" w14:textId="5E091628" w:rsidR="00210FF5" w:rsidRPr="00210FF5" w:rsidRDefault="00210FF5" w:rsidP="00210FF5">
      <w:pPr>
        <w:autoSpaceDE w:val="0"/>
        <w:autoSpaceDN w:val="0"/>
        <w:adjustRightInd w:val="0"/>
        <w:rPr>
          <w:rFonts w:ascii="TimesNewRomanPSMT" w:hAnsi="TimesNewRomanPSMT" w:cs="TimesNewRomanPSMT"/>
          <w:szCs w:val="24"/>
          <w:highlight w:val="yellow"/>
          <w:lang w:eastAsia="en-AU"/>
        </w:rPr>
      </w:pPr>
      <w:r w:rsidRPr="00210FF5">
        <w:rPr>
          <w:rFonts w:ascii="TimesNewRomanPSMT" w:hAnsi="TimesNewRomanPSMT" w:cs="TimesNewRomanPSMT"/>
          <w:b/>
          <w:bCs/>
          <w:szCs w:val="24"/>
          <w:highlight w:val="yellow"/>
          <w:lang w:eastAsia="en-AU"/>
        </w:rPr>
        <w:br/>
      </w:r>
      <w:r w:rsidRPr="00210FF5">
        <w:rPr>
          <w:rFonts w:ascii="TimesNewRomanPS-BoldMT" w:hAnsi="TimesNewRomanPS-BoldMT" w:cs="TimesNewRomanPS-BoldMT"/>
          <w:b/>
          <w:bCs/>
          <w:szCs w:val="24"/>
          <w:lang w:eastAsia="en-AU"/>
        </w:rPr>
        <w:t>Scrutiny committee principles</w:t>
      </w:r>
    </w:p>
    <w:p w14:paraId="62CB818F" w14:textId="77777777" w:rsidR="00210FF5" w:rsidRPr="0088738B" w:rsidRDefault="00210FF5" w:rsidP="00210FF5">
      <w:pPr>
        <w:rPr>
          <w:rFonts w:ascii="TimesNewRomanPSMT" w:hAnsi="TimesNewRomanPSMT" w:cs="TimesNewRomanPSMT"/>
          <w:szCs w:val="24"/>
          <w:lang w:eastAsia="en-AU"/>
        </w:rPr>
      </w:pPr>
      <w:r w:rsidRPr="0088738B">
        <w:rPr>
          <w:rFonts w:ascii="TimesNewRomanPSMT" w:hAnsi="TimesNewRomanPSMT" w:cs="TimesNewRomanPSMT"/>
          <w:szCs w:val="24"/>
          <w:lang w:eastAsia="en-AU"/>
        </w:rPr>
        <w:t> </w:t>
      </w:r>
    </w:p>
    <w:p w14:paraId="34364336" w14:textId="77777777" w:rsidR="00210FF5" w:rsidRPr="0088738B" w:rsidRDefault="00210FF5" w:rsidP="00210FF5">
      <w:pPr>
        <w:rPr>
          <w:rFonts w:ascii="TimesNewRomanPSMT" w:hAnsi="TimesNewRomanPSMT" w:cs="TimesNewRomanPSMT"/>
          <w:szCs w:val="24"/>
          <w:lang w:eastAsia="en-AU"/>
        </w:rPr>
      </w:pPr>
      <w:r w:rsidRPr="0088738B">
        <w:rPr>
          <w:rFonts w:ascii="TimesNewRomanPSMT" w:hAnsi="TimesNewRomanPSMT" w:cs="TimesNewRomanPSMT"/>
          <w:szCs w:val="24"/>
          <w:lang w:eastAsia="en-AU"/>
        </w:rPr>
        <w:t>The regulation is consistent with Scrutiny Committee principles.</w:t>
      </w:r>
    </w:p>
    <w:p w14:paraId="34737451" w14:textId="76F28F19" w:rsidR="006561C4" w:rsidRDefault="006561C4" w:rsidP="00614DCB">
      <w:pPr>
        <w:rPr>
          <w:rFonts w:ascii="TimesNewRomanPSMT" w:hAnsi="TimesNewRomanPSMT" w:cs="TimesNewRomanPSMT"/>
          <w:szCs w:val="24"/>
          <w:highlight w:val="yellow"/>
          <w:lang w:eastAsia="en-AU"/>
        </w:rPr>
      </w:pPr>
    </w:p>
    <w:p w14:paraId="3D6971C6" w14:textId="77777777" w:rsidR="00210FF5" w:rsidRDefault="00210FF5" w:rsidP="00614DCB">
      <w:pPr>
        <w:rPr>
          <w:b/>
        </w:rPr>
      </w:pPr>
    </w:p>
    <w:p w14:paraId="294F18B4" w14:textId="77777777" w:rsidR="00210FF5" w:rsidRDefault="00210FF5" w:rsidP="00614DCB">
      <w:pPr>
        <w:rPr>
          <w:b/>
        </w:rPr>
      </w:pPr>
    </w:p>
    <w:p w14:paraId="1D1BAED5" w14:textId="77777777" w:rsidR="00210FF5" w:rsidRDefault="00210FF5" w:rsidP="00614DCB">
      <w:pPr>
        <w:rPr>
          <w:b/>
        </w:rPr>
      </w:pPr>
    </w:p>
    <w:p w14:paraId="3955C136" w14:textId="77777777" w:rsidR="00210FF5" w:rsidRDefault="00210FF5" w:rsidP="00614DCB">
      <w:pPr>
        <w:rPr>
          <w:b/>
        </w:rPr>
      </w:pPr>
    </w:p>
    <w:p w14:paraId="5CE7977D" w14:textId="77777777" w:rsidR="00210FF5" w:rsidRDefault="00210FF5" w:rsidP="00614DCB">
      <w:pPr>
        <w:rPr>
          <w:b/>
        </w:rPr>
      </w:pPr>
    </w:p>
    <w:p w14:paraId="3EB2AE3F" w14:textId="77777777" w:rsidR="00210FF5" w:rsidRDefault="00210FF5" w:rsidP="00614DCB">
      <w:pPr>
        <w:rPr>
          <w:b/>
        </w:rPr>
      </w:pPr>
    </w:p>
    <w:p w14:paraId="4C420936" w14:textId="2CBEF25A" w:rsidR="000832A1" w:rsidRDefault="00BA640D" w:rsidP="00614DCB">
      <w:pPr>
        <w:rPr>
          <w:b/>
        </w:rPr>
      </w:pPr>
      <w:r>
        <w:rPr>
          <w:b/>
        </w:rPr>
        <w:lastRenderedPageBreak/>
        <w:t>CLAUSE NOTES</w:t>
      </w:r>
    </w:p>
    <w:p w14:paraId="1C6848E4" w14:textId="77777777" w:rsidR="007A021A" w:rsidRDefault="007A021A" w:rsidP="00620F86">
      <w:pPr>
        <w:rPr>
          <w:b/>
        </w:rPr>
      </w:pPr>
    </w:p>
    <w:p w14:paraId="67C1185C" w14:textId="77777777" w:rsidR="007A021A" w:rsidRDefault="007A021A" w:rsidP="00614DCB">
      <w:pPr>
        <w:rPr>
          <w:b/>
        </w:rPr>
      </w:pPr>
      <w:r>
        <w:rPr>
          <w:b/>
        </w:rPr>
        <w:t xml:space="preserve">Part 1 </w:t>
      </w:r>
      <w:r>
        <w:rPr>
          <w:b/>
        </w:rPr>
        <w:tab/>
      </w:r>
      <w:r>
        <w:rPr>
          <w:b/>
        </w:rPr>
        <w:tab/>
        <w:t>Preliminary</w:t>
      </w:r>
    </w:p>
    <w:p w14:paraId="75D070D6" w14:textId="77777777" w:rsidR="007A021A" w:rsidRDefault="007A021A" w:rsidP="00614DCB">
      <w:pPr>
        <w:rPr>
          <w:b/>
        </w:rPr>
      </w:pPr>
    </w:p>
    <w:p w14:paraId="5885C5C4" w14:textId="1AA06753" w:rsidR="007A021A" w:rsidRDefault="007A021A" w:rsidP="00614DCB">
      <w:pPr>
        <w:rPr>
          <w:b/>
        </w:rPr>
      </w:pPr>
      <w:r>
        <w:rPr>
          <w:b/>
        </w:rPr>
        <w:t>Clause 1</w:t>
      </w:r>
      <w:r>
        <w:rPr>
          <w:b/>
        </w:rPr>
        <w:tab/>
        <w:t xml:space="preserve">Name of </w:t>
      </w:r>
      <w:r w:rsidR="004B7DFC">
        <w:rPr>
          <w:b/>
        </w:rPr>
        <w:t>r</w:t>
      </w:r>
      <w:r>
        <w:rPr>
          <w:b/>
        </w:rPr>
        <w:t>egulation</w:t>
      </w:r>
    </w:p>
    <w:p w14:paraId="1F00CC24" w14:textId="77777777" w:rsidR="007A021A" w:rsidRDefault="007A021A" w:rsidP="00614DCB">
      <w:pPr>
        <w:rPr>
          <w:b/>
        </w:rPr>
      </w:pPr>
    </w:p>
    <w:p w14:paraId="7CA4560B" w14:textId="30668ED9" w:rsidR="007A021A" w:rsidRPr="007A021A" w:rsidRDefault="007A021A" w:rsidP="00614DCB">
      <w:r>
        <w:t xml:space="preserve">This clause provides that the name of the regulation is the </w:t>
      </w:r>
      <w:r>
        <w:rPr>
          <w:i/>
        </w:rPr>
        <w:t xml:space="preserve">Building </w:t>
      </w:r>
      <w:r w:rsidR="00E64680">
        <w:rPr>
          <w:i/>
        </w:rPr>
        <w:t>and Construction Legislation A</w:t>
      </w:r>
      <w:r>
        <w:rPr>
          <w:i/>
        </w:rPr>
        <w:t xml:space="preserve">mendment Regulation </w:t>
      </w:r>
      <w:r w:rsidR="00E64680">
        <w:rPr>
          <w:i/>
        </w:rPr>
        <w:t>202</w:t>
      </w:r>
      <w:r w:rsidR="00923774">
        <w:rPr>
          <w:i/>
        </w:rPr>
        <w:t>5</w:t>
      </w:r>
      <w:r w:rsidR="007A025B">
        <w:rPr>
          <w:i/>
        </w:rPr>
        <w:t xml:space="preserve"> (No</w:t>
      </w:r>
      <w:r w:rsidR="00653173">
        <w:rPr>
          <w:i/>
        </w:rPr>
        <w:t xml:space="preserve"> 1)</w:t>
      </w:r>
      <w:r w:rsidR="00E64680">
        <w:rPr>
          <w:i/>
        </w:rPr>
        <w:t>.</w:t>
      </w:r>
    </w:p>
    <w:p w14:paraId="4785E373" w14:textId="77777777" w:rsidR="007A021A" w:rsidRDefault="007A021A" w:rsidP="00614DCB">
      <w:pPr>
        <w:rPr>
          <w:b/>
        </w:rPr>
      </w:pPr>
    </w:p>
    <w:p w14:paraId="76738B90" w14:textId="77777777" w:rsidR="007A021A" w:rsidRDefault="007A021A" w:rsidP="00614DCB">
      <w:pPr>
        <w:rPr>
          <w:b/>
        </w:rPr>
      </w:pPr>
      <w:r>
        <w:rPr>
          <w:b/>
        </w:rPr>
        <w:t xml:space="preserve">Clause 2 </w:t>
      </w:r>
      <w:r>
        <w:rPr>
          <w:b/>
        </w:rPr>
        <w:tab/>
        <w:t xml:space="preserve">Commencement </w:t>
      </w:r>
    </w:p>
    <w:p w14:paraId="49BE1CE1" w14:textId="77777777" w:rsidR="007A021A" w:rsidRDefault="007A021A" w:rsidP="00614DCB">
      <w:pPr>
        <w:rPr>
          <w:b/>
        </w:rPr>
      </w:pPr>
    </w:p>
    <w:p w14:paraId="1D66D076" w14:textId="3ECBBC20" w:rsidR="007A021A" w:rsidRDefault="007A021A" w:rsidP="00614DCB">
      <w:r w:rsidRPr="000C2022">
        <w:t xml:space="preserve">This clause provides </w:t>
      </w:r>
      <w:r w:rsidR="00C85B88" w:rsidRPr="000C2022">
        <w:t>that the regulation</w:t>
      </w:r>
      <w:r w:rsidR="00E64680">
        <w:t xml:space="preserve"> (other than </w:t>
      </w:r>
      <w:r w:rsidR="00A115A7">
        <w:t>sections 4 to 6</w:t>
      </w:r>
      <w:r w:rsidR="00E64680">
        <w:t>)</w:t>
      </w:r>
      <w:r w:rsidR="00C85B88" w:rsidRPr="000C2022">
        <w:t xml:space="preserve"> commences on </w:t>
      </w:r>
      <w:r w:rsidR="00923774">
        <w:t>the day after its notification day</w:t>
      </w:r>
      <w:r w:rsidR="00E64680">
        <w:t>.</w:t>
      </w:r>
      <w:r>
        <w:t xml:space="preserve"> </w:t>
      </w:r>
    </w:p>
    <w:p w14:paraId="6270A571" w14:textId="2518E3FB" w:rsidR="007A025B" w:rsidRDefault="007A025B" w:rsidP="00614DCB"/>
    <w:p w14:paraId="0C5807DA" w14:textId="4BE92124" w:rsidR="007A021A" w:rsidRDefault="00923774" w:rsidP="00923774">
      <w:r>
        <w:t xml:space="preserve">Sections 4 and </w:t>
      </w:r>
      <w:r w:rsidR="0098020E">
        <w:t>6</w:t>
      </w:r>
      <w:r>
        <w:t xml:space="preserve"> commence on the commencement of the </w:t>
      </w:r>
      <w:r w:rsidRPr="00923774">
        <w:rPr>
          <w:i/>
          <w:iCs/>
        </w:rPr>
        <w:t>Building (General) Amendment Regulation 2024 (No 2)</w:t>
      </w:r>
      <w:r w:rsidR="008648A5" w:rsidRPr="00765265">
        <w:t>, section 4</w:t>
      </w:r>
      <w:r>
        <w:t xml:space="preserve"> and section </w:t>
      </w:r>
      <w:r w:rsidR="0098020E">
        <w:t>5</w:t>
      </w:r>
      <w:r>
        <w:t xml:space="preserve"> </w:t>
      </w:r>
      <w:r w:rsidR="00765265">
        <w:t>commence</w:t>
      </w:r>
      <w:r>
        <w:t xml:space="preserve"> on the commencement of the </w:t>
      </w:r>
      <w:r w:rsidRPr="00923774">
        <w:rPr>
          <w:i/>
          <w:iCs/>
        </w:rPr>
        <w:t>Property Developers Act 2024</w:t>
      </w:r>
      <w:r>
        <w:t>, schedule 2, amendment 2.26.</w:t>
      </w:r>
    </w:p>
    <w:p w14:paraId="3866EFC8" w14:textId="77777777" w:rsidR="00923774" w:rsidRPr="007A021A" w:rsidRDefault="00923774" w:rsidP="00923774"/>
    <w:p w14:paraId="2831E687" w14:textId="77777777" w:rsidR="007A021A" w:rsidRDefault="007A021A" w:rsidP="00614DCB">
      <w:pPr>
        <w:rPr>
          <w:b/>
        </w:rPr>
      </w:pPr>
      <w:r>
        <w:rPr>
          <w:b/>
        </w:rPr>
        <w:t>Clause 3</w:t>
      </w:r>
      <w:r>
        <w:rPr>
          <w:b/>
        </w:rPr>
        <w:tab/>
        <w:t>Legislation amended</w:t>
      </w:r>
    </w:p>
    <w:p w14:paraId="1D658297" w14:textId="77777777" w:rsidR="007A021A" w:rsidRDefault="007A021A" w:rsidP="00614DCB">
      <w:pPr>
        <w:rPr>
          <w:b/>
        </w:rPr>
      </w:pPr>
    </w:p>
    <w:p w14:paraId="2EFD23EB" w14:textId="77777777" w:rsidR="00E64680" w:rsidRDefault="007A021A" w:rsidP="00614DCB">
      <w:r>
        <w:t>This clause provides that the regulation amends the</w:t>
      </w:r>
      <w:r w:rsidR="00E64680">
        <w:t xml:space="preserve"> following legislation:</w:t>
      </w:r>
    </w:p>
    <w:p w14:paraId="040AFDC4" w14:textId="2C34BF94" w:rsidR="004C31A8" w:rsidRPr="00923774" w:rsidRDefault="00923774" w:rsidP="00614DCB">
      <w:pPr>
        <w:pStyle w:val="ListParagraph"/>
        <w:numPr>
          <w:ilvl w:val="0"/>
          <w:numId w:val="11"/>
        </w:numPr>
        <w:rPr>
          <w:i/>
          <w:iCs/>
        </w:rPr>
      </w:pPr>
      <w:r>
        <w:rPr>
          <w:i/>
        </w:rPr>
        <w:t>Building (General) Regulation 2008</w:t>
      </w:r>
      <w:r w:rsidR="00BA640D">
        <w:rPr>
          <w:iCs/>
        </w:rPr>
        <w:t>;</w:t>
      </w:r>
    </w:p>
    <w:p w14:paraId="0734442D" w14:textId="70B348B5" w:rsidR="00923774" w:rsidRPr="00923774" w:rsidRDefault="00923774" w:rsidP="00614DCB">
      <w:pPr>
        <w:pStyle w:val="ListParagraph"/>
        <w:numPr>
          <w:ilvl w:val="0"/>
          <w:numId w:val="11"/>
        </w:numPr>
        <w:rPr>
          <w:i/>
          <w:iCs/>
        </w:rPr>
      </w:pPr>
      <w:r>
        <w:rPr>
          <w:i/>
        </w:rPr>
        <w:t>Construction Occupations (Licensing) Regulation 2004</w:t>
      </w:r>
      <w:r w:rsidR="00BA640D">
        <w:rPr>
          <w:iCs/>
        </w:rPr>
        <w:t>; and</w:t>
      </w:r>
    </w:p>
    <w:p w14:paraId="78F29B55" w14:textId="74488E98" w:rsidR="00923774" w:rsidRPr="004C31A8" w:rsidRDefault="00923774" w:rsidP="00614DCB">
      <w:pPr>
        <w:pStyle w:val="ListParagraph"/>
        <w:numPr>
          <w:ilvl w:val="0"/>
          <w:numId w:val="11"/>
        </w:numPr>
        <w:rPr>
          <w:i/>
          <w:iCs/>
        </w:rPr>
      </w:pPr>
      <w:r>
        <w:rPr>
          <w:i/>
        </w:rPr>
        <w:t>Gas Safety Regulation 2001</w:t>
      </w:r>
      <w:r w:rsidR="00BA640D">
        <w:rPr>
          <w:iCs/>
        </w:rPr>
        <w:t>.</w:t>
      </w:r>
    </w:p>
    <w:p w14:paraId="3BF40372" w14:textId="79F9E8B2" w:rsidR="007A021A" w:rsidRDefault="007A021A" w:rsidP="00614DCB"/>
    <w:p w14:paraId="0360DFBE" w14:textId="2B183CBD" w:rsidR="00614DCB" w:rsidRPr="007A021A" w:rsidRDefault="00614DCB" w:rsidP="00614DCB">
      <w:r w:rsidRPr="00620F86">
        <w:rPr>
          <w:b/>
          <w:bCs/>
        </w:rPr>
        <w:t>Part 2</w:t>
      </w:r>
      <w:r w:rsidRPr="00620F86">
        <w:rPr>
          <w:b/>
          <w:bCs/>
        </w:rPr>
        <w:tab/>
      </w:r>
      <w:r w:rsidRPr="00620F86">
        <w:rPr>
          <w:b/>
          <w:bCs/>
        </w:rPr>
        <w:tab/>
      </w:r>
      <w:r>
        <w:rPr>
          <w:b/>
        </w:rPr>
        <w:t>Building (General) Regulation 2008</w:t>
      </w:r>
    </w:p>
    <w:p w14:paraId="06A40137" w14:textId="77777777" w:rsidR="00614DCB" w:rsidRDefault="00614DCB" w:rsidP="00614DCB">
      <w:pPr>
        <w:rPr>
          <w:b/>
        </w:rPr>
      </w:pPr>
    </w:p>
    <w:p w14:paraId="1B34F2A0" w14:textId="5FCC4919" w:rsidR="007A021A" w:rsidRPr="007A021A" w:rsidRDefault="007A021A" w:rsidP="00614DCB">
      <w:pPr>
        <w:rPr>
          <w:b/>
        </w:rPr>
      </w:pPr>
      <w:r>
        <w:rPr>
          <w:b/>
        </w:rPr>
        <w:t>Clause 4</w:t>
      </w:r>
      <w:r>
        <w:rPr>
          <w:b/>
        </w:rPr>
        <w:tab/>
      </w:r>
      <w:r w:rsidR="004C31A8">
        <w:rPr>
          <w:b/>
        </w:rPr>
        <w:t xml:space="preserve">Sections </w:t>
      </w:r>
      <w:r w:rsidR="00C76916">
        <w:rPr>
          <w:b/>
        </w:rPr>
        <w:t>33AA</w:t>
      </w:r>
      <w:r w:rsidR="0098020E">
        <w:rPr>
          <w:b/>
        </w:rPr>
        <w:t xml:space="preserve"> and 35AA</w:t>
      </w:r>
    </w:p>
    <w:p w14:paraId="594C9F2B" w14:textId="77777777" w:rsidR="000832A1" w:rsidRDefault="000832A1" w:rsidP="00614DCB">
      <w:pPr>
        <w:rPr>
          <w:b/>
        </w:rPr>
      </w:pPr>
    </w:p>
    <w:p w14:paraId="00B56FD5" w14:textId="187EAEB2" w:rsidR="007B15ED" w:rsidRDefault="00C76916" w:rsidP="00614DCB">
      <w:pPr>
        <w:rPr>
          <w:bCs/>
        </w:rPr>
      </w:pPr>
      <w:r w:rsidRPr="00A506A8">
        <w:rPr>
          <w:bCs/>
        </w:rPr>
        <w:t xml:space="preserve">This clause </w:t>
      </w:r>
      <w:r>
        <w:rPr>
          <w:bCs/>
        </w:rPr>
        <w:t>omits section 33AA</w:t>
      </w:r>
      <w:r w:rsidR="0098020E">
        <w:rPr>
          <w:bCs/>
        </w:rPr>
        <w:t xml:space="preserve"> and 35 AA</w:t>
      </w:r>
      <w:r>
        <w:rPr>
          <w:bCs/>
        </w:rPr>
        <w:t xml:space="preserve">, </w:t>
      </w:r>
      <w:bookmarkStart w:id="1" w:name="_Hlk200023353"/>
      <w:r w:rsidRPr="00C76916">
        <w:rPr>
          <w:bCs/>
        </w:rPr>
        <w:t>thereby repealing uncommenced provisions established under the previous Strengthening Certification Project</w:t>
      </w:r>
      <w:bookmarkEnd w:id="1"/>
      <w:r w:rsidRPr="00C76916">
        <w:rPr>
          <w:bCs/>
        </w:rPr>
        <w:t>.</w:t>
      </w:r>
      <w:r>
        <w:rPr>
          <w:bCs/>
        </w:rPr>
        <w:t xml:space="preserve"> </w:t>
      </w:r>
      <w:r w:rsidRPr="00C76916">
        <w:rPr>
          <w:bCs/>
        </w:rPr>
        <w:t xml:space="preserve">As the </w:t>
      </w:r>
      <w:r w:rsidR="0098020E">
        <w:rPr>
          <w:bCs/>
        </w:rPr>
        <w:t xml:space="preserve">Strengthening Certification </w:t>
      </w:r>
      <w:r w:rsidR="008648A5">
        <w:rPr>
          <w:bCs/>
        </w:rPr>
        <w:t>P</w:t>
      </w:r>
      <w:r w:rsidR="0098020E">
        <w:rPr>
          <w:bCs/>
        </w:rPr>
        <w:t xml:space="preserve">roject </w:t>
      </w:r>
      <w:r w:rsidRPr="00C76916">
        <w:rPr>
          <w:bCs/>
        </w:rPr>
        <w:t xml:space="preserve">is no longer proceeding, it is appropriate to </w:t>
      </w:r>
      <w:r w:rsidR="00BA640D">
        <w:rPr>
          <w:bCs/>
        </w:rPr>
        <w:t>revoke</w:t>
      </w:r>
      <w:r w:rsidR="00BA640D" w:rsidRPr="00C76916">
        <w:rPr>
          <w:bCs/>
        </w:rPr>
        <w:t xml:space="preserve"> </w:t>
      </w:r>
      <w:r w:rsidRPr="00C76916">
        <w:rPr>
          <w:bCs/>
        </w:rPr>
        <w:t>these provisions prior to their commencement to prevent any confusion within the industry.</w:t>
      </w:r>
    </w:p>
    <w:p w14:paraId="5B007C17" w14:textId="4ED6BEAB" w:rsidR="00B65950" w:rsidRDefault="00B65950">
      <w:pPr>
        <w:rPr>
          <w:b/>
        </w:rPr>
      </w:pPr>
    </w:p>
    <w:p w14:paraId="015484DD" w14:textId="0C76BBF6" w:rsidR="00FD6AAB" w:rsidRDefault="00FD6AAB" w:rsidP="00614DCB">
      <w:pPr>
        <w:rPr>
          <w:b/>
        </w:rPr>
      </w:pPr>
      <w:r>
        <w:rPr>
          <w:b/>
        </w:rPr>
        <w:t xml:space="preserve">Clause </w:t>
      </w:r>
      <w:r w:rsidR="0098020E">
        <w:rPr>
          <w:b/>
        </w:rPr>
        <w:t>5</w:t>
      </w:r>
      <w:r>
        <w:rPr>
          <w:b/>
        </w:rPr>
        <w:tab/>
        <w:t xml:space="preserve">Section </w:t>
      </w:r>
      <w:r w:rsidR="00C76916">
        <w:rPr>
          <w:b/>
        </w:rPr>
        <w:t>37A</w:t>
      </w:r>
    </w:p>
    <w:p w14:paraId="0801F9AB" w14:textId="4ED3CAFE" w:rsidR="00FD6AAB" w:rsidRDefault="00FD6AAB" w:rsidP="00614DCB">
      <w:pPr>
        <w:rPr>
          <w:b/>
        </w:rPr>
      </w:pPr>
    </w:p>
    <w:p w14:paraId="2E1F631E" w14:textId="55B714F9" w:rsidR="00FD6AAB" w:rsidRDefault="009D39EF" w:rsidP="00614DCB">
      <w:pPr>
        <w:rPr>
          <w:bCs/>
        </w:rPr>
      </w:pPr>
      <w:r>
        <w:rPr>
          <w:bCs/>
        </w:rPr>
        <w:t>This clause</w:t>
      </w:r>
      <w:r w:rsidR="006115A6">
        <w:rPr>
          <w:bCs/>
        </w:rPr>
        <w:t xml:space="preserve"> </w:t>
      </w:r>
      <w:r w:rsidR="00FF7139">
        <w:rPr>
          <w:bCs/>
        </w:rPr>
        <w:t>substitutes</w:t>
      </w:r>
      <w:r w:rsidR="006115A6">
        <w:rPr>
          <w:bCs/>
        </w:rPr>
        <w:t xml:space="preserve"> an uncommenced amendment </w:t>
      </w:r>
      <w:r w:rsidR="000A126D">
        <w:rPr>
          <w:bCs/>
        </w:rPr>
        <w:t xml:space="preserve">introduced by a consequential </w:t>
      </w:r>
      <w:r w:rsidR="00491116">
        <w:rPr>
          <w:bCs/>
        </w:rPr>
        <w:t>provision of</w:t>
      </w:r>
      <w:r w:rsidR="000A126D">
        <w:rPr>
          <w:bCs/>
        </w:rPr>
        <w:t xml:space="preserve"> the </w:t>
      </w:r>
      <w:r w:rsidR="000A126D" w:rsidRPr="00FF7139">
        <w:rPr>
          <w:bCs/>
          <w:i/>
          <w:iCs/>
        </w:rPr>
        <w:t>Property Developers Act 2024</w:t>
      </w:r>
      <w:r w:rsidR="000A126D">
        <w:rPr>
          <w:bCs/>
        </w:rPr>
        <w:t xml:space="preserve"> in sch</w:t>
      </w:r>
      <w:r w:rsidR="00653173">
        <w:rPr>
          <w:bCs/>
        </w:rPr>
        <w:t>edule</w:t>
      </w:r>
      <w:r w:rsidR="000A126D">
        <w:rPr>
          <w:bCs/>
        </w:rPr>
        <w:t xml:space="preserve"> 2 part 2.2</w:t>
      </w:r>
      <w:r w:rsidR="001B1E70">
        <w:rPr>
          <w:bCs/>
        </w:rPr>
        <w:t xml:space="preserve"> of the</w:t>
      </w:r>
      <w:r w:rsidR="000A126D">
        <w:rPr>
          <w:bCs/>
        </w:rPr>
        <w:t xml:space="preserve"> </w:t>
      </w:r>
      <w:r w:rsidR="000A126D" w:rsidRPr="00FF7139">
        <w:rPr>
          <w:bCs/>
          <w:i/>
          <w:iCs/>
        </w:rPr>
        <w:t>Building (General) Regulation 2008</w:t>
      </w:r>
      <w:r>
        <w:rPr>
          <w:bCs/>
        </w:rPr>
        <w:t xml:space="preserve">. </w:t>
      </w:r>
      <w:r w:rsidR="00491116" w:rsidRPr="00491116">
        <w:rPr>
          <w:bCs/>
        </w:rPr>
        <w:t xml:space="preserve">Specifically, it </w:t>
      </w:r>
      <w:r w:rsidR="00491116">
        <w:rPr>
          <w:bCs/>
        </w:rPr>
        <w:t>upd</w:t>
      </w:r>
      <w:r w:rsidR="00491116" w:rsidRPr="00491116">
        <w:rPr>
          <w:bCs/>
        </w:rPr>
        <w:t xml:space="preserve">ates the definition of "property developer" to exclude certain people as defined in section 46(2) of the </w:t>
      </w:r>
      <w:r w:rsidR="00491116" w:rsidRPr="00FF7139">
        <w:rPr>
          <w:bCs/>
          <w:i/>
          <w:iCs/>
        </w:rPr>
        <w:t>Property Developers Act 2024</w:t>
      </w:r>
      <w:r w:rsidR="00491116" w:rsidRPr="00491116">
        <w:rPr>
          <w:bCs/>
        </w:rPr>
        <w:t>.</w:t>
      </w:r>
    </w:p>
    <w:p w14:paraId="123E3252" w14:textId="77777777" w:rsidR="00491116" w:rsidRDefault="00491116" w:rsidP="00614DCB">
      <w:pPr>
        <w:rPr>
          <w:bCs/>
        </w:rPr>
      </w:pPr>
    </w:p>
    <w:p w14:paraId="5BBC61DA" w14:textId="5F6013DC" w:rsidR="00491116" w:rsidRPr="00D37BAB" w:rsidRDefault="001B1E70" w:rsidP="00614DCB">
      <w:pPr>
        <w:rPr>
          <w:bCs/>
        </w:rPr>
      </w:pPr>
      <w:r>
        <w:rPr>
          <w:bCs/>
        </w:rPr>
        <w:t>M</w:t>
      </w:r>
      <w:r w:rsidR="00491116" w:rsidRPr="00491116">
        <w:rPr>
          <w:bCs/>
        </w:rPr>
        <w:t xml:space="preserve">aking this minor amendment to the </w:t>
      </w:r>
      <w:r w:rsidR="00491116" w:rsidRPr="00FF7139">
        <w:rPr>
          <w:bCs/>
          <w:i/>
          <w:iCs/>
        </w:rPr>
        <w:t>Building (General) Regulation 2008</w:t>
      </w:r>
      <w:r w:rsidR="00491116" w:rsidRPr="00491116">
        <w:rPr>
          <w:bCs/>
        </w:rPr>
        <w:t>, w</w:t>
      </w:r>
      <w:r>
        <w:rPr>
          <w:bCs/>
        </w:rPr>
        <w:t>ill</w:t>
      </w:r>
      <w:r w:rsidR="00491116" w:rsidRPr="00491116">
        <w:rPr>
          <w:bCs/>
        </w:rPr>
        <w:t xml:space="preserve"> ensure consistency with the upcoming </w:t>
      </w:r>
      <w:r w:rsidR="00491116" w:rsidRPr="00FF7139">
        <w:rPr>
          <w:bCs/>
          <w:i/>
          <w:iCs/>
        </w:rPr>
        <w:t>Property Developers Regulation</w:t>
      </w:r>
      <w:r w:rsidR="00491116" w:rsidRPr="00491116">
        <w:rPr>
          <w:bCs/>
        </w:rPr>
        <w:t xml:space="preserve">, which is currently being drafted. The alignment </w:t>
      </w:r>
      <w:r w:rsidR="00491116">
        <w:rPr>
          <w:bCs/>
        </w:rPr>
        <w:t>clarifies</w:t>
      </w:r>
      <w:r w:rsidR="00491116" w:rsidRPr="00491116">
        <w:rPr>
          <w:bCs/>
        </w:rPr>
        <w:t xml:space="preserve"> which individuals and entities are subject to specific regulatory actions, such as rectification orders and stop work notices, under the scheme.</w:t>
      </w:r>
    </w:p>
    <w:p w14:paraId="573345C0" w14:textId="2279C071" w:rsidR="00FD6AAB" w:rsidRDefault="00FD6AAB" w:rsidP="00614DCB"/>
    <w:p w14:paraId="0610325B" w14:textId="10DE25BF" w:rsidR="000A126D" w:rsidRDefault="000A126D">
      <w:pPr>
        <w:keepNext/>
        <w:tabs>
          <w:tab w:val="left" w:pos="1560"/>
        </w:tabs>
        <w:ind w:left="1417" w:hanging="1440"/>
        <w:rPr>
          <w:b/>
        </w:rPr>
      </w:pPr>
      <w:r>
        <w:rPr>
          <w:b/>
        </w:rPr>
        <w:lastRenderedPageBreak/>
        <w:t xml:space="preserve">Clause 6 </w:t>
      </w:r>
      <w:r>
        <w:rPr>
          <w:b/>
        </w:rPr>
        <w:tab/>
        <w:t>Dictionary, note 2</w:t>
      </w:r>
    </w:p>
    <w:p w14:paraId="278C1008" w14:textId="77777777" w:rsidR="000A126D" w:rsidRDefault="000A126D">
      <w:pPr>
        <w:keepNext/>
        <w:tabs>
          <w:tab w:val="left" w:pos="1560"/>
        </w:tabs>
        <w:ind w:left="1417" w:hanging="1440"/>
        <w:rPr>
          <w:b/>
        </w:rPr>
      </w:pPr>
    </w:p>
    <w:p w14:paraId="3B7617AA" w14:textId="3BD93063" w:rsidR="000A126D" w:rsidRPr="008052B8" w:rsidRDefault="000A126D" w:rsidP="008052B8">
      <w:r w:rsidRPr="008052B8">
        <w:t xml:space="preserve">This clause omits </w:t>
      </w:r>
      <w:r w:rsidR="001B1E70">
        <w:t>‘</w:t>
      </w:r>
      <w:r w:rsidRPr="008052B8">
        <w:t>public servant</w:t>
      </w:r>
      <w:r w:rsidR="001B1E70">
        <w:t>’</w:t>
      </w:r>
      <w:r w:rsidRPr="008052B8">
        <w:t xml:space="preserve"> from the dictionary. </w:t>
      </w:r>
      <w:r w:rsidR="008052B8" w:rsidRPr="008052B8">
        <w:t>Thereby repealing uncommenced provisions established under the previous Strengthening Certification Project</w:t>
      </w:r>
      <w:r w:rsidR="000E314C">
        <w:t>.</w:t>
      </w:r>
    </w:p>
    <w:p w14:paraId="5E401B31" w14:textId="77777777" w:rsidR="000A126D" w:rsidRDefault="000A126D">
      <w:pPr>
        <w:keepNext/>
        <w:tabs>
          <w:tab w:val="left" w:pos="1560"/>
        </w:tabs>
        <w:ind w:left="1417" w:hanging="1440"/>
        <w:rPr>
          <w:b/>
        </w:rPr>
      </w:pPr>
    </w:p>
    <w:p w14:paraId="176C4890" w14:textId="6A3ECB75" w:rsidR="009D39EF" w:rsidRDefault="009D39EF" w:rsidP="00FF7139">
      <w:pPr>
        <w:keepNext/>
        <w:tabs>
          <w:tab w:val="left" w:pos="1560"/>
        </w:tabs>
        <w:ind w:left="1417" w:hanging="1440"/>
        <w:rPr>
          <w:b/>
        </w:rPr>
      </w:pPr>
      <w:r>
        <w:rPr>
          <w:b/>
        </w:rPr>
        <w:t xml:space="preserve">Part 3 </w:t>
      </w:r>
      <w:r>
        <w:rPr>
          <w:b/>
        </w:rPr>
        <w:tab/>
        <w:t>Construction Occupations (Licensing) Regulation 2004</w:t>
      </w:r>
    </w:p>
    <w:p w14:paraId="13065555" w14:textId="77777777" w:rsidR="009D39EF" w:rsidRDefault="009D39EF" w:rsidP="00FF7139">
      <w:pPr>
        <w:keepNext/>
        <w:tabs>
          <w:tab w:val="left" w:pos="1560"/>
        </w:tabs>
        <w:ind w:left="1417" w:hanging="1440"/>
        <w:rPr>
          <w:b/>
        </w:rPr>
      </w:pPr>
    </w:p>
    <w:p w14:paraId="22ABDFB4" w14:textId="1C4CA440" w:rsidR="00D37BAB" w:rsidRDefault="00D37BAB" w:rsidP="00FF7139">
      <w:pPr>
        <w:keepNext/>
        <w:tabs>
          <w:tab w:val="left" w:pos="1560"/>
        </w:tabs>
        <w:ind w:left="1417" w:hanging="1440"/>
        <w:rPr>
          <w:b/>
        </w:rPr>
      </w:pPr>
      <w:r>
        <w:rPr>
          <w:b/>
        </w:rPr>
        <w:t xml:space="preserve">Clause </w:t>
      </w:r>
      <w:r w:rsidR="00D03B57">
        <w:rPr>
          <w:b/>
        </w:rPr>
        <w:t>7</w:t>
      </w:r>
      <w:r>
        <w:rPr>
          <w:b/>
        </w:rPr>
        <w:tab/>
        <w:t xml:space="preserve">Section </w:t>
      </w:r>
      <w:r w:rsidR="009D39EF">
        <w:rPr>
          <w:b/>
        </w:rPr>
        <w:t xml:space="preserve">13(5) to (7) </w:t>
      </w:r>
    </w:p>
    <w:p w14:paraId="5775851B" w14:textId="53A346E1" w:rsidR="009D39EF" w:rsidRPr="009D39EF" w:rsidRDefault="009D39EF" w:rsidP="009D39EF">
      <w:r w:rsidRPr="009D39EF">
        <w:t xml:space="preserve">This clause omits the disapplication of the </w:t>
      </w:r>
      <w:r w:rsidR="008053F2" w:rsidRPr="00FF7139">
        <w:rPr>
          <w:i/>
          <w:iCs/>
        </w:rPr>
        <w:t>L</w:t>
      </w:r>
      <w:r w:rsidRPr="00FF7139">
        <w:rPr>
          <w:i/>
          <w:iCs/>
        </w:rPr>
        <w:t>egislation Act 2001</w:t>
      </w:r>
      <w:r w:rsidR="008053F2">
        <w:t xml:space="preserve">, </w:t>
      </w:r>
      <w:r w:rsidRPr="009D39EF">
        <w:t>section 47(5) and</w:t>
      </w:r>
      <w:r w:rsidR="008053F2">
        <w:t> </w:t>
      </w:r>
      <w:r w:rsidRPr="009D39EF">
        <w:t>(6)</w:t>
      </w:r>
      <w:r w:rsidR="008053F2">
        <w:t>,</w:t>
      </w:r>
      <w:r w:rsidRPr="009D39EF">
        <w:t xml:space="preserve"> and is a consequential amendment resulting from the introduction of a new section at clause 8. </w:t>
      </w:r>
    </w:p>
    <w:p w14:paraId="28060DED" w14:textId="675CE015" w:rsidR="00614DCB" w:rsidRDefault="00614DCB" w:rsidP="00614DCB"/>
    <w:p w14:paraId="04DF695D" w14:textId="7B3EF0CB" w:rsidR="00D03B57" w:rsidRDefault="00D03B57" w:rsidP="00614DCB">
      <w:pPr>
        <w:tabs>
          <w:tab w:val="left" w:pos="1560"/>
        </w:tabs>
        <w:ind w:left="1418" w:hanging="1440"/>
        <w:rPr>
          <w:b/>
        </w:rPr>
      </w:pPr>
      <w:r>
        <w:rPr>
          <w:b/>
        </w:rPr>
        <w:t>Clause 8</w:t>
      </w:r>
      <w:r>
        <w:rPr>
          <w:b/>
        </w:rPr>
        <w:tab/>
      </w:r>
      <w:r w:rsidR="009D39EF">
        <w:rPr>
          <w:b/>
        </w:rPr>
        <w:t xml:space="preserve">New </w:t>
      </w:r>
      <w:r w:rsidR="008053F2">
        <w:rPr>
          <w:b/>
        </w:rPr>
        <w:t>s</w:t>
      </w:r>
      <w:r w:rsidR="009D39EF">
        <w:rPr>
          <w:b/>
        </w:rPr>
        <w:t>ection 45A</w:t>
      </w:r>
      <w:r w:rsidR="00627D74">
        <w:rPr>
          <w:b/>
        </w:rPr>
        <w:t xml:space="preserve"> </w:t>
      </w:r>
    </w:p>
    <w:p w14:paraId="65569695" w14:textId="45DBC059" w:rsidR="00627D74" w:rsidRDefault="00627D74" w:rsidP="00071BDD">
      <w:pPr>
        <w:tabs>
          <w:tab w:val="left" w:pos="1560"/>
        </w:tabs>
        <w:rPr>
          <w:b/>
        </w:rPr>
      </w:pPr>
    </w:p>
    <w:p w14:paraId="6505EF1A" w14:textId="720A6C3B" w:rsidR="000117EC" w:rsidRPr="000117EC" w:rsidRDefault="000117EC" w:rsidP="000117EC">
      <w:r w:rsidRPr="000117EC">
        <w:t xml:space="preserve">This clause introduces new section </w:t>
      </w:r>
      <w:r>
        <w:t>45</w:t>
      </w:r>
      <w:r w:rsidRPr="000117EC">
        <w:t xml:space="preserve">A </w:t>
      </w:r>
      <w:r w:rsidR="008052B8">
        <w:t xml:space="preserve">to part 7 of the </w:t>
      </w:r>
      <w:r w:rsidR="008052B8" w:rsidRPr="008052B8">
        <w:rPr>
          <w:i/>
          <w:iCs/>
        </w:rPr>
        <w:t>Construction Occupations (Licensing) Regulation 2004</w:t>
      </w:r>
      <w:r w:rsidR="008052B8">
        <w:t xml:space="preserve"> </w:t>
      </w:r>
      <w:r w:rsidRPr="000117EC">
        <w:t xml:space="preserve">which provides that a </w:t>
      </w:r>
      <w:r>
        <w:t xml:space="preserve">statutory instrument </w:t>
      </w:r>
      <w:r w:rsidRPr="000117EC">
        <w:t xml:space="preserve">made under </w:t>
      </w:r>
      <w:r w:rsidR="001B1E70">
        <w:t>that</w:t>
      </w:r>
      <w:r w:rsidR="001B1E70" w:rsidRPr="000117EC">
        <w:t xml:space="preserve"> </w:t>
      </w:r>
      <w:r>
        <w:t>regulation</w:t>
      </w:r>
      <w:r w:rsidRPr="000117EC">
        <w:t>, may incorporate, apply or adopt (with or without change or modification) a law</w:t>
      </w:r>
      <w:r w:rsidR="00812F46">
        <w:t xml:space="preserve">, </w:t>
      </w:r>
      <w:r w:rsidRPr="000117EC">
        <w:t xml:space="preserve">an Australian Standard </w:t>
      </w:r>
      <w:r w:rsidR="00812F46">
        <w:t xml:space="preserve">or an Australian/New Zealand Standard </w:t>
      </w:r>
      <w:r w:rsidRPr="000117EC">
        <w:t>as in force from time or time or another instrument as in force from time to time.</w:t>
      </w:r>
    </w:p>
    <w:p w14:paraId="5F5CD1CA" w14:textId="77777777" w:rsidR="000117EC" w:rsidRPr="000117EC" w:rsidRDefault="000117EC" w:rsidP="000117EC"/>
    <w:p w14:paraId="2B533215" w14:textId="34C79EB3" w:rsidR="00C768C8" w:rsidRDefault="000117EC" w:rsidP="00C768C8">
      <w:r w:rsidRPr="000117EC">
        <w:t xml:space="preserve">This clause disapplies </w:t>
      </w:r>
      <w:r w:rsidR="000E314C">
        <w:t>sub</w:t>
      </w:r>
      <w:r w:rsidRPr="000117EC">
        <w:t>section</w:t>
      </w:r>
      <w:r w:rsidR="000E314C">
        <w:t>s</w:t>
      </w:r>
      <w:r w:rsidRPr="000117EC">
        <w:t xml:space="preserve"> 47(5) and (6) of the </w:t>
      </w:r>
      <w:r w:rsidRPr="000117EC">
        <w:rPr>
          <w:i/>
          <w:iCs/>
        </w:rPr>
        <w:t>Legislation Act 2001</w:t>
      </w:r>
      <w:r w:rsidR="00841302">
        <w:rPr>
          <w:i/>
          <w:iCs/>
        </w:rPr>
        <w:t xml:space="preserve"> </w:t>
      </w:r>
      <w:r w:rsidR="00841302">
        <w:t>(Legislation Act)</w:t>
      </w:r>
      <w:r w:rsidRPr="000117EC">
        <w:t xml:space="preserve">. </w:t>
      </w:r>
      <w:r w:rsidR="00C768C8" w:rsidRPr="00C768C8">
        <w:t xml:space="preserve">Section 47(5) </w:t>
      </w:r>
      <w:r w:rsidR="00841302">
        <w:t xml:space="preserve">of the Legislation Act </w:t>
      </w:r>
      <w:r w:rsidR="00C768C8" w:rsidRPr="00C768C8">
        <w:t xml:space="preserve">states that </w:t>
      </w:r>
      <w:r w:rsidR="001B1E70">
        <w:t xml:space="preserve">if a law of another jurisdiction or </w:t>
      </w:r>
      <w:r w:rsidR="00C768C8" w:rsidRPr="00C768C8">
        <w:t>an instrument</w:t>
      </w:r>
      <w:r w:rsidR="001B1E70">
        <w:t xml:space="preserve"> is applied</w:t>
      </w:r>
      <w:r w:rsidR="00C768C8" w:rsidRPr="00C768C8">
        <w:t xml:space="preserve"> as in force at a </w:t>
      </w:r>
      <w:r w:rsidR="001B1E70">
        <w:t>particular</w:t>
      </w:r>
      <w:r w:rsidR="001B1E70" w:rsidRPr="00C768C8">
        <w:t xml:space="preserve"> </w:t>
      </w:r>
      <w:r w:rsidR="00C768C8" w:rsidRPr="00C768C8">
        <w:t xml:space="preserve">time, </w:t>
      </w:r>
      <w:r w:rsidR="001B1E70">
        <w:t xml:space="preserve">the text of the law or the instrument </w:t>
      </w:r>
      <w:r w:rsidR="00C768C8" w:rsidRPr="00C768C8">
        <w:t xml:space="preserve">is considered a notifiable instrument and must be published on the Legislation Register. Section 47(6) </w:t>
      </w:r>
      <w:r w:rsidR="001B1E70">
        <w:t>provides that if a law of another jurisdiction or an instrument may apply as in force from time to time</w:t>
      </w:r>
      <w:r w:rsidR="00841302">
        <w:t>,</w:t>
      </w:r>
      <w:r w:rsidR="001B1E70">
        <w:t xml:space="preserve"> </w:t>
      </w:r>
      <w:r w:rsidR="00841302">
        <w:t>the text of the law of another jurisdiction or an instrument as in force from time to time is taken to be a notifiable instrument. Section 47(7) of the Legislation Act</w:t>
      </w:r>
      <w:r w:rsidR="001B1E70">
        <w:t xml:space="preserve"> </w:t>
      </w:r>
      <w:r w:rsidR="00841302">
        <w:t xml:space="preserve">provides that a subordinate law (in this case </w:t>
      </w:r>
      <w:r w:rsidR="000E314C">
        <w:t>the Construction Occupations (Licensing) Regulation</w:t>
      </w:r>
      <w:r w:rsidR="00841302">
        <w:t xml:space="preserve"> may provide </w:t>
      </w:r>
      <w:r w:rsidR="00765265">
        <w:t>that subsection</w:t>
      </w:r>
      <w:r w:rsidR="00841302">
        <w:t xml:space="preserve"> 47(5) or (6) either do not apply to the relevant instrument or applies with modification stated in the authorising law or relevant instrument</w:t>
      </w:r>
      <w:r w:rsidR="00C768C8" w:rsidRPr="00C768C8">
        <w:t xml:space="preserve">. </w:t>
      </w:r>
      <w:r w:rsidR="00C768C8" w:rsidRPr="000117EC">
        <w:t>This disapplication will allow a consistent approach to the application, adoption or incorporation of documents whether copyrighted or not otherwise publicly available.</w:t>
      </w:r>
    </w:p>
    <w:p w14:paraId="3C28028A" w14:textId="31B527AC" w:rsidR="00005D3B" w:rsidRDefault="00005D3B" w:rsidP="000117EC"/>
    <w:p w14:paraId="5188B522" w14:textId="4D0B7676" w:rsidR="004B65FC" w:rsidRPr="000117EC" w:rsidRDefault="004B65FC" w:rsidP="004B65FC">
      <w:r>
        <w:t xml:space="preserve">The clause requires the Director-General, in circumstances </w:t>
      </w:r>
      <w:r w:rsidRPr="000117EC">
        <w:t>where a regulation incorporates, applies or adopts</w:t>
      </w:r>
      <w:r>
        <w:t xml:space="preserve"> </w:t>
      </w:r>
      <w:r w:rsidRPr="000117EC">
        <w:t xml:space="preserve">an instrument (excluding a law or an Australian Standard or Australian/New Zealand Standard), to make the incorporated, applied or adopted </w:t>
      </w:r>
      <w:r w:rsidR="0088738B">
        <w:t>through one of the following means</w:t>
      </w:r>
      <w:r w:rsidRPr="000117EC">
        <w:t>:</w:t>
      </w:r>
    </w:p>
    <w:p w14:paraId="43694993" w14:textId="0499ACD3" w:rsidR="004B65FC" w:rsidRDefault="004B65FC" w:rsidP="000117EC"/>
    <w:p w14:paraId="1C20CE6A" w14:textId="77777777" w:rsidR="004B65FC" w:rsidRPr="000117EC" w:rsidRDefault="004B65FC" w:rsidP="004B65FC">
      <w:pPr>
        <w:pStyle w:val="ListParagraph"/>
        <w:numPr>
          <w:ilvl w:val="0"/>
          <w:numId w:val="19"/>
        </w:numPr>
      </w:pPr>
      <w:r w:rsidRPr="000117EC">
        <w:t>available for inspection by anyone without charge during ordinary business hours at an ACT Government office; or</w:t>
      </w:r>
    </w:p>
    <w:p w14:paraId="319B7E31" w14:textId="77777777" w:rsidR="004B65FC" w:rsidRPr="000117EC" w:rsidRDefault="004B65FC" w:rsidP="004B65FC">
      <w:pPr>
        <w:pStyle w:val="ListParagraph"/>
        <w:numPr>
          <w:ilvl w:val="0"/>
          <w:numId w:val="19"/>
        </w:numPr>
      </w:pPr>
      <w:r w:rsidRPr="000117EC">
        <w:t>accessible on an ACT Government website or by a link on an ACT Government website.</w:t>
      </w:r>
    </w:p>
    <w:p w14:paraId="123B06A0" w14:textId="77777777" w:rsidR="000E314C" w:rsidRDefault="000E314C" w:rsidP="000117EC"/>
    <w:p w14:paraId="34BDAE94" w14:textId="6B9019CF" w:rsidR="00005D3B" w:rsidRDefault="00841302" w:rsidP="000117EC">
      <w:r>
        <w:t>An instrument applied, adopted or incorporated under subsection (1)(b) is not enforceable by or against the Territory or anyone else unless it is made available in accordance with subsection (3).</w:t>
      </w:r>
    </w:p>
    <w:p w14:paraId="25433FC9" w14:textId="77777777" w:rsidR="00841302" w:rsidRDefault="00841302" w:rsidP="000117EC"/>
    <w:p w14:paraId="75832C89" w14:textId="77777777" w:rsidR="004B65FC" w:rsidRPr="000117EC" w:rsidRDefault="004B65FC" w:rsidP="004B65FC">
      <w:r w:rsidRPr="000117EC">
        <w:lastRenderedPageBreak/>
        <w:t>This provision aligns with similar provisions across the ACT’s building and construction regulatory system.</w:t>
      </w:r>
    </w:p>
    <w:p w14:paraId="69EA276A" w14:textId="77777777" w:rsidR="00005D3B" w:rsidRDefault="00005D3B" w:rsidP="000117EC"/>
    <w:p w14:paraId="58D69153" w14:textId="47DE7BA2" w:rsidR="004B65FC" w:rsidRDefault="004B65FC" w:rsidP="000117EC">
      <w:r w:rsidRPr="000117EC">
        <w:t>Australian Standard or Australian/New Zealand Standard</w:t>
      </w:r>
      <w:r>
        <w:t xml:space="preserve">s are technical standards used by the building and construction sector to meet regulatory requirements across jurisdictions. The sector is generally expected to have knowledge of the standards relevant to undertaking their professional services. It is noted there are often two or more versions of the Building Code applicable to building work at any one time and as such there are a significant number of Australian Standards and versions of Australian Standards that industry and regulators require access to. </w:t>
      </w:r>
    </w:p>
    <w:p w14:paraId="6C7D1B02" w14:textId="77777777" w:rsidR="004B65FC" w:rsidRDefault="004B65FC" w:rsidP="000117EC"/>
    <w:p w14:paraId="2AF074CC" w14:textId="669EB550" w:rsidR="004B65FC" w:rsidRPr="000117EC" w:rsidRDefault="004B65FC" w:rsidP="004B65FC">
      <w:r>
        <w:t xml:space="preserve">Australian Standards </w:t>
      </w:r>
      <w:r w:rsidRPr="000117EC">
        <w:t>or Australian/New Zealand Standard</w:t>
      </w:r>
      <w:r>
        <w:t xml:space="preserve">s </w:t>
      </w:r>
      <w:r w:rsidRPr="000117EC">
        <w:t xml:space="preserve">are subject to copyright, so cannot be published by way of a </w:t>
      </w:r>
      <w:r>
        <w:t>notifiable</w:t>
      </w:r>
      <w:r w:rsidRPr="000117EC">
        <w:t xml:space="preserve"> instrument. Australian Standards may be purchased at </w:t>
      </w:r>
      <w:hyperlink r:id="rId8" w:history="1">
        <w:r w:rsidRPr="00234151">
          <w:rPr>
            <w:rStyle w:val="Hyperlink"/>
          </w:rPr>
          <w:t>www.standards.org.au</w:t>
        </w:r>
      </w:hyperlink>
      <w:r w:rsidRPr="000117EC">
        <w:t>.</w:t>
      </w:r>
    </w:p>
    <w:p w14:paraId="147CB8FE" w14:textId="65BD91BF" w:rsidR="004B65FC" w:rsidRDefault="004B65FC" w:rsidP="000117EC"/>
    <w:p w14:paraId="101019AB" w14:textId="6D13A0A1" w:rsidR="004B65FC" w:rsidRDefault="004B65FC" w:rsidP="000117EC">
      <w:r>
        <w:t xml:space="preserve">Standards Australia has recently released an initiative (Reader Room) that provides limited, no-fee access to the entire catalogue of Australian Standards for non-commercial </w:t>
      </w:r>
      <w:r w:rsidR="0088738B">
        <w:t>purposes</w:t>
      </w:r>
      <w:r>
        <w:t xml:space="preserve">, that is for personal, domestic or household use. </w:t>
      </w:r>
      <w:r w:rsidR="0088738B">
        <w:t xml:space="preserve">This initiative provides access for free to a maximum of three standards every 12 months, with access for 24 hours at a time. The Reader Room is available at </w:t>
      </w:r>
      <w:hyperlink r:id="rId9" w:history="1">
        <w:r w:rsidR="0088738B" w:rsidRPr="00A43BB5">
          <w:rPr>
            <w:rStyle w:val="Hyperlink"/>
          </w:rPr>
          <w:t>https://readerroom.standards.org.au/</w:t>
        </w:r>
      </w:hyperlink>
      <w:r w:rsidR="00EE6E2F">
        <w:t>.</w:t>
      </w:r>
      <w:r w:rsidR="0088738B">
        <w:t xml:space="preserve"> </w:t>
      </w:r>
    </w:p>
    <w:p w14:paraId="68931EAD" w14:textId="77777777" w:rsidR="0088738B" w:rsidRDefault="0088738B" w:rsidP="000117EC"/>
    <w:p w14:paraId="4F943A94" w14:textId="07229572" w:rsidR="004B65FC" w:rsidRDefault="004B65FC" w:rsidP="000117EC">
      <w:r w:rsidRPr="000117EC">
        <w:t>The ACT continues to work with the Australian Building Codes Board to support improved access to Australian Standards referenced in their documentation, system or schemes.</w:t>
      </w:r>
    </w:p>
    <w:p w14:paraId="07B186A4" w14:textId="77777777" w:rsidR="000117EC" w:rsidRPr="000117EC" w:rsidRDefault="000117EC" w:rsidP="000117EC"/>
    <w:p w14:paraId="1A6EF797" w14:textId="3F39798D" w:rsidR="00627D74" w:rsidRDefault="000117EC" w:rsidP="00FF7139">
      <w:pPr>
        <w:keepNext/>
        <w:tabs>
          <w:tab w:val="left" w:pos="1560"/>
        </w:tabs>
        <w:ind w:left="1417" w:hanging="1440"/>
        <w:rPr>
          <w:b/>
        </w:rPr>
      </w:pPr>
      <w:r>
        <w:rPr>
          <w:b/>
        </w:rPr>
        <w:t>Part 4</w:t>
      </w:r>
      <w:r w:rsidR="00627D74" w:rsidRPr="00627D74">
        <w:rPr>
          <w:b/>
        </w:rPr>
        <w:tab/>
      </w:r>
      <w:r>
        <w:rPr>
          <w:b/>
        </w:rPr>
        <w:t>Gas Safety Regulation 2001</w:t>
      </w:r>
    </w:p>
    <w:p w14:paraId="2B63B052" w14:textId="77777777" w:rsidR="00034586" w:rsidRDefault="00034586" w:rsidP="00FF7139">
      <w:pPr>
        <w:keepNext/>
        <w:tabs>
          <w:tab w:val="left" w:pos="1560"/>
        </w:tabs>
        <w:rPr>
          <w:b/>
        </w:rPr>
      </w:pPr>
    </w:p>
    <w:p w14:paraId="76C7B02B" w14:textId="54FE680C" w:rsidR="00034586" w:rsidRDefault="00034586" w:rsidP="00FF7139">
      <w:pPr>
        <w:keepNext/>
        <w:tabs>
          <w:tab w:val="left" w:pos="1560"/>
        </w:tabs>
        <w:ind w:left="1417" w:hanging="1440"/>
        <w:rPr>
          <w:b/>
        </w:rPr>
      </w:pPr>
      <w:r w:rsidRPr="00627D74">
        <w:rPr>
          <w:b/>
        </w:rPr>
        <w:t xml:space="preserve">Clause </w:t>
      </w:r>
      <w:r w:rsidR="000117EC">
        <w:rPr>
          <w:b/>
        </w:rPr>
        <w:t>9</w:t>
      </w:r>
      <w:r w:rsidRPr="00627D74">
        <w:rPr>
          <w:b/>
        </w:rPr>
        <w:tab/>
      </w:r>
      <w:r w:rsidR="000117EC">
        <w:rPr>
          <w:b/>
        </w:rPr>
        <w:t>Section 17, heading</w:t>
      </w:r>
    </w:p>
    <w:p w14:paraId="2AEE7C71" w14:textId="77777777" w:rsidR="006F3DB2" w:rsidRDefault="006F3DB2" w:rsidP="00614DCB">
      <w:pPr>
        <w:tabs>
          <w:tab w:val="left" w:pos="1560"/>
        </w:tabs>
        <w:ind w:left="1418" w:hanging="1440"/>
        <w:rPr>
          <w:bCs/>
        </w:rPr>
      </w:pPr>
    </w:p>
    <w:p w14:paraId="3DD6C285" w14:textId="4765325F" w:rsidR="006F3DB2" w:rsidRDefault="006F3DB2" w:rsidP="00614DCB">
      <w:pPr>
        <w:tabs>
          <w:tab w:val="left" w:pos="1560"/>
        </w:tabs>
        <w:ind w:left="1418" w:hanging="1440"/>
        <w:rPr>
          <w:bCs/>
        </w:rPr>
      </w:pPr>
      <w:r>
        <w:rPr>
          <w:bCs/>
        </w:rPr>
        <w:t xml:space="preserve">This clause </w:t>
      </w:r>
      <w:r w:rsidR="00E138A7">
        <w:rPr>
          <w:bCs/>
        </w:rPr>
        <w:t>substitutes</w:t>
      </w:r>
      <w:r>
        <w:rPr>
          <w:bCs/>
        </w:rPr>
        <w:t xml:space="preserve"> </w:t>
      </w:r>
      <w:r w:rsidR="00065A93">
        <w:rPr>
          <w:bCs/>
        </w:rPr>
        <w:t>the section heading to incorporate medical gas systems</w:t>
      </w:r>
      <w:r>
        <w:rPr>
          <w:bCs/>
        </w:rPr>
        <w:t>.</w:t>
      </w:r>
    </w:p>
    <w:p w14:paraId="534D8234" w14:textId="661DFFBE" w:rsidR="00034586" w:rsidRDefault="00034586" w:rsidP="00614DCB">
      <w:pPr>
        <w:tabs>
          <w:tab w:val="left" w:pos="1560"/>
        </w:tabs>
        <w:ind w:left="1418" w:hanging="1440"/>
        <w:rPr>
          <w:b/>
        </w:rPr>
      </w:pPr>
    </w:p>
    <w:p w14:paraId="2F694E3E" w14:textId="176FB0C5" w:rsidR="006F3DB2" w:rsidRDefault="006F3DB2" w:rsidP="00614DCB">
      <w:pPr>
        <w:tabs>
          <w:tab w:val="left" w:pos="1560"/>
        </w:tabs>
        <w:ind w:left="1418" w:hanging="1440"/>
        <w:rPr>
          <w:b/>
        </w:rPr>
      </w:pPr>
      <w:r w:rsidRPr="00627D74">
        <w:rPr>
          <w:b/>
        </w:rPr>
        <w:t xml:space="preserve">Clause </w:t>
      </w:r>
      <w:r>
        <w:rPr>
          <w:b/>
        </w:rPr>
        <w:t>1</w:t>
      </w:r>
      <w:r w:rsidR="00065A93">
        <w:rPr>
          <w:b/>
        </w:rPr>
        <w:t>0</w:t>
      </w:r>
      <w:r w:rsidRPr="00627D74">
        <w:rPr>
          <w:b/>
        </w:rPr>
        <w:tab/>
      </w:r>
      <w:r w:rsidR="00065A93">
        <w:rPr>
          <w:b/>
        </w:rPr>
        <w:t>Section 17(1)</w:t>
      </w:r>
      <w:r w:rsidRPr="00627D74">
        <w:rPr>
          <w:b/>
        </w:rPr>
        <w:t xml:space="preserve"> </w:t>
      </w:r>
    </w:p>
    <w:p w14:paraId="27E8F770" w14:textId="6186A27A" w:rsidR="006F3DB2" w:rsidRDefault="006F3DB2" w:rsidP="00614DCB">
      <w:pPr>
        <w:tabs>
          <w:tab w:val="left" w:pos="1560"/>
        </w:tabs>
        <w:ind w:left="1418" w:hanging="1440"/>
        <w:rPr>
          <w:b/>
        </w:rPr>
      </w:pPr>
    </w:p>
    <w:p w14:paraId="05140DC5" w14:textId="0B9D55E1" w:rsidR="006F3DB2" w:rsidRDefault="00EA0D9E" w:rsidP="00EA0D9E">
      <w:pPr>
        <w:tabs>
          <w:tab w:val="left" w:pos="1560"/>
        </w:tabs>
        <w:ind w:hanging="22"/>
        <w:rPr>
          <w:bCs/>
        </w:rPr>
      </w:pPr>
      <w:r w:rsidRPr="00EA0D9E">
        <w:rPr>
          <w:bCs/>
        </w:rPr>
        <w:t xml:space="preserve">This </w:t>
      </w:r>
      <w:r w:rsidRPr="00EA0D9E">
        <w:t>clause is a minor and technical amendment to</w:t>
      </w:r>
      <w:r w:rsidR="00B25919">
        <w:t xml:space="preserve"> section 17(1) of the </w:t>
      </w:r>
      <w:r w:rsidR="00B25919" w:rsidRPr="00765265">
        <w:rPr>
          <w:i/>
          <w:iCs/>
        </w:rPr>
        <w:t>Gas Safety Regulation 2001</w:t>
      </w:r>
      <w:r w:rsidR="00B25919">
        <w:t xml:space="preserve">, to incorporate a medical gas system into the existing provisions related to consumer piping systems. This inclusion is consequential to the changes made to the </w:t>
      </w:r>
      <w:r w:rsidRPr="00EA0D9E">
        <w:rPr>
          <w:i/>
          <w:iCs/>
        </w:rPr>
        <w:t>Gas Safety Act 2000</w:t>
      </w:r>
      <w:r w:rsidR="009B0D15">
        <w:t>,</w:t>
      </w:r>
      <w:r w:rsidRPr="00EA0D9E">
        <w:t xml:space="preserve"> </w:t>
      </w:r>
      <w:r w:rsidR="009B0D15">
        <w:t xml:space="preserve">as part of </w:t>
      </w:r>
      <w:r w:rsidRPr="00EA0D9E">
        <w:t xml:space="preserve">the </w:t>
      </w:r>
      <w:r w:rsidRPr="00EA0D9E">
        <w:rPr>
          <w:i/>
          <w:iCs/>
        </w:rPr>
        <w:t>Building and</w:t>
      </w:r>
      <w:r w:rsidRPr="00EA0D9E">
        <w:rPr>
          <w:bCs/>
          <w:i/>
          <w:iCs/>
        </w:rPr>
        <w:t xml:space="preserve"> Construction Legislation Amendment Act 2023</w:t>
      </w:r>
      <w:r w:rsidRPr="00EA0D9E">
        <w:rPr>
          <w:bCs/>
        </w:rPr>
        <w:t>.</w:t>
      </w:r>
    </w:p>
    <w:p w14:paraId="31FFD55D" w14:textId="77777777" w:rsidR="00B25919" w:rsidRDefault="00B25919" w:rsidP="00EA0D9E">
      <w:pPr>
        <w:tabs>
          <w:tab w:val="left" w:pos="1560"/>
        </w:tabs>
        <w:ind w:hanging="22"/>
        <w:rPr>
          <w:bCs/>
        </w:rPr>
      </w:pPr>
    </w:p>
    <w:p w14:paraId="6A55EB05" w14:textId="4072D907" w:rsidR="00B25919" w:rsidRDefault="00B25919" w:rsidP="00EA0D9E">
      <w:pPr>
        <w:tabs>
          <w:tab w:val="left" w:pos="1560"/>
        </w:tabs>
        <w:ind w:hanging="22"/>
        <w:rPr>
          <w:bCs/>
        </w:rPr>
      </w:pPr>
      <w:r>
        <w:rPr>
          <w:bCs/>
        </w:rPr>
        <w:t xml:space="preserve">By inserting medical gas systems, the regulation clarifies that safety assessments and regulatory requirements now also apply to medical gas systems, ensuring consistent standard and oversight across both consumer piping and medical gas systems. </w:t>
      </w:r>
    </w:p>
    <w:p w14:paraId="009691CF" w14:textId="77777777" w:rsidR="00EA0D9E" w:rsidRPr="00EA0D9E" w:rsidRDefault="00EA0D9E" w:rsidP="00EA0D9E">
      <w:pPr>
        <w:tabs>
          <w:tab w:val="left" w:pos="1560"/>
        </w:tabs>
        <w:ind w:hanging="22"/>
        <w:rPr>
          <w:bCs/>
        </w:rPr>
      </w:pPr>
    </w:p>
    <w:p w14:paraId="73CF6494" w14:textId="3DB787DD" w:rsidR="00A746DB" w:rsidRDefault="00A746DB" w:rsidP="00614DCB">
      <w:pPr>
        <w:tabs>
          <w:tab w:val="left" w:pos="1560"/>
        </w:tabs>
        <w:ind w:left="1418" w:hanging="1440"/>
        <w:rPr>
          <w:b/>
        </w:rPr>
      </w:pPr>
      <w:r w:rsidRPr="00627D74">
        <w:rPr>
          <w:b/>
        </w:rPr>
        <w:t xml:space="preserve">Clause </w:t>
      </w:r>
      <w:r>
        <w:rPr>
          <w:b/>
        </w:rPr>
        <w:t>1</w:t>
      </w:r>
      <w:r w:rsidR="00EA0D9E">
        <w:rPr>
          <w:b/>
        </w:rPr>
        <w:t>1</w:t>
      </w:r>
      <w:r w:rsidRPr="00627D74">
        <w:rPr>
          <w:b/>
        </w:rPr>
        <w:tab/>
      </w:r>
      <w:r w:rsidR="00EA0D9E">
        <w:rPr>
          <w:b/>
        </w:rPr>
        <w:t>Section 17(2)</w:t>
      </w:r>
    </w:p>
    <w:p w14:paraId="697AB24F" w14:textId="77777777" w:rsidR="00A506A8" w:rsidRDefault="00A506A8" w:rsidP="00614DCB">
      <w:pPr>
        <w:tabs>
          <w:tab w:val="left" w:pos="1560"/>
        </w:tabs>
        <w:ind w:left="1418" w:hanging="1440"/>
        <w:rPr>
          <w:bCs/>
        </w:rPr>
      </w:pPr>
    </w:p>
    <w:p w14:paraId="29282328" w14:textId="19A96156" w:rsidR="00645F58" w:rsidRPr="00F953A6" w:rsidRDefault="00A506A8" w:rsidP="00F953A6">
      <w:pPr>
        <w:tabs>
          <w:tab w:val="left" w:pos="1560"/>
        </w:tabs>
        <w:ind w:hanging="22"/>
        <w:rPr>
          <w:b/>
        </w:rPr>
      </w:pPr>
      <w:r>
        <w:rPr>
          <w:bCs/>
        </w:rPr>
        <w:t xml:space="preserve">This clause </w:t>
      </w:r>
      <w:r w:rsidR="00B25919">
        <w:rPr>
          <w:bCs/>
        </w:rPr>
        <w:t>substitute</w:t>
      </w:r>
      <w:r w:rsidR="00841302">
        <w:rPr>
          <w:bCs/>
        </w:rPr>
        <w:t>s</w:t>
      </w:r>
      <w:r>
        <w:rPr>
          <w:bCs/>
        </w:rPr>
        <w:t xml:space="preserve"> </w:t>
      </w:r>
      <w:r w:rsidR="00EA0D9E">
        <w:rPr>
          <w:bCs/>
        </w:rPr>
        <w:t>section 17(2)</w:t>
      </w:r>
      <w:r w:rsidR="00B25919">
        <w:rPr>
          <w:bCs/>
        </w:rPr>
        <w:t xml:space="preserve"> of the </w:t>
      </w:r>
      <w:r w:rsidR="00B25919" w:rsidRPr="00FF7139">
        <w:rPr>
          <w:bCs/>
          <w:i/>
          <w:iCs/>
        </w:rPr>
        <w:t>Gas Safety Regulation 2001</w:t>
      </w:r>
      <w:r w:rsidR="00B25919">
        <w:rPr>
          <w:bCs/>
        </w:rPr>
        <w:t xml:space="preserve">, requiring certain individuals to organise testing to assess the safety of a system. This amendment will give the Construction Occupations Registrar the power to direct the relevant responsible parties to ensure safety testing is conducted on these systems. </w:t>
      </w:r>
      <w:r w:rsidR="00EA0D9E">
        <w:rPr>
          <w:bCs/>
        </w:rPr>
        <w:t xml:space="preserve"> </w:t>
      </w:r>
    </w:p>
    <w:sectPr w:rsidR="00645F58" w:rsidRPr="00F953A6" w:rsidSect="00C1618B">
      <w:headerReference w:type="even" r:id="rId10"/>
      <w:headerReference w:type="default" r:id="rId11"/>
      <w:footerReference w:type="even" r:id="rId12"/>
      <w:footerReference w:type="default" r:id="rId13"/>
      <w:headerReference w:type="first" r:id="rId14"/>
      <w:footerReference w:type="first" r:id="rId15"/>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B2A82" w14:textId="77777777" w:rsidR="00290594" w:rsidRDefault="00290594" w:rsidP="006815C9">
      <w:r>
        <w:separator/>
      </w:r>
    </w:p>
  </w:endnote>
  <w:endnote w:type="continuationSeparator" w:id="0">
    <w:p w14:paraId="628A8170" w14:textId="77777777" w:rsidR="00290594" w:rsidRDefault="00290594"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ADCE" w14:textId="77777777" w:rsidR="00B34237" w:rsidRDefault="00B34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12AB" w14:textId="0B9BD057" w:rsidR="002048C8" w:rsidRPr="004B3258" w:rsidRDefault="004B3258" w:rsidP="004B3258">
    <w:pPr>
      <w:pStyle w:val="Footer"/>
      <w:jc w:val="center"/>
      <w:rPr>
        <w:rFonts w:cs="Arial"/>
        <w:sz w:val="14"/>
      </w:rPr>
    </w:pPr>
    <w:r w:rsidRPr="004B325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7A30" w14:textId="77777777" w:rsidR="00B34237" w:rsidRDefault="00B34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2F0A9" w14:textId="77777777" w:rsidR="00290594" w:rsidRDefault="00290594" w:rsidP="006815C9">
      <w:r>
        <w:separator/>
      </w:r>
    </w:p>
  </w:footnote>
  <w:footnote w:type="continuationSeparator" w:id="0">
    <w:p w14:paraId="508F84C1" w14:textId="77777777" w:rsidR="00290594" w:rsidRDefault="00290594" w:rsidP="0068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89075" w14:textId="77777777" w:rsidR="00B34237" w:rsidRDefault="00B342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B303E" w14:textId="77777777" w:rsidR="00B34237" w:rsidRDefault="00B342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0A3B" w14:textId="77777777" w:rsidR="00B34237" w:rsidRDefault="00B34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A730E"/>
    <w:multiLevelType w:val="hybridMultilevel"/>
    <w:tmpl w:val="09B838AA"/>
    <w:lvl w:ilvl="0" w:tplc="FE522BD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A40D88"/>
    <w:multiLevelType w:val="hybridMultilevel"/>
    <w:tmpl w:val="92E61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DB640B"/>
    <w:multiLevelType w:val="hybridMultilevel"/>
    <w:tmpl w:val="B1CA0E42"/>
    <w:lvl w:ilvl="0" w:tplc="4FA61B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05A2B2C"/>
    <w:multiLevelType w:val="hybridMultilevel"/>
    <w:tmpl w:val="9148FA2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35872B8"/>
    <w:multiLevelType w:val="hybridMultilevel"/>
    <w:tmpl w:val="E0047B24"/>
    <w:lvl w:ilvl="0" w:tplc="0C09000F">
      <w:start w:val="1"/>
      <w:numFmt w:val="decimal"/>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0"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1"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2" w15:restartNumberingAfterBreak="0">
    <w:nsid w:val="3D8E2730"/>
    <w:multiLevelType w:val="hybridMultilevel"/>
    <w:tmpl w:val="27A64F7C"/>
    <w:lvl w:ilvl="0" w:tplc="B942CF38">
      <w:numFmt w:val="bullet"/>
      <w:lvlText w:val="-"/>
      <w:lvlJc w:val="left"/>
      <w:pPr>
        <w:ind w:left="720" w:hanging="360"/>
      </w:pPr>
      <w:rPr>
        <w:rFonts w:ascii="Times New Roman" w:eastAsia="Times New Roman" w:hAnsi="Times New Roman" w:cs="Times New Roman"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4" w15:restartNumberingAfterBreak="0">
    <w:nsid w:val="65BB0470"/>
    <w:multiLevelType w:val="hybridMultilevel"/>
    <w:tmpl w:val="8BDC0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6AC17EA"/>
    <w:multiLevelType w:val="hybridMultilevel"/>
    <w:tmpl w:val="C3007D2E"/>
    <w:lvl w:ilvl="0" w:tplc="4A1810F6">
      <w:start w:val="1"/>
      <w:numFmt w:val="decimal"/>
      <w:lvlText w:val="%1."/>
      <w:lvlJc w:val="left"/>
      <w:pPr>
        <w:ind w:left="360" w:hanging="360"/>
      </w:pPr>
      <w:rPr>
        <w:i w:val="0"/>
        <w:iCs/>
      </w:rPr>
    </w:lvl>
    <w:lvl w:ilvl="1" w:tplc="0C090019">
      <w:start w:val="1"/>
      <w:numFmt w:val="lowerLetter"/>
      <w:lvlText w:val="%2."/>
      <w:lvlJc w:val="left"/>
      <w:pPr>
        <w:ind w:left="51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DFB265A6">
      <w:start w:val="1"/>
      <w:numFmt w:val="lowerRoman"/>
      <w:lvlText w:val="(%6)"/>
      <w:lvlJc w:val="left"/>
      <w:pPr>
        <w:ind w:left="4500" w:hanging="72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850159C"/>
    <w:multiLevelType w:val="hybridMultilevel"/>
    <w:tmpl w:val="E8D00B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8" w15:restartNumberingAfterBreak="0">
    <w:nsid w:val="76AD24DD"/>
    <w:multiLevelType w:val="hybridMultilevel"/>
    <w:tmpl w:val="D2B639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413117937">
    <w:abstractNumId w:val="2"/>
  </w:num>
  <w:num w:numId="2" w16cid:durableId="1080100967">
    <w:abstractNumId w:val="0"/>
  </w:num>
  <w:num w:numId="3" w16cid:durableId="1783378686">
    <w:abstractNumId w:val="4"/>
  </w:num>
  <w:num w:numId="4" w16cid:durableId="607196000">
    <w:abstractNumId w:val="11"/>
  </w:num>
  <w:num w:numId="5" w16cid:durableId="69740750">
    <w:abstractNumId w:val="17"/>
  </w:num>
  <w:num w:numId="6" w16cid:durableId="941955501">
    <w:abstractNumId w:val="1"/>
  </w:num>
  <w:num w:numId="7" w16cid:durableId="1265721881">
    <w:abstractNumId w:val="9"/>
  </w:num>
  <w:num w:numId="8" w16cid:durableId="1439564944">
    <w:abstractNumId w:val="10"/>
  </w:num>
  <w:num w:numId="9" w16cid:durableId="1263536376">
    <w:abstractNumId w:val="13"/>
  </w:num>
  <w:num w:numId="10" w16cid:durableId="2030326275">
    <w:abstractNumId w:val="12"/>
  </w:num>
  <w:num w:numId="11" w16cid:durableId="1540513297">
    <w:abstractNumId w:val="14"/>
  </w:num>
  <w:num w:numId="12" w16cid:durableId="656081010">
    <w:abstractNumId w:val="6"/>
  </w:num>
  <w:num w:numId="13" w16cid:durableId="1983578932">
    <w:abstractNumId w:val="8"/>
  </w:num>
  <w:num w:numId="14" w16cid:durableId="2024044331">
    <w:abstractNumId w:val="18"/>
  </w:num>
  <w:num w:numId="15" w16cid:durableId="161118477">
    <w:abstractNumId w:val="16"/>
  </w:num>
  <w:num w:numId="16" w16cid:durableId="1214541820">
    <w:abstractNumId w:val="3"/>
  </w:num>
  <w:num w:numId="17" w16cid:durableId="599610281">
    <w:abstractNumId w:val="15"/>
  </w:num>
  <w:num w:numId="18" w16cid:durableId="297927864">
    <w:abstractNumId w:val="7"/>
  </w:num>
  <w:num w:numId="19" w16cid:durableId="19280042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71D"/>
    <w:rsid w:val="00002BE2"/>
    <w:rsid w:val="00005D3B"/>
    <w:rsid w:val="000117EC"/>
    <w:rsid w:val="000140D0"/>
    <w:rsid w:val="00034586"/>
    <w:rsid w:val="00040E22"/>
    <w:rsid w:val="00042325"/>
    <w:rsid w:val="0005401B"/>
    <w:rsid w:val="0006413A"/>
    <w:rsid w:val="0006462B"/>
    <w:rsid w:val="00065A93"/>
    <w:rsid w:val="00071BDD"/>
    <w:rsid w:val="000832A1"/>
    <w:rsid w:val="00091D34"/>
    <w:rsid w:val="00094B1A"/>
    <w:rsid w:val="000A126D"/>
    <w:rsid w:val="000C1481"/>
    <w:rsid w:val="000C2022"/>
    <w:rsid w:val="000C254A"/>
    <w:rsid w:val="000D0393"/>
    <w:rsid w:val="000E314C"/>
    <w:rsid w:val="00100CFF"/>
    <w:rsid w:val="00111AC7"/>
    <w:rsid w:val="0013180F"/>
    <w:rsid w:val="001715B1"/>
    <w:rsid w:val="00182962"/>
    <w:rsid w:val="001B07DD"/>
    <w:rsid w:val="001B1E70"/>
    <w:rsid w:val="001E1262"/>
    <w:rsid w:val="001E6851"/>
    <w:rsid w:val="001E6DCC"/>
    <w:rsid w:val="002048C8"/>
    <w:rsid w:val="00210FF5"/>
    <w:rsid w:val="00217359"/>
    <w:rsid w:val="00237826"/>
    <w:rsid w:val="00246511"/>
    <w:rsid w:val="00247D13"/>
    <w:rsid w:val="0025520B"/>
    <w:rsid w:val="0025753A"/>
    <w:rsid w:val="00263019"/>
    <w:rsid w:val="00270B44"/>
    <w:rsid w:val="00287B12"/>
    <w:rsid w:val="00290594"/>
    <w:rsid w:val="002A324F"/>
    <w:rsid w:val="002B5142"/>
    <w:rsid w:val="002B6E37"/>
    <w:rsid w:val="002C0BC6"/>
    <w:rsid w:val="002C692A"/>
    <w:rsid w:val="002E05E2"/>
    <w:rsid w:val="002E1079"/>
    <w:rsid w:val="002E115C"/>
    <w:rsid w:val="002F1101"/>
    <w:rsid w:val="00302862"/>
    <w:rsid w:val="00312271"/>
    <w:rsid w:val="0034519F"/>
    <w:rsid w:val="00356F41"/>
    <w:rsid w:val="00357A62"/>
    <w:rsid w:val="00373229"/>
    <w:rsid w:val="00395007"/>
    <w:rsid w:val="00397258"/>
    <w:rsid w:val="003A4D6C"/>
    <w:rsid w:val="003C3A19"/>
    <w:rsid w:val="003C696A"/>
    <w:rsid w:val="003D53CE"/>
    <w:rsid w:val="003E0E30"/>
    <w:rsid w:val="003E35FC"/>
    <w:rsid w:val="003F6F20"/>
    <w:rsid w:val="004448E2"/>
    <w:rsid w:val="00475B3C"/>
    <w:rsid w:val="004844AD"/>
    <w:rsid w:val="00491116"/>
    <w:rsid w:val="004A04E8"/>
    <w:rsid w:val="004A5D38"/>
    <w:rsid w:val="004A6854"/>
    <w:rsid w:val="004A70FB"/>
    <w:rsid w:val="004B3258"/>
    <w:rsid w:val="004B5BAB"/>
    <w:rsid w:val="004B65FC"/>
    <w:rsid w:val="004B7DFC"/>
    <w:rsid w:val="004C31A8"/>
    <w:rsid w:val="004D3C8B"/>
    <w:rsid w:val="004E2774"/>
    <w:rsid w:val="004F62B9"/>
    <w:rsid w:val="00510016"/>
    <w:rsid w:val="005241AA"/>
    <w:rsid w:val="00524BB8"/>
    <w:rsid w:val="005260AE"/>
    <w:rsid w:val="00530761"/>
    <w:rsid w:val="00541A14"/>
    <w:rsid w:val="005456B0"/>
    <w:rsid w:val="005508CE"/>
    <w:rsid w:val="005544BE"/>
    <w:rsid w:val="00567D72"/>
    <w:rsid w:val="00576EC6"/>
    <w:rsid w:val="005907C7"/>
    <w:rsid w:val="005A58DF"/>
    <w:rsid w:val="005A7B87"/>
    <w:rsid w:val="005B423E"/>
    <w:rsid w:val="005C03B9"/>
    <w:rsid w:val="005C73DB"/>
    <w:rsid w:val="005E4D60"/>
    <w:rsid w:val="006115A6"/>
    <w:rsid w:val="00614DCB"/>
    <w:rsid w:val="00620F86"/>
    <w:rsid w:val="00621BC5"/>
    <w:rsid w:val="00627D74"/>
    <w:rsid w:val="00633069"/>
    <w:rsid w:val="006337C7"/>
    <w:rsid w:val="00645F58"/>
    <w:rsid w:val="00652AE0"/>
    <w:rsid w:val="00653173"/>
    <w:rsid w:val="006561C4"/>
    <w:rsid w:val="00656DD4"/>
    <w:rsid w:val="0066794D"/>
    <w:rsid w:val="006815C9"/>
    <w:rsid w:val="00692D26"/>
    <w:rsid w:val="00696C57"/>
    <w:rsid w:val="006A6C54"/>
    <w:rsid w:val="006B73D4"/>
    <w:rsid w:val="006C6D1F"/>
    <w:rsid w:val="006D4BC0"/>
    <w:rsid w:val="006D6739"/>
    <w:rsid w:val="006E7046"/>
    <w:rsid w:val="006F3DB2"/>
    <w:rsid w:val="006F3EF9"/>
    <w:rsid w:val="00703A9E"/>
    <w:rsid w:val="00714A25"/>
    <w:rsid w:val="0072249E"/>
    <w:rsid w:val="007643B6"/>
    <w:rsid w:val="00765265"/>
    <w:rsid w:val="0078775E"/>
    <w:rsid w:val="00795FC1"/>
    <w:rsid w:val="007A021A"/>
    <w:rsid w:val="007A025B"/>
    <w:rsid w:val="007A771D"/>
    <w:rsid w:val="007B15ED"/>
    <w:rsid w:val="007F5E05"/>
    <w:rsid w:val="00800F6A"/>
    <w:rsid w:val="008052B8"/>
    <w:rsid w:val="008053F2"/>
    <w:rsid w:val="00812F46"/>
    <w:rsid w:val="00841302"/>
    <w:rsid w:val="008511EC"/>
    <w:rsid w:val="00855F38"/>
    <w:rsid w:val="008648A5"/>
    <w:rsid w:val="0087507C"/>
    <w:rsid w:val="00886AF1"/>
    <w:rsid w:val="0088738B"/>
    <w:rsid w:val="00891E94"/>
    <w:rsid w:val="008A1020"/>
    <w:rsid w:val="008B7270"/>
    <w:rsid w:val="00917210"/>
    <w:rsid w:val="00917D57"/>
    <w:rsid w:val="00923774"/>
    <w:rsid w:val="00943042"/>
    <w:rsid w:val="00965DB0"/>
    <w:rsid w:val="00974BF4"/>
    <w:rsid w:val="0098020E"/>
    <w:rsid w:val="00981EBE"/>
    <w:rsid w:val="009908C1"/>
    <w:rsid w:val="009B0D15"/>
    <w:rsid w:val="009B7F25"/>
    <w:rsid w:val="009C6B88"/>
    <w:rsid w:val="009D21F5"/>
    <w:rsid w:val="009D39EF"/>
    <w:rsid w:val="009E7A98"/>
    <w:rsid w:val="009F0A48"/>
    <w:rsid w:val="00A01CEA"/>
    <w:rsid w:val="00A06228"/>
    <w:rsid w:val="00A115A7"/>
    <w:rsid w:val="00A137E8"/>
    <w:rsid w:val="00A1545E"/>
    <w:rsid w:val="00A17306"/>
    <w:rsid w:val="00A47897"/>
    <w:rsid w:val="00A506A8"/>
    <w:rsid w:val="00A746DB"/>
    <w:rsid w:val="00A75678"/>
    <w:rsid w:val="00A93605"/>
    <w:rsid w:val="00AC243C"/>
    <w:rsid w:val="00AE65D0"/>
    <w:rsid w:val="00AF2EFA"/>
    <w:rsid w:val="00AF7127"/>
    <w:rsid w:val="00B10E7B"/>
    <w:rsid w:val="00B23B67"/>
    <w:rsid w:val="00B25919"/>
    <w:rsid w:val="00B34237"/>
    <w:rsid w:val="00B42DE9"/>
    <w:rsid w:val="00B55248"/>
    <w:rsid w:val="00B621AB"/>
    <w:rsid w:val="00B65950"/>
    <w:rsid w:val="00B7336E"/>
    <w:rsid w:val="00B90269"/>
    <w:rsid w:val="00BA32AF"/>
    <w:rsid w:val="00BA640D"/>
    <w:rsid w:val="00BC4F25"/>
    <w:rsid w:val="00BD613A"/>
    <w:rsid w:val="00BE0C1F"/>
    <w:rsid w:val="00C1618B"/>
    <w:rsid w:val="00C40997"/>
    <w:rsid w:val="00C60C49"/>
    <w:rsid w:val="00C627CF"/>
    <w:rsid w:val="00C768C8"/>
    <w:rsid w:val="00C76916"/>
    <w:rsid w:val="00C83810"/>
    <w:rsid w:val="00C84A9C"/>
    <w:rsid w:val="00C85B88"/>
    <w:rsid w:val="00CA5D2D"/>
    <w:rsid w:val="00CB6D72"/>
    <w:rsid w:val="00CF183A"/>
    <w:rsid w:val="00CF1D16"/>
    <w:rsid w:val="00CF24FE"/>
    <w:rsid w:val="00D03B57"/>
    <w:rsid w:val="00D13FFE"/>
    <w:rsid w:val="00D302B8"/>
    <w:rsid w:val="00D33066"/>
    <w:rsid w:val="00D37BAB"/>
    <w:rsid w:val="00D552E7"/>
    <w:rsid w:val="00D928AB"/>
    <w:rsid w:val="00D9327A"/>
    <w:rsid w:val="00D979A3"/>
    <w:rsid w:val="00DA0F68"/>
    <w:rsid w:val="00DB087B"/>
    <w:rsid w:val="00DB3875"/>
    <w:rsid w:val="00DB4016"/>
    <w:rsid w:val="00DD2B6B"/>
    <w:rsid w:val="00DE417B"/>
    <w:rsid w:val="00DE7DA1"/>
    <w:rsid w:val="00E005B2"/>
    <w:rsid w:val="00E01968"/>
    <w:rsid w:val="00E061B0"/>
    <w:rsid w:val="00E138A7"/>
    <w:rsid w:val="00E13947"/>
    <w:rsid w:val="00E20ACA"/>
    <w:rsid w:val="00E23641"/>
    <w:rsid w:val="00E314EA"/>
    <w:rsid w:val="00E432EE"/>
    <w:rsid w:val="00E64680"/>
    <w:rsid w:val="00E65935"/>
    <w:rsid w:val="00E67083"/>
    <w:rsid w:val="00E82762"/>
    <w:rsid w:val="00E96003"/>
    <w:rsid w:val="00EA0D9E"/>
    <w:rsid w:val="00EB5639"/>
    <w:rsid w:val="00EB5719"/>
    <w:rsid w:val="00EC1DD8"/>
    <w:rsid w:val="00EC5EF9"/>
    <w:rsid w:val="00EE6E2F"/>
    <w:rsid w:val="00EF12E6"/>
    <w:rsid w:val="00F0643B"/>
    <w:rsid w:val="00F3015C"/>
    <w:rsid w:val="00F40057"/>
    <w:rsid w:val="00F46EAF"/>
    <w:rsid w:val="00F5371D"/>
    <w:rsid w:val="00F624AD"/>
    <w:rsid w:val="00F664D7"/>
    <w:rsid w:val="00F800C6"/>
    <w:rsid w:val="00F953A6"/>
    <w:rsid w:val="00FB0F6D"/>
    <w:rsid w:val="00FC6A42"/>
    <w:rsid w:val="00FD6AAB"/>
    <w:rsid w:val="00FE048D"/>
    <w:rsid w:val="00FF71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36568"/>
  <w15:docId w15:val="{0D199EDC-9632-4DCB-B20D-62F32709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semiHidden/>
    <w:rsid w:val="00C1618B"/>
    <w:rPr>
      <w:rFonts w:ascii="Times New Roman" w:hAnsi="Times New Roman" w:cs="Times New Roman"/>
      <w:sz w:val="24"/>
      <w:szCs w:val="24"/>
      <w:vertAlign w:val="superscript"/>
    </w:rPr>
  </w:style>
  <w:style w:type="paragraph" w:styleId="FootnoteText">
    <w:name w:val="footnote text"/>
    <w:basedOn w:val="Normal"/>
    <w:semiHidden/>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paragraph" w:styleId="ListParagraph">
    <w:name w:val="List Paragraph"/>
    <w:basedOn w:val="Normal"/>
    <w:uiPriority w:val="34"/>
    <w:qFormat/>
    <w:rsid w:val="000832A1"/>
    <w:pPr>
      <w:ind w:left="720"/>
      <w:contextualSpacing/>
    </w:pPr>
  </w:style>
  <w:style w:type="paragraph" w:customStyle="1" w:styleId="Default">
    <w:name w:val="Default"/>
    <w:rsid w:val="00C85B88"/>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1E6DCC"/>
    <w:rPr>
      <w:sz w:val="16"/>
      <w:szCs w:val="16"/>
    </w:rPr>
  </w:style>
  <w:style w:type="paragraph" w:styleId="CommentText">
    <w:name w:val="annotation text"/>
    <w:basedOn w:val="Normal"/>
    <w:link w:val="CommentTextChar"/>
    <w:uiPriority w:val="99"/>
    <w:unhideWhenUsed/>
    <w:rsid w:val="001E6DCC"/>
    <w:rPr>
      <w:sz w:val="20"/>
    </w:rPr>
  </w:style>
  <w:style w:type="character" w:customStyle="1" w:styleId="CommentTextChar">
    <w:name w:val="Comment Text Char"/>
    <w:basedOn w:val="DefaultParagraphFont"/>
    <w:link w:val="CommentText"/>
    <w:uiPriority w:val="99"/>
    <w:rsid w:val="001E6DCC"/>
    <w:rPr>
      <w:lang w:eastAsia="en-US"/>
    </w:rPr>
  </w:style>
  <w:style w:type="paragraph" w:styleId="CommentSubject">
    <w:name w:val="annotation subject"/>
    <w:basedOn w:val="CommentText"/>
    <w:next w:val="CommentText"/>
    <w:link w:val="CommentSubjectChar"/>
    <w:uiPriority w:val="99"/>
    <w:semiHidden/>
    <w:unhideWhenUsed/>
    <w:rsid w:val="001E6DCC"/>
    <w:rPr>
      <w:b/>
      <w:bCs/>
    </w:rPr>
  </w:style>
  <w:style w:type="character" w:customStyle="1" w:styleId="CommentSubjectChar">
    <w:name w:val="Comment Subject Char"/>
    <w:basedOn w:val="CommentTextChar"/>
    <w:link w:val="CommentSubject"/>
    <w:uiPriority w:val="99"/>
    <w:semiHidden/>
    <w:rsid w:val="001E6DCC"/>
    <w:rPr>
      <w:b/>
      <w:bCs/>
      <w:lang w:eastAsia="en-US"/>
    </w:rPr>
  </w:style>
  <w:style w:type="paragraph" w:styleId="BalloonText">
    <w:name w:val="Balloon Text"/>
    <w:basedOn w:val="Normal"/>
    <w:link w:val="BalloonTextChar"/>
    <w:uiPriority w:val="99"/>
    <w:semiHidden/>
    <w:unhideWhenUsed/>
    <w:rsid w:val="001E6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DCC"/>
    <w:rPr>
      <w:rFonts w:ascii="Segoe UI" w:hAnsi="Segoe UI" w:cs="Segoe UI"/>
      <w:sz w:val="18"/>
      <w:szCs w:val="18"/>
      <w:lang w:eastAsia="en-US"/>
    </w:rPr>
  </w:style>
  <w:style w:type="character" w:customStyle="1" w:styleId="Calibri12">
    <w:name w:val="Calibri 12"/>
    <w:basedOn w:val="DefaultParagraphFont"/>
    <w:uiPriority w:val="1"/>
    <w:qFormat/>
    <w:rsid w:val="006D6739"/>
    <w:rPr>
      <w:rFonts w:ascii="Calibri" w:hAnsi="Calibri"/>
      <w:sz w:val="24"/>
    </w:rPr>
  </w:style>
  <w:style w:type="character" w:styleId="UnresolvedMention">
    <w:name w:val="Unresolved Mention"/>
    <w:basedOn w:val="DefaultParagraphFont"/>
    <w:uiPriority w:val="99"/>
    <w:semiHidden/>
    <w:unhideWhenUsed/>
    <w:rsid w:val="00EB5639"/>
    <w:rPr>
      <w:color w:val="605E5C"/>
      <w:shd w:val="clear" w:color="auto" w:fill="E1DFDD"/>
    </w:rPr>
  </w:style>
  <w:style w:type="character" w:customStyle="1" w:styleId="ui-provider">
    <w:name w:val="ui-provider"/>
    <w:basedOn w:val="DefaultParagraphFont"/>
    <w:rsid w:val="002E115C"/>
  </w:style>
  <w:style w:type="paragraph" w:styleId="Revision">
    <w:name w:val="Revision"/>
    <w:hidden/>
    <w:uiPriority w:val="99"/>
    <w:semiHidden/>
    <w:rsid w:val="007B15ED"/>
    <w:rPr>
      <w:sz w:val="24"/>
      <w:lang w:eastAsia="en-US"/>
    </w:rPr>
  </w:style>
  <w:style w:type="paragraph" w:customStyle="1" w:styleId="CS-Paragraphnumbering">
    <w:name w:val="CS - Paragraph numbering"/>
    <w:basedOn w:val="Normal"/>
    <w:rsid w:val="0006413A"/>
    <w:pPr>
      <w:spacing w:after="120" w:line="276" w:lineRule="auto"/>
      <w:ind w:left="360" w:right="-45" w:hanging="360"/>
    </w:pPr>
    <w:rPr>
      <w:rFonts w:asciiTheme="minorHAnsi" w:eastAsiaTheme="minorHAnsi" w:hAnsi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97272">
      <w:bodyDiv w:val="1"/>
      <w:marLeft w:val="0"/>
      <w:marRight w:val="0"/>
      <w:marTop w:val="0"/>
      <w:marBottom w:val="0"/>
      <w:divBdr>
        <w:top w:val="none" w:sz="0" w:space="0" w:color="auto"/>
        <w:left w:val="none" w:sz="0" w:space="0" w:color="auto"/>
        <w:bottom w:val="none" w:sz="0" w:space="0" w:color="auto"/>
        <w:right w:val="none" w:sz="0" w:space="0" w:color="auto"/>
      </w:divBdr>
    </w:div>
    <w:div w:id="788596819">
      <w:bodyDiv w:val="1"/>
      <w:marLeft w:val="0"/>
      <w:marRight w:val="0"/>
      <w:marTop w:val="0"/>
      <w:marBottom w:val="0"/>
      <w:divBdr>
        <w:top w:val="none" w:sz="0" w:space="0" w:color="auto"/>
        <w:left w:val="none" w:sz="0" w:space="0" w:color="auto"/>
        <w:bottom w:val="none" w:sz="0" w:space="0" w:color="auto"/>
        <w:right w:val="none" w:sz="0" w:space="0" w:color="auto"/>
      </w:divBdr>
    </w:div>
    <w:div w:id="903224160">
      <w:bodyDiv w:val="1"/>
      <w:marLeft w:val="0"/>
      <w:marRight w:val="0"/>
      <w:marTop w:val="0"/>
      <w:marBottom w:val="0"/>
      <w:divBdr>
        <w:top w:val="none" w:sz="0" w:space="0" w:color="auto"/>
        <w:left w:val="none" w:sz="0" w:space="0" w:color="auto"/>
        <w:bottom w:val="none" w:sz="0" w:space="0" w:color="auto"/>
        <w:right w:val="none" w:sz="0" w:space="0" w:color="auto"/>
      </w:divBdr>
    </w:div>
    <w:div w:id="975185253">
      <w:bodyDiv w:val="1"/>
      <w:marLeft w:val="0"/>
      <w:marRight w:val="0"/>
      <w:marTop w:val="0"/>
      <w:marBottom w:val="0"/>
      <w:divBdr>
        <w:top w:val="none" w:sz="0" w:space="0" w:color="auto"/>
        <w:left w:val="none" w:sz="0" w:space="0" w:color="auto"/>
        <w:bottom w:val="none" w:sz="0" w:space="0" w:color="auto"/>
        <w:right w:val="none" w:sz="0" w:space="0" w:color="auto"/>
      </w:divBdr>
    </w:div>
    <w:div w:id="1061706695">
      <w:bodyDiv w:val="1"/>
      <w:marLeft w:val="0"/>
      <w:marRight w:val="0"/>
      <w:marTop w:val="0"/>
      <w:marBottom w:val="0"/>
      <w:divBdr>
        <w:top w:val="none" w:sz="0" w:space="0" w:color="auto"/>
        <w:left w:val="none" w:sz="0" w:space="0" w:color="auto"/>
        <w:bottom w:val="none" w:sz="0" w:space="0" w:color="auto"/>
        <w:right w:val="none" w:sz="0" w:space="0" w:color="auto"/>
      </w:divBdr>
    </w:div>
    <w:div w:id="177177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ndards.org.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aderroom.standards.org.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A52283320</value>
    </field>
    <field name="Objective-Title">
      <value order="0">Attach B - Building and Construction Legislation Amendment Regulation 2025 - Explanatory Statement</value>
    </field>
    <field name="Objective-Description">
      <value order="0"/>
    </field>
    <field name="Objective-CreationStamp">
      <value order="0">2025-05-19T06:04:55Z</value>
    </field>
    <field name="Objective-IsApproved">
      <value order="0">false</value>
    </field>
    <field name="Objective-IsPublished">
      <value order="0">true</value>
    </field>
    <field name="Objective-DatePublished">
      <value order="0">2025-06-20T02:00:26Z</value>
    </field>
    <field name="Objective-ModificationStamp">
      <value order="0">2025-06-20T02:00:26Z</value>
    </field>
    <field name="Objective-Owner">
      <value order="0">Kym Radic</value>
    </field>
    <field name="Objective-Path">
      <value order="0">Whole of ACT Government:EPSDD - Environment Planning and Sustainable Development Directorate:07. Ministerial, Cabinet and Government Relations:06. Ministerials:2025 - Ministerial Briefs and Correspondence:Planning and Urban Policy:25/0193009 Ministerial - Steel - Information Brief - Building and Construction Legislation Amendment Regulation 2025</value>
    </field>
    <field name="Objective-Parent">
      <value order="0">25/0193009 Ministerial - Steel - Information Brief - Building and Construction Legislation Amendment Regulation 2025</value>
    </field>
    <field name="Objective-State">
      <value order="0">Published</value>
    </field>
    <field name="Objective-VersionId">
      <value order="0">vA68586680</value>
    </field>
    <field name="Objective-Version">
      <value order="0">14.0</value>
    </field>
    <field name="Objective-VersionNumber">
      <value order="0">15</value>
    </field>
    <field name="Objective-VersionComment">
      <value order="0"/>
    </field>
    <field name="Objective-FileNumber">
      <value order="0">1-2025/0193009</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1667</Words>
  <Characters>9499</Characters>
  <Application>Microsoft Office Word</Application>
  <DocSecurity>0</DocSecurity>
  <Lines>235</Lines>
  <Paragraphs>69</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Stonham, Joshua</cp:lastModifiedBy>
  <cp:revision>4</cp:revision>
  <cp:lastPrinted>2019-06-25T20:37:00Z</cp:lastPrinted>
  <dcterms:created xsi:type="dcterms:W3CDTF">2025-06-30T07:35:00Z</dcterms:created>
  <dcterms:modified xsi:type="dcterms:W3CDTF">2025-06-30T07:35:00Z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A52283320</vt:lpwstr>
  </property>
  <property fmtid="{D5CDD505-2E9C-101B-9397-08002B2CF9AE}" pid="4" name="Objective-Title">
    <vt:lpwstr>Attach B - Building and Construction Legislation Amendment Regulation 2025 - Explanatory Statement</vt:lpwstr>
  </property>
  <property fmtid="{D5CDD505-2E9C-101B-9397-08002B2CF9AE}" pid="5" name="Objective-Comment">
    <vt:lpwstr/>
  </property>
  <property fmtid="{D5CDD505-2E9C-101B-9397-08002B2CF9AE}" pid="6" name="Objective-CreationStamp">
    <vt:filetime>2025-05-19T06:04:55Z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2025-06-20T02:00:26Z</vt:filetime>
  </property>
  <property fmtid="{D5CDD505-2E9C-101B-9397-08002B2CF9AE}" pid="10" name="Objective-ModificationStamp">
    <vt:filetime>2025-06-20T02:00:26Z</vt:filetime>
  </property>
  <property fmtid="{D5CDD505-2E9C-101B-9397-08002B2CF9AE}" pid="11" name="Objective-Owner">
    <vt:lpwstr>Kym Radic</vt:lpwstr>
  </property>
  <property fmtid="{D5CDD505-2E9C-101B-9397-08002B2CF9AE}" pid="12" name="Objective-Path">
    <vt:lpwstr>Whole of ACT Government:EPSDD - Environment Planning and Sustainable Development Directorate:07. Ministerial, Cabinet and Government Relations:06. Ministerials:2025 - Ministerial Briefs and Correspondence:Planning and Urban Policy:25/0193009 Ministerial - Steel - Information Brief - Building and Construction Legislation Amendment Regulation 2025:</vt:lpwstr>
  </property>
  <property fmtid="{D5CDD505-2E9C-101B-9397-08002B2CF9AE}" pid="13" name="Objective-Parent">
    <vt:lpwstr>25/0193009 Ministerial - Steel - Information Brief - Building and Construction Legislation Amendment Regulation 2025</vt:lpwstr>
  </property>
  <property fmtid="{D5CDD505-2E9C-101B-9397-08002B2CF9AE}" pid="14" name="Objective-State">
    <vt:lpwstr>Published</vt:lpwstr>
  </property>
  <property fmtid="{D5CDD505-2E9C-101B-9397-08002B2CF9AE}" pid="15" name="Objective-Version">
    <vt:lpwstr>14.0</vt:lpwstr>
  </property>
  <property fmtid="{D5CDD505-2E9C-101B-9397-08002B2CF9AE}" pid="16" name="Objective-VersionNumber">
    <vt:r8>15</vt:r8>
  </property>
  <property fmtid="{D5CDD505-2E9C-101B-9397-08002B2CF9AE}" pid="17" name="Objective-VersionComment">
    <vt:lpwstr/>
  </property>
  <property fmtid="{D5CDD505-2E9C-101B-9397-08002B2CF9AE}" pid="18" name="Objective-FileNumber">
    <vt:lpwstr>1-2025/0193009</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MSID">
    <vt:lpwstr>14343645</vt:lpwstr>
  </property>
  <property fmtid="{D5CDD505-2E9C-101B-9397-08002B2CF9AE}" pid="33" name="CHECKEDOUTFROMJMS">
    <vt:lpwstr/>
  </property>
  <property fmtid="{D5CDD505-2E9C-101B-9397-08002B2CF9AE}" pid="34" name="JMSREQUIREDCHECKIN">
    <vt:lpwstr/>
  </property>
  <property fmtid="{D5CDD505-2E9C-101B-9397-08002B2CF9AE}" pid="35" name="Objective-Owner Agency">
    <vt:lpwstr>EPSDD</vt:lpwstr>
  </property>
  <property fmtid="{D5CDD505-2E9C-101B-9397-08002B2CF9AE}" pid="36" name="Objective-Document Type">
    <vt:lpwstr>0-Document</vt:lpwstr>
  </property>
  <property fmtid="{D5CDD505-2E9C-101B-9397-08002B2CF9AE}" pid="37" name="Objective-Language">
    <vt:lpwstr>English (en)</vt:lpwstr>
  </property>
  <property fmtid="{D5CDD505-2E9C-101B-9397-08002B2CF9AE}" pid="38" name="Objective-Jurisdiction">
    <vt:lpwstr>ACT</vt:lpwstr>
  </property>
  <property fmtid="{D5CDD505-2E9C-101B-9397-08002B2CF9AE}" pid="39" name="Objective-Customers">
    <vt:lpwstr/>
  </property>
  <property fmtid="{D5CDD505-2E9C-101B-9397-08002B2CF9AE}" pid="40" name="Objective-Places">
    <vt:lpwstr/>
  </property>
  <property fmtid="{D5CDD505-2E9C-101B-9397-08002B2CF9AE}" pid="41" name="Objective-Transaction Reference">
    <vt:lpwstr/>
  </property>
  <property fmtid="{D5CDD505-2E9C-101B-9397-08002B2CF9AE}" pid="42" name="Objective-Document Created By">
    <vt:lpwstr/>
  </property>
  <property fmtid="{D5CDD505-2E9C-101B-9397-08002B2CF9AE}" pid="43" name="Objective-Document Created On">
    <vt:lpwstr/>
  </property>
  <property fmtid="{D5CDD505-2E9C-101B-9397-08002B2CF9AE}" pid="44" name="Objective-Covers Period From">
    <vt:lpwstr/>
  </property>
  <property fmtid="{D5CDD505-2E9C-101B-9397-08002B2CF9AE}" pid="45" name="Objective-Covers Period To">
    <vt:lpwstr/>
  </property>
  <property fmtid="{D5CDD505-2E9C-101B-9397-08002B2CF9AE}" pid="46" name="Objective-Description">
    <vt:lpwstr/>
  </property>
  <property fmtid="{D5CDD505-2E9C-101B-9397-08002B2CF9AE}" pid="47" name="Objective-VersionId">
    <vt:lpwstr>vA68586680</vt:lpwstr>
  </property>
  <property fmtid="{D5CDD505-2E9C-101B-9397-08002B2CF9AE}" pid="48" name="Objective-Status">
    <vt:lpwstr/>
  </property>
  <property fmtid="{D5CDD505-2E9C-101B-9397-08002B2CF9AE}" pid="49" name="MSIP_Label_69af8531-eb46-4968-8cb3-105d2f5ea87e_Enabled">
    <vt:lpwstr>true</vt:lpwstr>
  </property>
  <property fmtid="{D5CDD505-2E9C-101B-9397-08002B2CF9AE}" pid="50" name="MSIP_Label_69af8531-eb46-4968-8cb3-105d2f5ea87e_SetDate">
    <vt:lpwstr>2025-05-19T06:20:40Z</vt:lpwstr>
  </property>
  <property fmtid="{D5CDD505-2E9C-101B-9397-08002B2CF9AE}" pid="51" name="MSIP_Label_69af8531-eb46-4968-8cb3-105d2f5ea87e_Method">
    <vt:lpwstr>Standard</vt:lpwstr>
  </property>
  <property fmtid="{D5CDD505-2E9C-101B-9397-08002B2CF9AE}" pid="52" name="MSIP_Label_69af8531-eb46-4968-8cb3-105d2f5ea87e_Name">
    <vt:lpwstr>Official - No Marking</vt:lpwstr>
  </property>
  <property fmtid="{D5CDD505-2E9C-101B-9397-08002B2CF9AE}" pid="53" name="MSIP_Label_69af8531-eb46-4968-8cb3-105d2f5ea87e_SiteId">
    <vt:lpwstr>b46c1908-0334-4236-b978-585ee88e4199</vt:lpwstr>
  </property>
  <property fmtid="{D5CDD505-2E9C-101B-9397-08002B2CF9AE}" pid="54" name="MSIP_Label_69af8531-eb46-4968-8cb3-105d2f5ea87e_ActionId">
    <vt:lpwstr>f3ad2882-6879-4679-8bdc-fd6cb77ad0e6</vt:lpwstr>
  </property>
  <property fmtid="{D5CDD505-2E9C-101B-9397-08002B2CF9AE}" pid="55" name="MSIP_Label_69af8531-eb46-4968-8cb3-105d2f5ea87e_ContentBits">
    <vt:lpwstr>0</vt:lpwstr>
  </property>
  <property fmtid="{D5CDD505-2E9C-101B-9397-08002B2CF9AE}" pid="56" name="MSIP_Label_69af8531-eb46-4968-8cb3-105d2f5ea87e_Tag">
    <vt:lpwstr>10, 3, 0, 1</vt:lpwstr>
  </property>
  <property fmtid="{D5CDD505-2E9C-101B-9397-08002B2CF9AE}" pid="57" name="Objective-S28 Exemption Number">
    <vt:lpwstr/>
  </property>
  <property fmtid="{D5CDD505-2E9C-101B-9397-08002B2CF9AE}" pid="58" name="Objective-S28 Exemption">
    <vt:lpwstr/>
  </property>
  <property fmtid="{D5CDD505-2E9C-101B-9397-08002B2CF9AE}" pid="59" name="Objective-S28 Exemption Reason">
    <vt:lpwstr/>
  </property>
  <property fmtid="{D5CDD505-2E9C-101B-9397-08002B2CF9AE}" pid="60" name="Objective-S28 Comments if partial exemption">
    <vt:lpwstr/>
  </property>
  <property fmtid="{D5CDD505-2E9C-101B-9397-08002B2CF9AE}" pid="61" name="Objective-S28 Date Approved">
    <vt:lpwstr/>
  </property>
</Properties>
</file>