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7586" w14:textId="77777777" w:rsidR="00A750A2" w:rsidRPr="00F3254B" w:rsidRDefault="00A750A2">
      <w:pPr>
        <w:spacing w:before="120"/>
        <w:rPr>
          <w:rFonts w:ascii="Arial" w:hAnsi="Arial" w:cs="Arial"/>
        </w:rPr>
      </w:pPr>
      <w:bookmarkStart w:id="0" w:name="_Toc44738651"/>
      <w:r w:rsidRPr="00F3254B">
        <w:rPr>
          <w:rFonts w:ascii="Arial" w:hAnsi="Arial" w:cs="Arial"/>
        </w:rPr>
        <w:t>Australian Capital Territory</w:t>
      </w:r>
    </w:p>
    <w:p w14:paraId="025C5825" w14:textId="77777777" w:rsidR="00A750A2" w:rsidRPr="00F3254B" w:rsidRDefault="00A750A2" w:rsidP="0048325D">
      <w:pPr>
        <w:pStyle w:val="Billname"/>
        <w:spacing w:before="700"/>
        <w:rPr>
          <w:rFonts w:cs="Arial"/>
        </w:rPr>
      </w:pPr>
      <w:r w:rsidRPr="00F3254B">
        <w:rPr>
          <w:rFonts w:cs="Arial"/>
        </w:rPr>
        <w:t xml:space="preserve">Road Transport (General) Public Passenger Services </w:t>
      </w:r>
      <w:r>
        <w:rPr>
          <w:rFonts w:cs="Arial"/>
        </w:rPr>
        <w:t>Licence and Accreditation Fees</w:t>
      </w:r>
      <w:r w:rsidRPr="00F3254B">
        <w:rPr>
          <w:rFonts w:cs="Arial"/>
        </w:rPr>
        <w:t xml:space="preserve"> Determination 20</w:t>
      </w:r>
      <w:r w:rsidR="00521E5A">
        <w:rPr>
          <w:rFonts w:cs="Arial"/>
        </w:rPr>
        <w:t>25</w:t>
      </w:r>
      <w:r w:rsidR="006C4950">
        <w:rPr>
          <w:rFonts w:cs="Arial"/>
        </w:rPr>
        <w:t xml:space="preserve"> </w:t>
      </w:r>
      <w:r w:rsidR="00521E5A">
        <w:rPr>
          <w:rFonts w:cs="Arial"/>
        </w:rPr>
        <w:t>(No 1)</w:t>
      </w:r>
    </w:p>
    <w:p w14:paraId="2BAE3B57" w14:textId="77777777" w:rsidR="00A750A2" w:rsidRPr="0048325D" w:rsidRDefault="00A750A2" w:rsidP="0048325D">
      <w:pPr>
        <w:pStyle w:val="06Copyright"/>
        <w:tabs>
          <w:tab w:val="clear" w:pos="2880"/>
        </w:tabs>
        <w:spacing w:before="240" w:after="60"/>
        <w:rPr>
          <w:rFonts w:ascii="Arial" w:hAnsi="Arial" w:cs="Arial"/>
          <w:b/>
          <w:vertAlign w:val="superscript"/>
        </w:rPr>
      </w:pPr>
      <w:r w:rsidRPr="0048325D">
        <w:rPr>
          <w:rFonts w:ascii="Arial" w:hAnsi="Arial" w:cs="Arial"/>
          <w:b/>
        </w:rPr>
        <w:t>Disallowable instrument DI20</w:t>
      </w:r>
      <w:r w:rsidR="00521E5A">
        <w:rPr>
          <w:rFonts w:ascii="Arial" w:hAnsi="Arial" w:cs="Arial"/>
          <w:b/>
        </w:rPr>
        <w:t>25</w:t>
      </w:r>
      <w:r w:rsidRPr="0048325D">
        <w:rPr>
          <w:rFonts w:ascii="Arial" w:hAnsi="Arial" w:cs="Arial"/>
          <w:b/>
        </w:rPr>
        <w:t>–</w:t>
      </w:r>
      <w:r w:rsidR="00134479">
        <w:rPr>
          <w:rFonts w:ascii="Arial" w:hAnsi="Arial" w:cs="Arial"/>
          <w:b/>
        </w:rPr>
        <w:t>190</w:t>
      </w:r>
    </w:p>
    <w:p w14:paraId="56273F6A" w14:textId="77777777" w:rsidR="00A750A2" w:rsidRPr="0048325D" w:rsidRDefault="00A750A2" w:rsidP="0048325D">
      <w:pPr>
        <w:pStyle w:val="madeunder"/>
      </w:pPr>
      <w:r>
        <w:t>made under the</w:t>
      </w:r>
    </w:p>
    <w:p w14:paraId="3AB8A8F0" w14:textId="77777777" w:rsidR="00A750A2" w:rsidRPr="0048325D" w:rsidRDefault="00A750A2" w:rsidP="0048325D">
      <w:pPr>
        <w:spacing w:before="200" w:after="60"/>
        <w:rPr>
          <w:rFonts w:ascii="Arial" w:hAnsi="Arial" w:cs="Arial"/>
          <w:b/>
          <w:sz w:val="20"/>
        </w:rPr>
      </w:pPr>
      <w:r w:rsidRPr="0048325D">
        <w:rPr>
          <w:rFonts w:ascii="Arial" w:hAnsi="Arial" w:cs="Arial"/>
          <w:b/>
          <w:iCs/>
          <w:sz w:val="20"/>
        </w:rPr>
        <w:t>Road Transport (General) Act 1999, s</w:t>
      </w:r>
      <w:r>
        <w:rPr>
          <w:rFonts w:ascii="Arial" w:hAnsi="Arial" w:cs="Arial"/>
          <w:b/>
          <w:iCs/>
          <w:sz w:val="20"/>
        </w:rPr>
        <w:t>ection</w:t>
      </w:r>
      <w:r w:rsidRPr="0048325D">
        <w:rPr>
          <w:rFonts w:ascii="Arial" w:hAnsi="Arial" w:cs="Arial"/>
          <w:b/>
          <w:iCs/>
          <w:sz w:val="20"/>
        </w:rPr>
        <w:t xml:space="preserve"> 96 (Determination of fees, charges and other amounts)</w:t>
      </w:r>
    </w:p>
    <w:p w14:paraId="5935DA73" w14:textId="77777777" w:rsidR="00A750A2" w:rsidRPr="00F3254B" w:rsidRDefault="00A750A2">
      <w:pPr>
        <w:spacing w:before="360"/>
        <w:ind w:right="565"/>
        <w:rPr>
          <w:rFonts w:ascii="Arial" w:hAnsi="Arial" w:cs="Arial"/>
          <w:b/>
          <w:bCs/>
          <w:sz w:val="28"/>
          <w:szCs w:val="28"/>
        </w:rPr>
      </w:pPr>
      <w:r w:rsidRPr="00F3254B">
        <w:rPr>
          <w:rFonts w:ascii="Arial" w:hAnsi="Arial" w:cs="Arial"/>
          <w:b/>
          <w:bCs/>
          <w:sz w:val="28"/>
          <w:szCs w:val="28"/>
        </w:rPr>
        <w:t>EXPLANATORY STATEMENT</w:t>
      </w:r>
    </w:p>
    <w:p w14:paraId="020A50C3" w14:textId="77777777" w:rsidR="00A750A2" w:rsidRPr="00F3254B" w:rsidRDefault="00A750A2">
      <w:pPr>
        <w:pStyle w:val="N-line3"/>
        <w:pBdr>
          <w:bottom w:val="none" w:sz="0" w:space="0" w:color="auto"/>
        </w:pBdr>
        <w:rPr>
          <w:rFonts w:ascii="Arial" w:hAnsi="Arial" w:cs="Arial"/>
        </w:rPr>
      </w:pPr>
    </w:p>
    <w:p w14:paraId="60C8FA4A" w14:textId="77777777" w:rsidR="00A750A2" w:rsidRPr="00F3254B" w:rsidRDefault="00A750A2">
      <w:pPr>
        <w:pStyle w:val="N-line3"/>
        <w:pBdr>
          <w:top w:val="single" w:sz="12" w:space="1" w:color="auto"/>
          <w:bottom w:val="none" w:sz="0" w:space="0" w:color="auto"/>
        </w:pBdr>
        <w:rPr>
          <w:rFonts w:ascii="Arial" w:hAnsi="Arial" w:cs="Arial"/>
        </w:rPr>
      </w:pPr>
    </w:p>
    <w:p w14:paraId="1936E498" w14:textId="77777777" w:rsidR="00A750A2" w:rsidRPr="004A085B" w:rsidRDefault="00A750A2" w:rsidP="0048325D">
      <w:pPr>
        <w:rPr>
          <w:szCs w:val="24"/>
        </w:rPr>
      </w:pPr>
      <w:r w:rsidRPr="004A085B">
        <w:rPr>
          <w:szCs w:val="24"/>
        </w:rPr>
        <w:t xml:space="preserve">Section 96 of the </w:t>
      </w:r>
      <w:r w:rsidRPr="004A085B">
        <w:rPr>
          <w:i/>
          <w:szCs w:val="24"/>
        </w:rPr>
        <w:t>Road Transport (General) Act 1999</w:t>
      </w:r>
      <w:r w:rsidRPr="004A085B">
        <w:rPr>
          <w:szCs w:val="24"/>
        </w:rPr>
        <w:t xml:space="preserve"> allows the Minister to determine fees, charges and other amounts payable under the ACT road transport legislation.  </w:t>
      </w:r>
    </w:p>
    <w:p w14:paraId="69EC616D" w14:textId="77777777" w:rsidR="00A750A2" w:rsidRPr="004A085B" w:rsidRDefault="00A750A2" w:rsidP="0048325D">
      <w:pPr>
        <w:rPr>
          <w:szCs w:val="24"/>
        </w:rPr>
      </w:pPr>
    </w:p>
    <w:p w14:paraId="2C627402" w14:textId="77777777" w:rsidR="00A750A2" w:rsidRPr="004A085B" w:rsidRDefault="00A750A2" w:rsidP="0048325D">
      <w:pPr>
        <w:rPr>
          <w:szCs w:val="24"/>
        </w:rPr>
      </w:pPr>
      <w:r w:rsidRPr="004A085B">
        <w:rPr>
          <w:szCs w:val="24"/>
        </w:rPr>
        <w:t xml:space="preserve">This disallowable instrument has the effect of determining fees payable </w:t>
      </w:r>
      <w:r w:rsidR="00940ECC" w:rsidRPr="004A085B">
        <w:rPr>
          <w:szCs w:val="24"/>
        </w:rPr>
        <w:t xml:space="preserve">relating </w:t>
      </w:r>
      <w:r w:rsidR="00F56E6C" w:rsidRPr="004A085B">
        <w:rPr>
          <w:szCs w:val="24"/>
        </w:rPr>
        <w:t xml:space="preserve">to </w:t>
      </w:r>
      <w:r w:rsidR="00A73891" w:rsidRPr="004A085B">
        <w:rPr>
          <w:szCs w:val="24"/>
        </w:rPr>
        <w:t xml:space="preserve">operator </w:t>
      </w:r>
      <w:r w:rsidR="00940ECC" w:rsidRPr="004A085B">
        <w:rPr>
          <w:szCs w:val="24"/>
        </w:rPr>
        <w:t>accreditation for taxi</w:t>
      </w:r>
      <w:r w:rsidR="00A73891" w:rsidRPr="004A085B">
        <w:rPr>
          <w:szCs w:val="24"/>
        </w:rPr>
        <w:t>s</w:t>
      </w:r>
      <w:r w:rsidR="00940ECC" w:rsidRPr="004A085B">
        <w:rPr>
          <w:szCs w:val="24"/>
        </w:rPr>
        <w:t>, bus</w:t>
      </w:r>
      <w:r w:rsidR="00A73891" w:rsidRPr="004A085B">
        <w:rPr>
          <w:szCs w:val="24"/>
        </w:rPr>
        <w:t>es</w:t>
      </w:r>
      <w:r w:rsidRPr="004A085B">
        <w:rPr>
          <w:szCs w:val="24"/>
        </w:rPr>
        <w:t xml:space="preserve">, </w:t>
      </w:r>
      <w:r w:rsidR="00940ECC" w:rsidRPr="004A085B">
        <w:rPr>
          <w:szCs w:val="24"/>
        </w:rPr>
        <w:t>hire car</w:t>
      </w:r>
      <w:r w:rsidR="00A73891" w:rsidRPr="004A085B">
        <w:rPr>
          <w:szCs w:val="24"/>
        </w:rPr>
        <w:t>s</w:t>
      </w:r>
      <w:r w:rsidR="0024288B" w:rsidRPr="004A085B">
        <w:rPr>
          <w:szCs w:val="24"/>
        </w:rPr>
        <w:t xml:space="preserve">, </w:t>
      </w:r>
      <w:r w:rsidR="00E00BAA" w:rsidRPr="004A085B">
        <w:rPr>
          <w:szCs w:val="24"/>
        </w:rPr>
        <w:t xml:space="preserve">rideshare, </w:t>
      </w:r>
      <w:r w:rsidRPr="004A085B">
        <w:rPr>
          <w:szCs w:val="24"/>
        </w:rPr>
        <w:t xml:space="preserve">demand responsive and </w:t>
      </w:r>
      <w:r w:rsidR="00A30257" w:rsidRPr="004A085B">
        <w:rPr>
          <w:szCs w:val="24"/>
        </w:rPr>
        <w:t xml:space="preserve">transport booking services </w:t>
      </w:r>
      <w:r w:rsidR="00DF054F" w:rsidRPr="004A085B">
        <w:rPr>
          <w:szCs w:val="24"/>
        </w:rPr>
        <w:t>as well as</w:t>
      </w:r>
      <w:r w:rsidR="00940ECC" w:rsidRPr="004A085B">
        <w:rPr>
          <w:szCs w:val="24"/>
        </w:rPr>
        <w:t xml:space="preserve"> fees payable for</w:t>
      </w:r>
      <w:r w:rsidR="0024288B" w:rsidRPr="004A085B">
        <w:rPr>
          <w:szCs w:val="24"/>
        </w:rPr>
        <w:t xml:space="preserve"> </w:t>
      </w:r>
      <w:r w:rsidRPr="004A085B">
        <w:rPr>
          <w:szCs w:val="24"/>
        </w:rPr>
        <w:t>the licensing of taxis</w:t>
      </w:r>
      <w:r w:rsidR="00A30257" w:rsidRPr="004A085B">
        <w:rPr>
          <w:szCs w:val="24"/>
        </w:rPr>
        <w:t xml:space="preserve">, </w:t>
      </w:r>
      <w:r w:rsidRPr="004A085B">
        <w:rPr>
          <w:szCs w:val="24"/>
        </w:rPr>
        <w:t>hire cars</w:t>
      </w:r>
      <w:r w:rsidR="00A30257" w:rsidRPr="004A085B">
        <w:rPr>
          <w:szCs w:val="24"/>
        </w:rPr>
        <w:t xml:space="preserve"> and rideshare vehicles</w:t>
      </w:r>
      <w:r w:rsidR="0024288B" w:rsidRPr="004A085B">
        <w:rPr>
          <w:szCs w:val="24"/>
        </w:rPr>
        <w:t xml:space="preserve"> and the authorisation of demand response services,</w:t>
      </w:r>
      <w:r w:rsidRPr="004A085B">
        <w:rPr>
          <w:szCs w:val="24"/>
        </w:rPr>
        <w:t xml:space="preserve"> under the </w:t>
      </w:r>
      <w:r w:rsidRPr="004A085B">
        <w:rPr>
          <w:i/>
          <w:szCs w:val="24"/>
        </w:rPr>
        <w:t>Road Transport (Public Passenger Services) Act 2001</w:t>
      </w:r>
      <w:r w:rsidRPr="004A085B">
        <w:rPr>
          <w:szCs w:val="24"/>
        </w:rPr>
        <w:t>.</w:t>
      </w:r>
    </w:p>
    <w:bookmarkEnd w:id="0"/>
    <w:p w14:paraId="5809294C" w14:textId="77777777" w:rsidR="00A750A2" w:rsidRPr="004A085B" w:rsidRDefault="00A750A2">
      <w:pPr>
        <w:rPr>
          <w:szCs w:val="24"/>
        </w:rPr>
      </w:pPr>
    </w:p>
    <w:p w14:paraId="728227C4" w14:textId="77777777" w:rsidR="00B202F0" w:rsidRPr="004A085B" w:rsidRDefault="00B202F0" w:rsidP="00B202F0">
      <w:pPr>
        <w:rPr>
          <w:szCs w:val="24"/>
        </w:rPr>
      </w:pPr>
      <w:r w:rsidRPr="004A085B">
        <w:rPr>
          <w:szCs w:val="24"/>
        </w:rPr>
        <w:t xml:space="preserve">The </w:t>
      </w:r>
      <w:r w:rsidR="006C4950" w:rsidRPr="004A085B">
        <w:rPr>
          <w:szCs w:val="24"/>
        </w:rPr>
        <w:t xml:space="preserve">instrument has been amended to clarify </w:t>
      </w:r>
      <w:r w:rsidRPr="004A085B">
        <w:rPr>
          <w:szCs w:val="24"/>
        </w:rPr>
        <w:t xml:space="preserve">that unless otherwise </w:t>
      </w:r>
      <w:r w:rsidR="007C2A39" w:rsidRPr="004A085B">
        <w:rPr>
          <w:szCs w:val="24"/>
        </w:rPr>
        <w:t>stated in column 3</w:t>
      </w:r>
      <w:r w:rsidRPr="004A085B">
        <w:rPr>
          <w:szCs w:val="24"/>
        </w:rPr>
        <w:t>, the listed fee</w:t>
      </w:r>
      <w:r w:rsidR="007C2A39" w:rsidRPr="004A085B">
        <w:rPr>
          <w:szCs w:val="24"/>
        </w:rPr>
        <w:t xml:space="preserve"> for an individual matter</w:t>
      </w:r>
      <w:r w:rsidRPr="004A085B">
        <w:rPr>
          <w:szCs w:val="24"/>
        </w:rPr>
        <w:t xml:space="preserve"> </w:t>
      </w:r>
      <w:r w:rsidR="007C2A39" w:rsidRPr="004A085B">
        <w:rPr>
          <w:szCs w:val="24"/>
        </w:rPr>
        <w:t xml:space="preserve">listed in the Schedule </w:t>
      </w:r>
      <w:r w:rsidRPr="004A085B">
        <w:rPr>
          <w:szCs w:val="24"/>
        </w:rPr>
        <w:t>is to be payable to the Road Transport Authority upfront and in full before the licence, accreditation, or permit is issued.</w:t>
      </w:r>
    </w:p>
    <w:p w14:paraId="063C7E45" w14:textId="77777777" w:rsidR="006C4950" w:rsidRPr="004A085B" w:rsidRDefault="006C4950" w:rsidP="00B202F0">
      <w:pPr>
        <w:rPr>
          <w:szCs w:val="24"/>
        </w:rPr>
      </w:pPr>
    </w:p>
    <w:p w14:paraId="59C4DE7A" w14:textId="77777777" w:rsidR="00B202F0" w:rsidRDefault="00B202F0" w:rsidP="006E6173">
      <w:pPr>
        <w:rPr>
          <w:szCs w:val="24"/>
        </w:rPr>
      </w:pPr>
      <w:r w:rsidRPr="004A085B">
        <w:rPr>
          <w:szCs w:val="24"/>
        </w:rPr>
        <w:t xml:space="preserve">This instrument also introduces a new 6-year </w:t>
      </w:r>
      <w:r w:rsidR="001316C0" w:rsidRPr="004A085B">
        <w:rPr>
          <w:szCs w:val="24"/>
        </w:rPr>
        <w:t>fee</w:t>
      </w:r>
      <w:r w:rsidRPr="004A085B">
        <w:rPr>
          <w:szCs w:val="24"/>
        </w:rPr>
        <w:t xml:space="preserve"> for rideshare and hire car licences in addition to the existing annual option. </w:t>
      </w:r>
      <w:r w:rsidR="001316C0" w:rsidRPr="004A085B">
        <w:rPr>
          <w:szCs w:val="24"/>
        </w:rPr>
        <w:t xml:space="preserve">The 6-year option was developed as part of the 2025-26 Budget. </w:t>
      </w:r>
      <w:r w:rsidRPr="004A085B">
        <w:rPr>
          <w:szCs w:val="24"/>
        </w:rPr>
        <w:t>Th</w:t>
      </w:r>
      <w:r w:rsidR="00954B44" w:rsidRPr="004A085B">
        <w:rPr>
          <w:szCs w:val="24"/>
        </w:rPr>
        <w:t>is</w:t>
      </w:r>
      <w:r w:rsidRPr="004A085B">
        <w:rPr>
          <w:szCs w:val="24"/>
        </w:rPr>
        <w:t xml:space="preserve"> 6-year option requires payment </w:t>
      </w:r>
      <w:r w:rsidR="00954B44" w:rsidRPr="004A085B">
        <w:rPr>
          <w:szCs w:val="24"/>
        </w:rPr>
        <w:t xml:space="preserve">upfront </w:t>
      </w:r>
      <w:r w:rsidRPr="004A085B">
        <w:rPr>
          <w:szCs w:val="24"/>
        </w:rPr>
        <w:t>but offers a lower per year cost compared to the annual option.</w:t>
      </w:r>
    </w:p>
    <w:p w14:paraId="7097DE1C" w14:textId="77777777" w:rsidR="00AC74A7" w:rsidRDefault="00AC74A7" w:rsidP="00AC74A7">
      <w:pPr>
        <w:rPr>
          <w:szCs w:val="24"/>
        </w:rPr>
      </w:pPr>
    </w:p>
    <w:p w14:paraId="0D30D8AD" w14:textId="77777777" w:rsidR="00AC74A7" w:rsidRDefault="00AC74A7" w:rsidP="00AC74A7">
      <w:pPr>
        <w:rPr>
          <w:szCs w:val="24"/>
        </w:rPr>
      </w:pPr>
      <w:r w:rsidRPr="004A085B">
        <w:rPr>
          <w:szCs w:val="24"/>
        </w:rPr>
        <w:t>All other fees remain at the same amounts as in the previous determination</w:t>
      </w:r>
      <w:r>
        <w:rPr>
          <w:szCs w:val="24"/>
        </w:rPr>
        <w:t>.</w:t>
      </w:r>
    </w:p>
    <w:p w14:paraId="25F52C1B" w14:textId="77777777" w:rsidR="005D096A" w:rsidRPr="00840680" w:rsidRDefault="005D096A" w:rsidP="005D096A">
      <w:pPr>
        <w:pStyle w:val="NormalWeb"/>
        <w:shd w:val="clear" w:color="auto" w:fill="FFFFFF"/>
        <w:spacing w:before="0" w:beforeAutospacing="0" w:after="0" w:afterAutospacing="0"/>
        <w:rPr>
          <w:color w:val="000000"/>
        </w:rPr>
      </w:pPr>
    </w:p>
    <w:p w14:paraId="49A9D7AF" w14:textId="77777777" w:rsidR="005D096A" w:rsidRPr="00AC74A7" w:rsidRDefault="005D096A" w:rsidP="005D096A">
      <w:pPr>
        <w:pStyle w:val="NormalWeb"/>
        <w:shd w:val="clear" w:color="auto" w:fill="FFFFFF"/>
        <w:spacing w:before="0" w:beforeAutospacing="0" w:after="0" w:afterAutospacing="0"/>
        <w:rPr>
          <w:lang w:eastAsia="en-US"/>
        </w:rPr>
      </w:pPr>
      <w:r w:rsidRPr="00AC74A7">
        <w:rPr>
          <w:lang w:eastAsia="en-US"/>
        </w:rPr>
        <w:t>There are no human rights implications arising from this instrument.</w:t>
      </w:r>
      <w:r w:rsidR="009C7435" w:rsidRPr="00AC74A7">
        <w:rPr>
          <w:lang w:eastAsia="en-US"/>
        </w:rPr>
        <w:t xml:space="preserve"> It is anticipated that the amendment will have not have a measurable impact on climate change.</w:t>
      </w:r>
    </w:p>
    <w:p w14:paraId="13C4202E" w14:textId="77777777" w:rsidR="00A30257" w:rsidRPr="004A085B" w:rsidRDefault="00A30257">
      <w:pPr>
        <w:rPr>
          <w:szCs w:val="24"/>
        </w:rPr>
      </w:pPr>
    </w:p>
    <w:p w14:paraId="661342C0" w14:textId="77777777" w:rsidR="00AC74A7" w:rsidRPr="00AC74A7" w:rsidRDefault="00AC74A7" w:rsidP="00AC74A7">
      <w:pPr>
        <w:numPr>
          <w:ilvl w:val="12"/>
          <w:numId w:val="0"/>
        </w:numPr>
        <w:tabs>
          <w:tab w:val="left" w:pos="15168"/>
        </w:tabs>
        <w:rPr>
          <w:szCs w:val="24"/>
        </w:rPr>
      </w:pPr>
      <w:bookmarkStart w:id="1" w:name="_Hlk201913194"/>
      <w:r w:rsidRPr="00AC74A7">
        <w:rPr>
          <w:szCs w:val="24"/>
        </w:rPr>
        <w:t xml:space="preserve">The preference of the Standing Committee on Justice and Community Safety (Legislative Scrutiny Role) that Instruments or Explanatory Statements identify the amount of the old and new fee, any percentage increase and also the reason for any increase in the Instrument or the Explanatory Statement has been taken into account in the preparation of the Instrument and the Explanatory Statement.  </w:t>
      </w:r>
    </w:p>
    <w:p w14:paraId="0BF4A8E1" w14:textId="77777777" w:rsidR="00AC74A7" w:rsidRPr="00AC74A7" w:rsidRDefault="00AC74A7" w:rsidP="00AC74A7">
      <w:pPr>
        <w:autoSpaceDE w:val="0"/>
        <w:autoSpaceDN w:val="0"/>
        <w:adjustRightInd w:val="0"/>
        <w:rPr>
          <w:szCs w:val="24"/>
        </w:rPr>
      </w:pPr>
      <w:bookmarkStart w:id="2" w:name="_Hlk201912973"/>
      <w:bookmarkEnd w:id="1"/>
    </w:p>
    <w:p w14:paraId="43FF6D25" w14:textId="77777777" w:rsidR="00AC74A7" w:rsidRPr="00AC74A7" w:rsidRDefault="00AC74A7" w:rsidP="00AC74A7">
      <w:pPr>
        <w:autoSpaceDE w:val="0"/>
        <w:autoSpaceDN w:val="0"/>
        <w:adjustRightInd w:val="0"/>
        <w:rPr>
          <w:szCs w:val="24"/>
        </w:rPr>
      </w:pPr>
      <w:r w:rsidRPr="00AC74A7">
        <w:rPr>
          <w:szCs w:val="24"/>
        </w:rPr>
        <w:t xml:space="preserve">A Regulation Impact Statement (RIS) is not required for this fee determination due to section 36(1)(k) of the Legislation Act, which states that a RIS need not be prepared for an </w:t>
      </w:r>
      <w:r w:rsidRPr="00AC74A7">
        <w:rPr>
          <w:szCs w:val="24"/>
        </w:rPr>
        <w:lastRenderedPageBreak/>
        <w:t>amendment of a fee consistent with announced government policy. The</w:t>
      </w:r>
      <w:r>
        <w:rPr>
          <w:szCs w:val="24"/>
        </w:rPr>
        <w:t xml:space="preserve"> clarifying statement and introduction of a 6-year licence fee </w:t>
      </w:r>
      <w:r w:rsidRPr="00AC74A7">
        <w:rPr>
          <w:szCs w:val="24"/>
        </w:rPr>
        <w:t>made by this instrument are consistent with the Government’s policies.</w:t>
      </w:r>
    </w:p>
    <w:bookmarkEnd w:id="2"/>
    <w:p w14:paraId="390B0121" w14:textId="77777777" w:rsidR="00AC74A7" w:rsidRPr="00AC74A7" w:rsidRDefault="00AC74A7" w:rsidP="00AC74A7">
      <w:pPr>
        <w:numPr>
          <w:ilvl w:val="12"/>
          <w:numId w:val="0"/>
        </w:numPr>
        <w:tabs>
          <w:tab w:val="left" w:pos="15168"/>
        </w:tabs>
        <w:rPr>
          <w:szCs w:val="24"/>
        </w:rPr>
      </w:pPr>
    </w:p>
    <w:p w14:paraId="76371CE9" w14:textId="77777777" w:rsidR="00AC74A7" w:rsidRPr="00AC74A7" w:rsidRDefault="00AC74A7" w:rsidP="00AC74A7">
      <w:pPr>
        <w:pStyle w:val="BodyText"/>
        <w:tabs>
          <w:tab w:val="left" w:pos="2826"/>
          <w:tab w:val="left" w:pos="3480"/>
          <w:tab w:val="left" w:pos="7994"/>
          <w:tab w:val="left" w:pos="9837"/>
        </w:tabs>
        <w:rPr>
          <w:rFonts w:ascii="Times New Roman" w:hAnsi="Times New Roman" w:cs="Times New Roman"/>
          <w:b w:val="0"/>
          <w:bCs w:val="0"/>
          <w:szCs w:val="24"/>
        </w:rPr>
      </w:pPr>
      <w:bookmarkStart w:id="3" w:name="_Hlk201913506"/>
      <w:r w:rsidRPr="00AC74A7">
        <w:rPr>
          <w:rFonts w:ascii="Times New Roman" w:hAnsi="Times New Roman" w:cs="Times New Roman"/>
          <w:b w:val="0"/>
          <w:bCs w:val="0"/>
          <w:szCs w:val="24"/>
        </w:rPr>
        <w:t xml:space="preserve">There are no human rights or climate change implications arising from this instrument. </w:t>
      </w:r>
    </w:p>
    <w:bookmarkEnd w:id="3"/>
    <w:p w14:paraId="3B5D1340" w14:textId="77777777" w:rsidR="00AC74A7" w:rsidRPr="00AC74A7" w:rsidRDefault="00AC74A7" w:rsidP="00AC74A7">
      <w:pPr>
        <w:pStyle w:val="BodyText"/>
        <w:tabs>
          <w:tab w:val="left" w:pos="2826"/>
          <w:tab w:val="left" w:pos="3480"/>
          <w:tab w:val="left" w:pos="7994"/>
          <w:tab w:val="left" w:pos="9837"/>
        </w:tabs>
        <w:rPr>
          <w:rFonts w:ascii="Times New Roman" w:hAnsi="Times New Roman" w:cs="Times New Roman"/>
          <w:b w:val="0"/>
          <w:bCs w:val="0"/>
          <w:szCs w:val="24"/>
        </w:rPr>
      </w:pPr>
    </w:p>
    <w:p w14:paraId="7CB85AC8" w14:textId="77777777" w:rsidR="00AC74A7" w:rsidRPr="00AC74A7" w:rsidRDefault="00AC74A7" w:rsidP="00AC74A7">
      <w:pPr>
        <w:pStyle w:val="BodyText"/>
        <w:tabs>
          <w:tab w:val="left" w:pos="2826"/>
          <w:tab w:val="left" w:pos="3480"/>
          <w:tab w:val="left" w:pos="7994"/>
          <w:tab w:val="left" w:pos="9837"/>
        </w:tabs>
        <w:rPr>
          <w:rFonts w:ascii="Times New Roman" w:hAnsi="Times New Roman" w:cs="Times New Roman"/>
          <w:b w:val="0"/>
          <w:bCs w:val="0"/>
          <w:szCs w:val="24"/>
        </w:rPr>
      </w:pPr>
      <w:bookmarkStart w:id="4" w:name="_Hlk201913137"/>
      <w:r w:rsidRPr="00AC74A7">
        <w:rPr>
          <w:rFonts w:ascii="Times New Roman" w:hAnsi="Times New Roman" w:cs="Times New Roman"/>
          <w:b w:val="0"/>
          <w:bCs w:val="0"/>
          <w:szCs w:val="24"/>
        </w:rPr>
        <w:t>This determination is a disallowable instrument and must be presented to the Legislative Assembly within 6 sitting days after its notification pursuant to section 64 of the Legislation Act 2001.</w:t>
      </w:r>
      <w:bookmarkEnd w:id="4"/>
    </w:p>
    <w:p w14:paraId="477FB75F" w14:textId="77777777" w:rsidR="004A085B" w:rsidRDefault="004A085B" w:rsidP="004A085B">
      <w:pPr>
        <w:rPr>
          <w:szCs w:val="24"/>
        </w:rPr>
      </w:pPr>
    </w:p>
    <w:p w14:paraId="09AA9626" w14:textId="77777777" w:rsidR="005D096A" w:rsidRDefault="005D096A" w:rsidP="004A085B">
      <w:pPr>
        <w:rPr>
          <w:szCs w:val="24"/>
        </w:rPr>
      </w:pPr>
    </w:p>
    <w:p w14:paraId="704EF316" w14:textId="77777777" w:rsidR="0064426D" w:rsidRPr="004A085B" w:rsidRDefault="004A085B" w:rsidP="004A085B">
      <w:pPr>
        <w:rPr>
          <w:b/>
          <w:bCs/>
          <w:szCs w:val="24"/>
        </w:rPr>
      </w:pPr>
      <w:r>
        <w:rPr>
          <w:b/>
          <w:bCs/>
          <w:szCs w:val="24"/>
        </w:rPr>
        <w:t>Clause Notes</w:t>
      </w:r>
    </w:p>
    <w:p w14:paraId="1FD0978B" w14:textId="77777777" w:rsidR="0064426D" w:rsidRPr="004A085B" w:rsidRDefault="0064426D" w:rsidP="0064426D">
      <w:pPr>
        <w:rPr>
          <w:b/>
          <w:bCs/>
          <w:szCs w:val="24"/>
        </w:rPr>
      </w:pPr>
    </w:p>
    <w:p w14:paraId="20526F6A" w14:textId="77777777" w:rsidR="0064426D" w:rsidRPr="004A085B" w:rsidRDefault="0064426D" w:rsidP="0064426D">
      <w:pPr>
        <w:rPr>
          <w:b/>
          <w:bCs/>
          <w:szCs w:val="24"/>
        </w:rPr>
      </w:pPr>
      <w:r w:rsidRPr="004A085B">
        <w:rPr>
          <w:b/>
          <w:bCs/>
          <w:szCs w:val="24"/>
        </w:rPr>
        <w:t>Clause 1</w:t>
      </w:r>
      <w:r w:rsidRPr="004A085B">
        <w:rPr>
          <w:b/>
          <w:bCs/>
          <w:szCs w:val="24"/>
        </w:rPr>
        <w:tab/>
        <w:t>Name of instrument</w:t>
      </w:r>
    </w:p>
    <w:p w14:paraId="1588E6AA" w14:textId="77777777" w:rsidR="0064426D" w:rsidRPr="004A085B" w:rsidRDefault="0064426D" w:rsidP="00D17099">
      <w:pPr>
        <w:spacing w:before="120"/>
        <w:rPr>
          <w:szCs w:val="24"/>
        </w:rPr>
      </w:pPr>
      <w:r w:rsidRPr="004A085B">
        <w:rPr>
          <w:szCs w:val="24"/>
        </w:rPr>
        <w:t xml:space="preserve">This clause states that the name of the instrument is the </w:t>
      </w:r>
      <w:r w:rsidRPr="004A085B">
        <w:rPr>
          <w:i/>
          <w:iCs/>
          <w:color w:val="000000"/>
          <w:szCs w:val="24"/>
        </w:rPr>
        <w:t>Road Transport (General) Public Passenger Services Licence and Accreditation Fees Determination 2025 (No 1)</w:t>
      </w:r>
      <w:r w:rsidRPr="004A085B">
        <w:rPr>
          <w:color w:val="000000"/>
          <w:szCs w:val="24"/>
        </w:rPr>
        <w:t>.</w:t>
      </w:r>
    </w:p>
    <w:p w14:paraId="4005C13A" w14:textId="77777777" w:rsidR="0064426D" w:rsidRPr="004A085B" w:rsidRDefault="0064426D" w:rsidP="00D17099">
      <w:pPr>
        <w:spacing w:before="120"/>
        <w:rPr>
          <w:b/>
          <w:bCs/>
          <w:szCs w:val="24"/>
        </w:rPr>
      </w:pPr>
      <w:r w:rsidRPr="004A085B">
        <w:rPr>
          <w:b/>
          <w:bCs/>
          <w:szCs w:val="24"/>
        </w:rPr>
        <w:t>Clause 2</w:t>
      </w:r>
      <w:r w:rsidRPr="004A085B">
        <w:rPr>
          <w:b/>
          <w:bCs/>
          <w:szCs w:val="24"/>
        </w:rPr>
        <w:tab/>
        <w:t>Commencement</w:t>
      </w:r>
    </w:p>
    <w:p w14:paraId="37D2B420" w14:textId="77777777" w:rsidR="0064426D" w:rsidRPr="004A085B" w:rsidRDefault="0064426D" w:rsidP="00D17099">
      <w:pPr>
        <w:spacing w:before="120"/>
        <w:rPr>
          <w:szCs w:val="24"/>
        </w:rPr>
      </w:pPr>
      <w:r w:rsidRPr="004A085B">
        <w:rPr>
          <w:szCs w:val="24"/>
        </w:rPr>
        <w:t>This clause states that the instrument commences on 1 September 2025.</w:t>
      </w:r>
    </w:p>
    <w:p w14:paraId="2954F23D" w14:textId="77777777" w:rsidR="0064426D" w:rsidRPr="004A085B" w:rsidRDefault="0064426D" w:rsidP="00D17099">
      <w:pPr>
        <w:spacing w:before="120"/>
        <w:rPr>
          <w:b/>
          <w:bCs/>
          <w:szCs w:val="24"/>
        </w:rPr>
      </w:pPr>
      <w:r w:rsidRPr="004A085B">
        <w:rPr>
          <w:b/>
          <w:bCs/>
          <w:szCs w:val="24"/>
        </w:rPr>
        <w:t>Clause 3</w:t>
      </w:r>
      <w:r w:rsidRPr="004A085B">
        <w:rPr>
          <w:b/>
          <w:bCs/>
          <w:szCs w:val="24"/>
        </w:rPr>
        <w:tab/>
        <w:t>Revocation</w:t>
      </w:r>
    </w:p>
    <w:p w14:paraId="3ADDD3FE" w14:textId="77777777" w:rsidR="0064426D" w:rsidRPr="004A085B" w:rsidRDefault="0064426D" w:rsidP="00D17099">
      <w:pPr>
        <w:spacing w:before="120"/>
        <w:rPr>
          <w:szCs w:val="24"/>
        </w:rPr>
      </w:pPr>
      <w:r w:rsidRPr="004A085B">
        <w:rPr>
          <w:szCs w:val="24"/>
        </w:rPr>
        <w:t xml:space="preserve">This clause states that the instrument revokes the previous determination, being the </w:t>
      </w:r>
      <w:r w:rsidRPr="004A085B">
        <w:rPr>
          <w:i/>
          <w:iCs/>
          <w:color w:val="000000"/>
          <w:szCs w:val="24"/>
          <w:shd w:val="clear" w:color="auto" w:fill="FFFFFF"/>
        </w:rPr>
        <w:t xml:space="preserve">Road Transport (General) Public Passenger Services Licence and Accreditation Fees Determination 2016 (No 1) </w:t>
      </w:r>
      <w:r w:rsidRPr="004A085B">
        <w:rPr>
          <w:color w:val="000000"/>
          <w:szCs w:val="24"/>
          <w:shd w:val="clear" w:color="auto" w:fill="FFFFFF"/>
        </w:rPr>
        <w:t>DI2016-199.</w:t>
      </w:r>
    </w:p>
    <w:p w14:paraId="6B1A9C33" w14:textId="77777777" w:rsidR="0064426D" w:rsidRPr="004A085B" w:rsidRDefault="0064426D" w:rsidP="00D17099">
      <w:pPr>
        <w:spacing w:before="120"/>
        <w:rPr>
          <w:b/>
          <w:bCs/>
          <w:szCs w:val="24"/>
        </w:rPr>
      </w:pPr>
      <w:r w:rsidRPr="004A085B">
        <w:rPr>
          <w:b/>
          <w:bCs/>
          <w:szCs w:val="24"/>
        </w:rPr>
        <w:t xml:space="preserve">Clause </w:t>
      </w:r>
      <w:r w:rsidR="00735985" w:rsidRPr="004A085B">
        <w:rPr>
          <w:b/>
          <w:bCs/>
          <w:szCs w:val="24"/>
        </w:rPr>
        <w:t>4</w:t>
      </w:r>
      <w:r w:rsidRPr="004A085B">
        <w:rPr>
          <w:b/>
          <w:bCs/>
          <w:szCs w:val="24"/>
        </w:rPr>
        <w:tab/>
        <w:t>Determination</w:t>
      </w:r>
    </w:p>
    <w:p w14:paraId="76E74410" w14:textId="77777777" w:rsidR="0064426D" w:rsidRPr="004A085B" w:rsidRDefault="0064426D" w:rsidP="00D17099">
      <w:pPr>
        <w:spacing w:before="120"/>
        <w:rPr>
          <w:szCs w:val="24"/>
        </w:rPr>
      </w:pPr>
      <w:r w:rsidRPr="004A085B">
        <w:rPr>
          <w:szCs w:val="24"/>
        </w:rPr>
        <w:t xml:space="preserve">This clause states that the </w:t>
      </w:r>
      <w:r w:rsidR="00D164AF" w:rsidRPr="004A085B">
        <w:rPr>
          <w:szCs w:val="24"/>
        </w:rPr>
        <w:t>fee payable in respect of each matter listed in an item in column 2 of the Schedule is the amount stated in column 3 of S</w:t>
      </w:r>
      <w:r w:rsidRPr="004A085B">
        <w:rPr>
          <w:szCs w:val="24"/>
        </w:rPr>
        <w:t>chedule of the instrument.</w:t>
      </w:r>
    </w:p>
    <w:p w14:paraId="212B1D9D" w14:textId="77777777" w:rsidR="0064426D" w:rsidRPr="004A085B" w:rsidRDefault="0064426D" w:rsidP="00D17099">
      <w:pPr>
        <w:keepNext/>
        <w:spacing w:before="120"/>
        <w:rPr>
          <w:b/>
          <w:bCs/>
          <w:szCs w:val="24"/>
        </w:rPr>
      </w:pPr>
      <w:r w:rsidRPr="004A085B">
        <w:rPr>
          <w:b/>
          <w:bCs/>
          <w:szCs w:val="24"/>
        </w:rPr>
        <w:t xml:space="preserve">Clause </w:t>
      </w:r>
      <w:r w:rsidR="00735985" w:rsidRPr="004A085B">
        <w:rPr>
          <w:b/>
          <w:bCs/>
          <w:szCs w:val="24"/>
        </w:rPr>
        <w:t>5</w:t>
      </w:r>
      <w:r w:rsidRPr="004A085B">
        <w:rPr>
          <w:b/>
          <w:bCs/>
          <w:szCs w:val="24"/>
        </w:rPr>
        <w:tab/>
        <w:t xml:space="preserve">Payment of </w:t>
      </w:r>
      <w:r w:rsidR="00735985" w:rsidRPr="004A085B">
        <w:rPr>
          <w:b/>
          <w:bCs/>
          <w:szCs w:val="24"/>
        </w:rPr>
        <w:t>fees</w:t>
      </w:r>
    </w:p>
    <w:p w14:paraId="0E1BD6FF" w14:textId="77777777" w:rsidR="0064426D" w:rsidRPr="004A085B" w:rsidRDefault="00D164AF" w:rsidP="00D17099">
      <w:pPr>
        <w:spacing w:before="120"/>
        <w:rPr>
          <w:szCs w:val="24"/>
        </w:rPr>
      </w:pPr>
      <w:r w:rsidRPr="004A085B">
        <w:rPr>
          <w:szCs w:val="24"/>
        </w:rPr>
        <w:t>This clause states that a fee listed in the Schedule is payable to the Territory by the person requesting the matter listed</w:t>
      </w:r>
      <w:r w:rsidR="0064426D" w:rsidRPr="004A085B">
        <w:rPr>
          <w:szCs w:val="24"/>
        </w:rPr>
        <w:t xml:space="preserve">. The clause also </w:t>
      </w:r>
      <w:r w:rsidRPr="004A085B">
        <w:rPr>
          <w:szCs w:val="24"/>
        </w:rPr>
        <w:t>states that unless otherwise stated</w:t>
      </w:r>
      <w:r w:rsidR="005C22B6" w:rsidRPr="004A085B">
        <w:rPr>
          <w:szCs w:val="24"/>
        </w:rPr>
        <w:t xml:space="preserve"> in column 3</w:t>
      </w:r>
      <w:r w:rsidRPr="004A085B">
        <w:rPr>
          <w:szCs w:val="24"/>
        </w:rPr>
        <w:t xml:space="preserve">, </w:t>
      </w:r>
      <w:r w:rsidR="00985D4F" w:rsidRPr="004A085B">
        <w:rPr>
          <w:szCs w:val="24"/>
        </w:rPr>
        <w:t>the fee</w:t>
      </w:r>
      <w:r w:rsidRPr="004A085B">
        <w:rPr>
          <w:szCs w:val="24"/>
        </w:rPr>
        <w:t xml:space="preserve"> payable</w:t>
      </w:r>
      <w:r w:rsidR="00985D4F" w:rsidRPr="004A085B">
        <w:rPr>
          <w:szCs w:val="24"/>
        </w:rPr>
        <w:t xml:space="preserve"> in column 3 for the </w:t>
      </w:r>
      <w:r w:rsidR="00BF0D1D" w:rsidRPr="004A085B">
        <w:rPr>
          <w:szCs w:val="24"/>
        </w:rPr>
        <w:t>matter</w:t>
      </w:r>
      <w:r w:rsidR="00985D4F" w:rsidRPr="004A085B">
        <w:rPr>
          <w:szCs w:val="24"/>
        </w:rPr>
        <w:t xml:space="preserve"> listed in column 2 of the </w:t>
      </w:r>
      <w:r w:rsidR="002800A7" w:rsidRPr="004A085B">
        <w:rPr>
          <w:szCs w:val="24"/>
        </w:rPr>
        <w:t>Schedule</w:t>
      </w:r>
      <w:r w:rsidRPr="004A085B">
        <w:rPr>
          <w:szCs w:val="24"/>
        </w:rPr>
        <w:t xml:space="preserve"> must be paid in full to the Territory before the licence, accreditation, or permit is issued.</w:t>
      </w:r>
    </w:p>
    <w:p w14:paraId="5D13A8A3" w14:textId="77777777" w:rsidR="0064426D" w:rsidRDefault="00AF42E1" w:rsidP="00D17099">
      <w:pPr>
        <w:pStyle w:val="NormalWeb"/>
        <w:shd w:val="clear" w:color="auto" w:fill="FFFFFF"/>
        <w:spacing w:before="120" w:beforeAutospacing="0" w:after="0" w:afterAutospacing="0"/>
        <w:rPr>
          <w:b/>
          <w:bCs/>
          <w:color w:val="000000"/>
        </w:rPr>
      </w:pPr>
      <w:r w:rsidRPr="00AF42E1">
        <w:rPr>
          <w:b/>
          <w:bCs/>
          <w:color w:val="000000"/>
        </w:rPr>
        <w:t xml:space="preserve">Schedule </w:t>
      </w:r>
      <w:r>
        <w:rPr>
          <w:b/>
          <w:bCs/>
          <w:color w:val="000000"/>
        </w:rPr>
        <w:t>1</w:t>
      </w:r>
      <w:r w:rsidRPr="00AF42E1">
        <w:rPr>
          <w:b/>
          <w:bCs/>
          <w:color w:val="000000"/>
        </w:rPr>
        <w:t xml:space="preserve"> </w:t>
      </w:r>
      <w:r w:rsidRPr="00AF42E1">
        <w:rPr>
          <w:b/>
          <w:bCs/>
          <w:color w:val="000000"/>
        </w:rPr>
        <w:tab/>
        <w:t xml:space="preserve">Fees </w:t>
      </w:r>
    </w:p>
    <w:p w14:paraId="5639514D" w14:textId="77777777" w:rsidR="0064426D" w:rsidRPr="00D17099" w:rsidRDefault="00D17099" w:rsidP="00D17099">
      <w:pPr>
        <w:pStyle w:val="NormalWeb"/>
        <w:shd w:val="clear" w:color="auto" w:fill="FFFFFF"/>
        <w:spacing w:before="120" w:beforeAutospacing="0" w:after="0" w:afterAutospacing="0"/>
        <w:rPr>
          <w:lang w:eastAsia="en-US"/>
        </w:rPr>
      </w:pPr>
      <w:r w:rsidRPr="00D17099">
        <w:rPr>
          <w:lang w:eastAsia="en-US"/>
        </w:rPr>
        <w:t>Schedule 1 provides accreditation fees for bus and demand responsive services, transport booking s</w:t>
      </w:r>
      <w:r>
        <w:rPr>
          <w:lang w:eastAsia="en-US"/>
        </w:rPr>
        <w:t>e</w:t>
      </w:r>
      <w:r w:rsidRPr="00D17099">
        <w:rPr>
          <w:lang w:eastAsia="en-US"/>
        </w:rPr>
        <w:t xml:space="preserve">rvices, taxi, hire car and rideshare services. The schedule also provides licence fees for taxis, hire cars and rideshare services. </w:t>
      </w:r>
    </w:p>
    <w:p w14:paraId="6FF0D9E0" w14:textId="77777777" w:rsidR="0064426D" w:rsidRPr="00AA60FE" w:rsidRDefault="0064426D" w:rsidP="00D17099">
      <w:pPr>
        <w:spacing w:before="120"/>
      </w:pPr>
    </w:p>
    <w:sectPr w:rsidR="0064426D" w:rsidRPr="00AA60FE" w:rsidSect="004A085B">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start="1"/>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9F3F" w14:textId="77777777" w:rsidR="002F73A4" w:rsidRDefault="002F73A4">
      <w:r>
        <w:separator/>
      </w:r>
    </w:p>
  </w:endnote>
  <w:endnote w:type="continuationSeparator" w:id="0">
    <w:p w14:paraId="48375BA5" w14:textId="77777777" w:rsidR="002F73A4" w:rsidRDefault="002F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86BD" w14:textId="77777777" w:rsidR="00A30257" w:rsidRDefault="00A302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DCCCF0" w14:textId="77777777" w:rsidR="00A30257" w:rsidRDefault="00A30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BD2B" w14:textId="61E82E6E" w:rsidR="00A30257" w:rsidRPr="00926914" w:rsidRDefault="00926914" w:rsidP="00926914">
    <w:pPr>
      <w:pStyle w:val="Footer"/>
      <w:jc w:val="center"/>
      <w:rPr>
        <w:rFonts w:cs="Arial"/>
        <w:sz w:val="14"/>
      </w:rPr>
    </w:pPr>
    <w:r w:rsidRPr="0092691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EB68" w14:textId="2234E2A9" w:rsidR="00A30257" w:rsidRPr="00926914" w:rsidRDefault="00926914" w:rsidP="00926914">
    <w:pPr>
      <w:pStyle w:val="Footer"/>
      <w:jc w:val="center"/>
      <w:rPr>
        <w:rFonts w:cs="Arial"/>
        <w:sz w:val="14"/>
      </w:rPr>
    </w:pPr>
    <w:r w:rsidRPr="0092691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F00F" w14:textId="77777777" w:rsidR="002F73A4" w:rsidRDefault="002F73A4">
      <w:r>
        <w:separator/>
      </w:r>
    </w:p>
  </w:footnote>
  <w:footnote w:type="continuationSeparator" w:id="0">
    <w:p w14:paraId="1147D310" w14:textId="77777777" w:rsidR="002F73A4" w:rsidRDefault="002F7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0809" w14:textId="77777777" w:rsidR="00926914" w:rsidRDefault="00926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E48C" w14:textId="77777777" w:rsidR="00926914" w:rsidRDefault="00926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CBBD" w14:textId="77777777" w:rsidR="00926914" w:rsidRDefault="00926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F3E5FE"/>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8E446D4"/>
    <w:multiLevelType w:val="hybridMultilevel"/>
    <w:tmpl w:val="FFFFFFFF"/>
    <w:lvl w:ilvl="0" w:tplc="FB1053FA">
      <w:start w:val="1"/>
      <w:numFmt w:val="bullet"/>
      <w:lvlText w:val=""/>
      <w:lvlJc w:val="left"/>
      <w:pPr>
        <w:tabs>
          <w:tab w:val="num" w:pos="687"/>
        </w:tabs>
        <w:ind w:left="687" w:hanging="567"/>
      </w:pPr>
      <w:rPr>
        <w:rFonts w:ascii="Symbol" w:hAnsi="Symbol" w:hint="default"/>
        <w:b/>
        <w:i w:val="0"/>
        <w:sz w:val="20"/>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B07DFD"/>
    <w:multiLevelType w:val="hybridMultilevel"/>
    <w:tmpl w:val="FFFFFFFF"/>
    <w:lvl w:ilvl="0" w:tplc="1CDC771A">
      <w:start w:val="1"/>
      <w:numFmt w:val="bullet"/>
      <w:lvlText w:val=""/>
      <w:lvlJc w:val="left"/>
      <w:pPr>
        <w:tabs>
          <w:tab w:val="num" w:pos="360"/>
        </w:tabs>
        <w:ind w:left="340" w:hanging="340"/>
      </w:pPr>
      <w:rPr>
        <w:rFonts w:ascii="Wingdings 2" w:hAnsi="Wingdings 2"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A5162"/>
    <w:multiLevelType w:val="hybridMultilevel"/>
    <w:tmpl w:val="FFFFFFFF"/>
    <w:lvl w:ilvl="0" w:tplc="FB1053FA">
      <w:start w:val="1"/>
      <w:numFmt w:val="bullet"/>
      <w:lvlText w:val=""/>
      <w:lvlJc w:val="left"/>
      <w:pPr>
        <w:tabs>
          <w:tab w:val="num" w:pos="567"/>
        </w:tabs>
        <w:ind w:left="567" w:hanging="567"/>
      </w:pPr>
      <w:rPr>
        <w:rFonts w:ascii="Symbol" w:hAnsi="Symbol" w:hint="default"/>
        <w:b/>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73E81"/>
    <w:multiLevelType w:val="hybridMultilevel"/>
    <w:tmpl w:val="FFFFFFFF"/>
    <w:lvl w:ilvl="0" w:tplc="FB1053FA">
      <w:start w:val="1"/>
      <w:numFmt w:val="bullet"/>
      <w:lvlText w:val=""/>
      <w:lvlJc w:val="left"/>
      <w:pPr>
        <w:tabs>
          <w:tab w:val="num" w:pos="567"/>
        </w:tabs>
        <w:ind w:left="567" w:hanging="567"/>
      </w:pPr>
      <w:rPr>
        <w:rFonts w:ascii="Symbol" w:hAnsi="Symbol" w:hint="default"/>
        <w:b/>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C6328"/>
    <w:multiLevelType w:val="hybridMultilevel"/>
    <w:tmpl w:val="FFFFFFFF"/>
    <w:lvl w:ilvl="0" w:tplc="CDFAA4B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B32DE"/>
    <w:multiLevelType w:val="hybridMultilevel"/>
    <w:tmpl w:val="FFFFFFFF"/>
    <w:lvl w:ilvl="0" w:tplc="1CDC771A">
      <w:start w:val="1"/>
      <w:numFmt w:val="bullet"/>
      <w:lvlText w:val=""/>
      <w:lvlJc w:val="left"/>
      <w:pPr>
        <w:tabs>
          <w:tab w:val="num" w:pos="720"/>
        </w:tabs>
        <w:ind w:left="700" w:hanging="340"/>
      </w:pPr>
      <w:rPr>
        <w:rFonts w:ascii="Wingdings 2" w:hAnsi="Wingdings 2"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DD1B3B"/>
    <w:multiLevelType w:val="hybridMultilevel"/>
    <w:tmpl w:val="FFFFFFFF"/>
    <w:lvl w:ilvl="0" w:tplc="FB1053FA">
      <w:start w:val="1"/>
      <w:numFmt w:val="bullet"/>
      <w:lvlText w:val=""/>
      <w:lvlJc w:val="left"/>
      <w:pPr>
        <w:tabs>
          <w:tab w:val="num" w:pos="567"/>
        </w:tabs>
        <w:ind w:left="567" w:hanging="567"/>
      </w:pPr>
      <w:rPr>
        <w:rFonts w:ascii="Symbol" w:hAnsi="Symbol" w:hint="default"/>
        <w:b/>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4"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48D727A1"/>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6" w15:restartNumberingAfterBreak="0">
    <w:nsid w:val="57AB15B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57FE9"/>
    <w:multiLevelType w:val="hybridMultilevel"/>
    <w:tmpl w:val="FFFFFFFF"/>
    <w:lvl w:ilvl="0" w:tplc="CDFAA4B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5D8B76DC"/>
    <w:multiLevelType w:val="hybridMultilevel"/>
    <w:tmpl w:val="FFFFFFFF"/>
    <w:lvl w:ilvl="0" w:tplc="CDFAA4B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6B0F7727"/>
    <w:multiLevelType w:val="hybridMultilevel"/>
    <w:tmpl w:val="FFFFFFFF"/>
    <w:lvl w:ilvl="0" w:tplc="FB1053FA">
      <w:start w:val="1"/>
      <w:numFmt w:val="bullet"/>
      <w:lvlText w:val=""/>
      <w:lvlJc w:val="left"/>
      <w:pPr>
        <w:tabs>
          <w:tab w:val="num" w:pos="567"/>
        </w:tabs>
        <w:ind w:left="567" w:hanging="567"/>
      </w:pPr>
      <w:rPr>
        <w:rFonts w:ascii="Symbol" w:hAnsi="Symbol" w:hint="default"/>
        <w:b/>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A80EBE"/>
    <w:multiLevelType w:val="hybridMultilevel"/>
    <w:tmpl w:val="FFFFFFFF"/>
    <w:lvl w:ilvl="0" w:tplc="CDFAA4B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6E463D2F"/>
    <w:multiLevelType w:val="hybridMultilevel"/>
    <w:tmpl w:val="FFFFFFFF"/>
    <w:lvl w:ilvl="0" w:tplc="9D8EC39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722E127D"/>
    <w:multiLevelType w:val="hybridMultilevel"/>
    <w:tmpl w:val="FFFFFFFF"/>
    <w:lvl w:ilvl="0" w:tplc="D7AECE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7D7A1B"/>
    <w:multiLevelType w:val="hybridMultilevel"/>
    <w:tmpl w:val="FFFFFFFF"/>
    <w:lvl w:ilvl="0" w:tplc="F81A8B42">
      <w:start w:val="1"/>
      <w:numFmt w:val="bullet"/>
      <w:lvlText w:val=""/>
      <w:lvlJc w:val="left"/>
      <w:pPr>
        <w:tabs>
          <w:tab w:val="num" w:pos="473"/>
        </w:tabs>
        <w:ind w:left="454" w:hanging="341"/>
      </w:pPr>
      <w:rPr>
        <w:rFonts w:ascii="Symbol" w:hAnsi="Symbol" w:hint="default"/>
        <w:b/>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B554A9"/>
    <w:multiLevelType w:val="hybridMultilevel"/>
    <w:tmpl w:val="FFFFFFFF"/>
    <w:lvl w:ilvl="0" w:tplc="FB1053FA">
      <w:start w:val="1"/>
      <w:numFmt w:val="bullet"/>
      <w:lvlText w:val=""/>
      <w:lvlJc w:val="left"/>
      <w:pPr>
        <w:tabs>
          <w:tab w:val="num" w:pos="627"/>
        </w:tabs>
        <w:ind w:left="627" w:hanging="567"/>
      </w:pPr>
      <w:rPr>
        <w:rFonts w:ascii="Symbol" w:hAnsi="Symbol" w:hint="default"/>
        <w:b/>
        <w:i w:val="0"/>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040595362">
    <w:abstractNumId w:val="4"/>
  </w:num>
  <w:num w:numId="2" w16cid:durableId="1263226976">
    <w:abstractNumId w:val="1"/>
  </w:num>
  <w:num w:numId="3" w16cid:durableId="1115641569">
    <w:abstractNumId w:val="5"/>
  </w:num>
  <w:num w:numId="4" w16cid:durableId="730419838">
    <w:abstractNumId w:val="14"/>
  </w:num>
  <w:num w:numId="5" w16cid:durableId="1733774617">
    <w:abstractNumId w:val="22"/>
  </w:num>
  <w:num w:numId="6" w16cid:durableId="76446571">
    <w:abstractNumId w:val="2"/>
  </w:num>
  <w:num w:numId="7" w16cid:durableId="2060589302">
    <w:abstractNumId w:val="12"/>
  </w:num>
  <w:num w:numId="8" w16cid:durableId="1520008025">
    <w:abstractNumId w:val="13"/>
  </w:num>
  <w:num w:numId="9" w16cid:durableId="1768454116">
    <w:abstractNumId w:val="20"/>
  </w:num>
  <w:num w:numId="10" w16cid:durableId="1027870548">
    <w:abstractNumId w:val="18"/>
  </w:num>
  <w:num w:numId="11" w16cid:durableId="1019313287">
    <w:abstractNumId w:val="9"/>
  </w:num>
  <w:num w:numId="12" w16cid:durableId="472450626">
    <w:abstractNumId w:val="17"/>
  </w:num>
  <w:num w:numId="13" w16cid:durableId="1002314718">
    <w:abstractNumId w:val="10"/>
  </w:num>
  <w:num w:numId="14" w16cid:durableId="975258552">
    <w:abstractNumId w:val="3"/>
  </w:num>
  <w:num w:numId="15" w16cid:durableId="774061135">
    <w:abstractNumId w:val="6"/>
  </w:num>
  <w:num w:numId="16" w16cid:durableId="1470514009">
    <w:abstractNumId w:val="11"/>
  </w:num>
  <w:num w:numId="17" w16cid:durableId="1931623082">
    <w:abstractNumId w:val="7"/>
  </w:num>
  <w:num w:numId="18" w16cid:durableId="1329288023">
    <w:abstractNumId w:val="25"/>
  </w:num>
  <w:num w:numId="19" w16cid:durableId="2041658133">
    <w:abstractNumId w:val="23"/>
  </w:num>
  <w:num w:numId="20" w16cid:durableId="1511330109">
    <w:abstractNumId w:val="21"/>
  </w:num>
  <w:num w:numId="21" w16cid:durableId="349376239">
    <w:abstractNumId w:val="19"/>
  </w:num>
  <w:num w:numId="22" w16cid:durableId="619841499">
    <w:abstractNumId w:val="8"/>
  </w:num>
  <w:num w:numId="23" w16cid:durableId="301348322">
    <w:abstractNumId w:val="24"/>
  </w:num>
  <w:num w:numId="24" w16cid:durableId="1656254923">
    <w:abstractNumId w:val="0"/>
  </w:num>
  <w:num w:numId="25" w16cid:durableId="1468821691">
    <w:abstractNumId w:val="15"/>
  </w:num>
  <w:num w:numId="26" w16cid:durableId="664648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4D6C"/>
    <w:rsid w:val="00001180"/>
    <w:rsid w:val="00003CA7"/>
    <w:rsid w:val="000073DB"/>
    <w:rsid w:val="00017D3A"/>
    <w:rsid w:val="000419FA"/>
    <w:rsid w:val="0004438E"/>
    <w:rsid w:val="0004759C"/>
    <w:rsid w:val="00066CC7"/>
    <w:rsid w:val="000872E1"/>
    <w:rsid w:val="0009224E"/>
    <w:rsid w:val="000A44B9"/>
    <w:rsid w:val="000F2948"/>
    <w:rsid w:val="00100BE5"/>
    <w:rsid w:val="001069B0"/>
    <w:rsid w:val="00125837"/>
    <w:rsid w:val="00126471"/>
    <w:rsid w:val="001310A9"/>
    <w:rsid w:val="001316C0"/>
    <w:rsid w:val="00132271"/>
    <w:rsid w:val="00134479"/>
    <w:rsid w:val="0014100E"/>
    <w:rsid w:val="001461AA"/>
    <w:rsid w:val="00151EAF"/>
    <w:rsid w:val="00177DA5"/>
    <w:rsid w:val="00194EFF"/>
    <w:rsid w:val="001A7EFA"/>
    <w:rsid w:val="001B3B49"/>
    <w:rsid w:val="001B6091"/>
    <w:rsid w:val="001C3B06"/>
    <w:rsid w:val="001D4CE8"/>
    <w:rsid w:val="001E1904"/>
    <w:rsid w:val="00202130"/>
    <w:rsid w:val="00212F79"/>
    <w:rsid w:val="00216EC5"/>
    <w:rsid w:val="00220CA9"/>
    <w:rsid w:val="00234731"/>
    <w:rsid w:val="00241098"/>
    <w:rsid w:val="0024288B"/>
    <w:rsid w:val="00271B80"/>
    <w:rsid w:val="00276261"/>
    <w:rsid w:val="002800A7"/>
    <w:rsid w:val="002A2D62"/>
    <w:rsid w:val="002C1A32"/>
    <w:rsid w:val="002E32C2"/>
    <w:rsid w:val="002F73A4"/>
    <w:rsid w:val="003038D4"/>
    <w:rsid w:val="003045E7"/>
    <w:rsid w:val="00315788"/>
    <w:rsid w:val="00320E0E"/>
    <w:rsid w:val="00332F5E"/>
    <w:rsid w:val="00334D6C"/>
    <w:rsid w:val="00336AC2"/>
    <w:rsid w:val="00336CDA"/>
    <w:rsid w:val="003433D8"/>
    <w:rsid w:val="00352E26"/>
    <w:rsid w:val="00356A6E"/>
    <w:rsid w:val="00374F19"/>
    <w:rsid w:val="003808AE"/>
    <w:rsid w:val="00386F1D"/>
    <w:rsid w:val="00391CBB"/>
    <w:rsid w:val="00391F79"/>
    <w:rsid w:val="003A72F1"/>
    <w:rsid w:val="003B0EAA"/>
    <w:rsid w:val="003D2ADA"/>
    <w:rsid w:val="003E00B9"/>
    <w:rsid w:val="003E109D"/>
    <w:rsid w:val="003E7B0C"/>
    <w:rsid w:val="003F6523"/>
    <w:rsid w:val="0041681A"/>
    <w:rsid w:val="004507A7"/>
    <w:rsid w:val="00460BA3"/>
    <w:rsid w:val="00465CFE"/>
    <w:rsid w:val="00481CF1"/>
    <w:rsid w:val="0048325D"/>
    <w:rsid w:val="004A085B"/>
    <w:rsid w:val="004A20D3"/>
    <w:rsid w:val="004C457D"/>
    <w:rsid w:val="004D7C12"/>
    <w:rsid w:val="004E00C8"/>
    <w:rsid w:val="004E2F8F"/>
    <w:rsid w:val="00501E0D"/>
    <w:rsid w:val="005049C9"/>
    <w:rsid w:val="00521E5A"/>
    <w:rsid w:val="00534ACF"/>
    <w:rsid w:val="00544CE9"/>
    <w:rsid w:val="00555A6E"/>
    <w:rsid w:val="0055612C"/>
    <w:rsid w:val="00575226"/>
    <w:rsid w:val="005817AF"/>
    <w:rsid w:val="00581FF9"/>
    <w:rsid w:val="00583C1C"/>
    <w:rsid w:val="005865DC"/>
    <w:rsid w:val="005903B7"/>
    <w:rsid w:val="005A23FD"/>
    <w:rsid w:val="005A3B94"/>
    <w:rsid w:val="005C22B6"/>
    <w:rsid w:val="005D096A"/>
    <w:rsid w:val="005E00A7"/>
    <w:rsid w:val="005E1FB1"/>
    <w:rsid w:val="005E68A7"/>
    <w:rsid w:val="005F26E7"/>
    <w:rsid w:val="005F7145"/>
    <w:rsid w:val="005F77AF"/>
    <w:rsid w:val="00601C54"/>
    <w:rsid w:val="0061100E"/>
    <w:rsid w:val="006344B7"/>
    <w:rsid w:val="0063592E"/>
    <w:rsid w:val="00637A55"/>
    <w:rsid w:val="006428DA"/>
    <w:rsid w:val="0064426D"/>
    <w:rsid w:val="00656F8E"/>
    <w:rsid w:val="00661540"/>
    <w:rsid w:val="00664F04"/>
    <w:rsid w:val="0067000D"/>
    <w:rsid w:val="00673983"/>
    <w:rsid w:val="006752F2"/>
    <w:rsid w:val="00676F47"/>
    <w:rsid w:val="00680C2D"/>
    <w:rsid w:val="00684A79"/>
    <w:rsid w:val="006866B1"/>
    <w:rsid w:val="006904A9"/>
    <w:rsid w:val="00691202"/>
    <w:rsid w:val="006940D4"/>
    <w:rsid w:val="006A317A"/>
    <w:rsid w:val="006A4CF4"/>
    <w:rsid w:val="006B5CD8"/>
    <w:rsid w:val="006C4950"/>
    <w:rsid w:val="006E572F"/>
    <w:rsid w:val="006E6173"/>
    <w:rsid w:val="006E6FCE"/>
    <w:rsid w:val="006F29F9"/>
    <w:rsid w:val="006F4556"/>
    <w:rsid w:val="007005DC"/>
    <w:rsid w:val="00735985"/>
    <w:rsid w:val="00785B71"/>
    <w:rsid w:val="0078711E"/>
    <w:rsid w:val="00792012"/>
    <w:rsid w:val="00793BB7"/>
    <w:rsid w:val="007944DC"/>
    <w:rsid w:val="007B00FD"/>
    <w:rsid w:val="007C2A39"/>
    <w:rsid w:val="007C46F3"/>
    <w:rsid w:val="007F5332"/>
    <w:rsid w:val="00804B0B"/>
    <w:rsid w:val="008144F8"/>
    <w:rsid w:val="00832EFE"/>
    <w:rsid w:val="0083665E"/>
    <w:rsid w:val="00840680"/>
    <w:rsid w:val="00847F43"/>
    <w:rsid w:val="0085197D"/>
    <w:rsid w:val="0087320D"/>
    <w:rsid w:val="00873F8D"/>
    <w:rsid w:val="00882816"/>
    <w:rsid w:val="008A08CE"/>
    <w:rsid w:val="008A3363"/>
    <w:rsid w:val="008E7230"/>
    <w:rsid w:val="0090050A"/>
    <w:rsid w:val="009064D9"/>
    <w:rsid w:val="009113CF"/>
    <w:rsid w:val="00917FD2"/>
    <w:rsid w:val="00921D04"/>
    <w:rsid w:val="00926462"/>
    <w:rsid w:val="00926914"/>
    <w:rsid w:val="00940ECC"/>
    <w:rsid w:val="00954B44"/>
    <w:rsid w:val="009558DC"/>
    <w:rsid w:val="009854BC"/>
    <w:rsid w:val="00985D4F"/>
    <w:rsid w:val="00987A67"/>
    <w:rsid w:val="009B4305"/>
    <w:rsid w:val="009B69C8"/>
    <w:rsid w:val="009C231A"/>
    <w:rsid w:val="009C7435"/>
    <w:rsid w:val="009F4AAF"/>
    <w:rsid w:val="009F6C34"/>
    <w:rsid w:val="00A2376B"/>
    <w:rsid w:val="00A268A4"/>
    <w:rsid w:val="00A30257"/>
    <w:rsid w:val="00A35B3D"/>
    <w:rsid w:val="00A463EF"/>
    <w:rsid w:val="00A611A5"/>
    <w:rsid w:val="00A65FB3"/>
    <w:rsid w:val="00A73891"/>
    <w:rsid w:val="00A750A2"/>
    <w:rsid w:val="00A75ED1"/>
    <w:rsid w:val="00A76485"/>
    <w:rsid w:val="00A83291"/>
    <w:rsid w:val="00A87C28"/>
    <w:rsid w:val="00A907D6"/>
    <w:rsid w:val="00A91ADC"/>
    <w:rsid w:val="00AA1F9E"/>
    <w:rsid w:val="00AA60FE"/>
    <w:rsid w:val="00AB3FF0"/>
    <w:rsid w:val="00AC74A7"/>
    <w:rsid w:val="00AF42E1"/>
    <w:rsid w:val="00AF4C35"/>
    <w:rsid w:val="00AF4D77"/>
    <w:rsid w:val="00B12920"/>
    <w:rsid w:val="00B202F0"/>
    <w:rsid w:val="00B21D7D"/>
    <w:rsid w:val="00B26258"/>
    <w:rsid w:val="00B42EE0"/>
    <w:rsid w:val="00B574BE"/>
    <w:rsid w:val="00B76E94"/>
    <w:rsid w:val="00B772D6"/>
    <w:rsid w:val="00B827CE"/>
    <w:rsid w:val="00B92CE5"/>
    <w:rsid w:val="00B93B6E"/>
    <w:rsid w:val="00BA629D"/>
    <w:rsid w:val="00BB5EDC"/>
    <w:rsid w:val="00BD2038"/>
    <w:rsid w:val="00BF0605"/>
    <w:rsid w:val="00BF0D1D"/>
    <w:rsid w:val="00BF3CF3"/>
    <w:rsid w:val="00C11358"/>
    <w:rsid w:val="00C31612"/>
    <w:rsid w:val="00C472EE"/>
    <w:rsid w:val="00C75936"/>
    <w:rsid w:val="00C76BF3"/>
    <w:rsid w:val="00C86A15"/>
    <w:rsid w:val="00C86D88"/>
    <w:rsid w:val="00C91C22"/>
    <w:rsid w:val="00C95E78"/>
    <w:rsid w:val="00CB7487"/>
    <w:rsid w:val="00CE48B8"/>
    <w:rsid w:val="00CF62B3"/>
    <w:rsid w:val="00D102CD"/>
    <w:rsid w:val="00D163D4"/>
    <w:rsid w:val="00D164AF"/>
    <w:rsid w:val="00D17099"/>
    <w:rsid w:val="00D23D27"/>
    <w:rsid w:val="00D3771B"/>
    <w:rsid w:val="00D44845"/>
    <w:rsid w:val="00D83E98"/>
    <w:rsid w:val="00D94F14"/>
    <w:rsid w:val="00DD1A29"/>
    <w:rsid w:val="00DF054F"/>
    <w:rsid w:val="00E00BAA"/>
    <w:rsid w:val="00E05EB0"/>
    <w:rsid w:val="00E06BCC"/>
    <w:rsid w:val="00E11310"/>
    <w:rsid w:val="00E143B6"/>
    <w:rsid w:val="00E23E53"/>
    <w:rsid w:val="00E33B86"/>
    <w:rsid w:val="00E3487D"/>
    <w:rsid w:val="00E4282D"/>
    <w:rsid w:val="00E43F69"/>
    <w:rsid w:val="00E61C4A"/>
    <w:rsid w:val="00E730E4"/>
    <w:rsid w:val="00E763B9"/>
    <w:rsid w:val="00E8563A"/>
    <w:rsid w:val="00E977A8"/>
    <w:rsid w:val="00EA385D"/>
    <w:rsid w:val="00EA4FD7"/>
    <w:rsid w:val="00EB4F41"/>
    <w:rsid w:val="00ED69D4"/>
    <w:rsid w:val="00EF3F92"/>
    <w:rsid w:val="00EF4070"/>
    <w:rsid w:val="00F138E6"/>
    <w:rsid w:val="00F16A82"/>
    <w:rsid w:val="00F3254B"/>
    <w:rsid w:val="00F409E5"/>
    <w:rsid w:val="00F46265"/>
    <w:rsid w:val="00F53620"/>
    <w:rsid w:val="00F54075"/>
    <w:rsid w:val="00F56E6C"/>
    <w:rsid w:val="00F823ED"/>
    <w:rsid w:val="00F91D23"/>
    <w:rsid w:val="00FA0D9E"/>
    <w:rsid w:val="00FB1A79"/>
    <w:rsid w:val="00FD49D4"/>
    <w:rsid w:val="00FF2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6FF48"/>
  <w14:defaultImageDpi w14:val="0"/>
  <w15:docId w15:val="{0FD3A08A-4ED6-40B9-85C9-4CA0C310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CC"/>
    <w:rPr>
      <w:sz w:val="24"/>
      <w:lang w:eastAsia="en-US"/>
    </w:rPr>
  </w:style>
  <w:style w:type="paragraph" w:styleId="Heading1">
    <w:name w:val="heading 1"/>
    <w:basedOn w:val="Normal"/>
    <w:next w:val="Normal"/>
    <w:link w:val="Heading1Char"/>
    <w:uiPriority w:val="99"/>
    <w:qFormat/>
    <w:rsid w:val="00E06BC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E06BC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E06BCC"/>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E06BCC"/>
    <w:pPr>
      <w:keepNext/>
      <w:pBdr>
        <w:right w:val="single" w:sz="4" w:space="4" w:color="auto"/>
      </w:pBdr>
      <w:ind w:left="743" w:hanging="709"/>
      <w:outlineLvl w:val="3"/>
    </w:pPr>
    <w:rPr>
      <w:i/>
      <w:iCs/>
      <w:sz w:val="22"/>
      <w:szCs w:val="22"/>
    </w:rPr>
  </w:style>
  <w:style w:type="paragraph" w:styleId="Heading5">
    <w:name w:val="heading 5"/>
    <w:basedOn w:val="Normal"/>
    <w:next w:val="Normal"/>
    <w:link w:val="Heading5Char"/>
    <w:uiPriority w:val="99"/>
    <w:qFormat/>
    <w:rsid w:val="00E06BCC"/>
    <w:pPr>
      <w:keepNext/>
      <w:spacing w:before="240" w:after="60"/>
      <w:jc w:val="center"/>
      <w:outlineLvl w:val="4"/>
    </w:pPr>
    <w:rPr>
      <w:rFonts w:ascii="Arial" w:hAnsi="Arial" w:cs="Arial"/>
      <w:b/>
      <w:bCs/>
    </w:rPr>
  </w:style>
  <w:style w:type="paragraph" w:styleId="Heading6">
    <w:name w:val="heading 6"/>
    <w:basedOn w:val="Normal"/>
    <w:next w:val="Normal"/>
    <w:link w:val="Heading6Char"/>
    <w:uiPriority w:val="99"/>
    <w:qFormat/>
    <w:rsid w:val="00E06BCC"/>
    <w:pPr>
      <w:keepNext/>
      <w:ind w:left="851" w:hanging="851"/>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6BCC"/>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E06BCC"/>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E06BCC"/>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E06BCC"/>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E06BCC"/>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E06BCC"/>
    <w:rPr>
      <w:rFonts w:ascii="Calibri" w:hAnsi="Calibri" w:cs="Times New Roman"/>
      <w:b/>
      <w:bCs/>
      <w:lang w:val="x-none" w:eastAsia="en-US"/>
    </w:rPr>
  </w:style>
  <w:style w:type="paragraph" w:styleId="Title">
    <w:name w:val="Title"/>
    <w:basedOn w:val="Normal"/>
    <w:link w:val="TitleChar"/>
    <w:uiPriority w:val="99"/>
    <w:qFormat/>
    <w:rsid w:val="00E06BC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99"/>
    <w:locked/>
    <w:rsid w:val="00E06BCC"/>
    <w:rPr>
      <w:rFonts w:ascii="Cambria" w:hAnsi="Cambria" w:cs="Times New Roman"/>
      <w:b/>
      <w:bCs/>
      <w:kern w:val="28"/>
      <w:sz w:val="32"/>
      <w:szCs w:val="32"/>
      <w:lang w:val="x-none" w:eastAsia="en-US"/>
    </w:rPr>
  </w:style>
  <w:style w:type="paragraph" w:styleId="Footer">
    <w:name w:val="footer"/>
    <w:basedOn w:val="Normal"/>
    <w:link w:val="FooterChar"/>
    <w:uiPriority w:val="99"/>
    <w:rsid w:val="00E06BCC"/>
    <w:pPr>
      <w:tabs>
        <w:tab w:val="left" w:pos="2880"/>
      </w:tabs>
      <w:spacing w:before="120" w:after="60" w:line="240" w:lineRule="exact"/>
    </w:pPr>
    <w:rPr>
      <w:rFonts w:ascii="Arial" w:hAnsi="Arial"/>
      <w:sz w:val="18"/>
    </w:rPr>
  </w:style>
  <w:style w:type="character" w:customStyle="1" w:styleId="FooterChar">
    <w:name w:val="Footer Char"/>
    <w:link w:val="Footer"/>
    <w:uiPriority w:val="99"/>
    <w:semiHidden/>
    <w:locked/>
    <w:rsid w:val="00E06BCC"/>
    <w:rPr>
      <w:rFonts w:cs="Times New Roman"/>
      <w:sz w:val="20"/>
      <w:szCs w:val="20"/>
      <w:lang w:val="x-none" w:eastAsia="en-US"/>
    </w:rPr>
  </w:style>
  <w:style w:type="paragraph" w:customStyle="1" w:styleId="Billname">
    <w:name w:val="Billname"/>
    <w:basedOn w:val="Normal"/>
    <w:uiPriority w:val="99"/>
    <w:rsid w:val="00E06BCC"/>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E06BCC"/>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E06BCC"/>
    <w:pPr>
      <w:pBdr>
        <w:bottom w:val="single" w:sz="12" w:space="1" w:color="auto"/>
      </w:pBdr>
      <w:jc w:val="both"/>
    </w:pPr>
  </w:style>
  <w:style w:type="paragraph" w:customStyle="1" w:styleId="madeunder">
    <w:name w:val="made under"/>
    <w:basedOn w:val="Normal"/>
    <w:uiPriority w:val="99"/>
    <w:rsid w:val="00E06BCC"/>
    <w:pPr>
      <w:spacing w:before="180" w:after="60"/>
      <w:jc w:val="both"/>
    </w:pPr>
  </w:style>
  <w:style w:type="paragraph" w:customStyle="1" w:styleId="CoverActName">
    <w:name w:val="CoverActName"/>
    <w:basedOn w:val="Normal"/>
    <w:uiPriority w:val="99"/>
    <w:rsid w:val="00E06BCC"/>
    <w:pPr>
      <w:tabs>
        <w:tab w:val="left" w:pos="2600"/>
      </w:tabs>
      <w:spacing w:before="200" w:after="60"/>
      <w:jc w:val="both"/>
    </w:pPr>
    <w:rPr>
      <w:rFonts w:ascii="Arial" w:hAnsi="Arial"/>
      <w:b/>
    </w:rPr>
  </w:style>
  <w:style w:type="paragraph" w:customStyle="1" w:styleId="06Copyright">
    <w:name w:val="06Copyright"/>
    <w:basedOn w:val="Normal"/>
    <w:uiPriority w:val="99"/>
    <w:rsid w:val="00E06BCC"/>
    <w:pPr>
      <w:tabs>
        <w:tab w:val="left" w:pos="2880"/>
      </w:tabs>
    </w:pPr>
  </w:style>
  <w:style w:type="paragraph" w:customStyle="1" w:styleId="Apara">
    <w:name w:val="A para"/>
    <w:basedOn w:val="Normal"/>
    <w:uiPriority w:val="99"/>
    <w:rsid w:val="00E06BCC"/>
    <w:pPr>
      <w:numPr>
        <w:ilvl w:val="6"/>
        <w:numId w:val="25"/>
      </w:numPr>
      <w:spacing w:before="80" w:after="60"/>
      <w:jc w:val="both"/>
      <w:outlineLvl w:val="6"/>
    </w:pPr>
  </w:style>
  <w:style w:type="paragraph" w:customStyle="1" w:styleId="Asubpara">
    <w:name w:val="A subpara"/>
    <w:basedOn w:val="Normal"/>
    <w:uiPriority w:val="99"/>
    <w:rsid w:val="00E06BCC"/>
    <w:pPr>
      <w:numPr>
        <w:ilvl w:val="7"/>
        <w:numId w:val="25"/>
      </w:numPr>
      <w:spacing w:before="80" w:after="60"/>
      <w:jc w:val="both"/>
      <w:outlineLvl w:val="7"/>
    </w:pPr>
  </w:style>
  <w:style w:type="paragraph" w:customStyle="1" w:styleId="Asubsubpara">
    <w:name w:val="A subsubpara"/>
    <w:basedOn w:val="Normal"/>
    <w:uiPriority w:val="99"/>
    <w:rsid w:val="00E06BCC"/>
    <w:pPr>
      <w:numPr>
        <w:ilvl w:val="8"/>
        <w:numId w:val="25"/>
      </w:numPr>
      <w:spacing w:before="80" w:after="60"/>
      <w:jc w:val="both"/>
      <w:outlineLvl w:val="8"/>
    </w:pPr>
  </w:style>
  <w:style w:type="paragraph" w:customStyle="1" w:styleId="AH5Sec">
    <w:name w:val="A H5 Sec"/>
    <w:basedOn w:val="Normal"/>
    <w:next w:val="Amain"/>
    <w:uiPriority w:val="99"/>
    <w:rsid w:val="00E06BCC"/>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E06BCC"/>
    <w:pPr>
      <w:tabs>
        <w:tab w:val="left" w:pos="2880"/>
        <w:tab w:val="center" w:pos="4153"/>
        <w:tab w:val="right" w:pos="8306"/>
      </w:tabs>
    </w:pPr>
  </w:style>
  <w:style w:type="character" w:customStyle="1" w:styleId="HeaderChar">
    <w:name w:val="Header Char"/>
    <w:link w:val="Header"/>
    <w:uiPriority w:val="99"/>
    <w:semiHidden/>
    <w:locked/>
    <w:rsid w:val="00E06BCC"/>
    <w:rPr>
      <w:rFonts w:cs="Times New Roman"/>
      <w:sz w:val="20"/>
      <w:szCs w:val="20"/>
      <w:lang w:val="x-none" w:eastAsia="en-US"/>
    </w:rPr>
  </w:style>
  <w:style w:type="paragraph" w:customStyle="1" w:styleId="ref">
    <w:name w:val="ref"/>
    <w:basedOn w:val="Normal"/>
    <w:next w:val="Normal"/>
    <w:uiPriority w:val="99"/>
    <w:rsid w:val="00E06BCC"/>
    <w:pPr>
      <w:spacing w:after="60"/>
      <w:jc w:val="both"/>
    </w:pPr>
    <w:rPr>
      <w:sz w:val="18"/>
    </w:rPr>
  </w:style>
  <w:style w:type="character" w:customStyle="1" w:styleId="CharDivText">
    <w:name w:val="CharDivText"/>
    <w:uiPriority w:val="99"/>
    <w:rsid w:val="00E06BCC"/>
    <w:rPr>
      <w:rFonts w:cs="Times New Roman"/>
    </w:rPr>
  </w:style>
  <w:style w:type="paragraph" w:customStyle="1" w:styleId="CoverInForce">
    <w:name w:val="CoverInForce"/>
    <w:basedOn w:val="Normal"/>
    <w:uiPriority w:val="99"/>
    <w:rsid w:val="00E06BCC"/>
    <w:pPr>
      <w:tabs>
        <w:tab w:val="left" w:pos="2600"/>
      </w:tabs>
      <w:spacing w:before="200" w:after="60"/>
      <w:jc w:val="both"/>
    </w:pPr>
    <w:rPr>
      <w:rFonts w:ascii="Arial" w:hAnsi="Arial"/>
    </w:rPr>
  </w:style>
  <w:style w:type="paragraph" w:customStyle="1" w:styleId="AFHdg">
    <w:name w:val="AFHdg"/>
    <w:basedOn w:val="Normal"/>
    <w:uiPriority w:val="99"/>
    <w:rsid w:val="00E06BCC"/>
    <w:pPr>
      <w:tabs>
        <w:tab w:val="left" w:pos="2600"/>
      </w:tabs>
      <w:spacing w:before="80" w:after="60"/>
      <w:jc w:val="both"/>
    </w:pPr>
    <w:rPr>
      <w:rFonts w:ascii="Arial" w:hAnsi="Arial"/>
      <w:b/>
      <w:sz w:val="32"/>
    </w:rPr>
  </w:style>
  <w:style w:type="paragraph" w:customStyle="1" w:styleId="ApprFormHd">
    <w:name w:val="ApprFormHd"/>
    <w:basedOn w:val="Normal"/>
    <w:uiPriority w:val="99"/>
    <w:rsid w:val="00E06BCC"/>
    <w:pPr>
      <w:keepNext/>
      <w:tabs>
        <w:tab w:val="left" w:pos="2600"/>
      </w:tabs>
      <w:spacing w:before="320" w:after="60"/>
      <w:outlineLvl w:val="0"/>
    </w:pPr>
    <w:rPr>
      <w:rFonts w:ascii="Arial" w:hAnsi="Arial"/>
      <w:b/>
      <w:sz w:val="34"/>
    </w:rPr>
  </w:style>
  <w:style w:type="character" w:styleId="PageNumber">
    <w:name w:val="page number"/>
    <w:uiPriority w:val="99"/>
    <w:rsid w:val="00E06BCC"/>
    <w:rPr>
      <w:rFonts w:cs="Times New Roman"/>
    </w:rPr>
  </w:style>
  <w:style w:type="paragraph" w:customStyle="1" w:styleId="Aparabullet">
    <w:name w:val="A para bullet"/>
    <w:basedOn w:val="Normal"/>
    <w:uiPriority w:val="99"/>
    <w:rsid w:val="00E06BCC"/>
    <w:pPr>
      <w:numPr>
        <w:numId w:val="4"/>
      </w:numPr>
    </w:pPr>
  </w:style>
  <w:style w:type="paragraph" w:styleId="TOC1">
    <w:name w:val="toc 1"/>
    <w:basedOn w:val="Normal"/>
    <w:next w:val="Normal"/>
    <w:autoRedefine/>
    <w:uiPriority w:val="99"/>
    <w:semiHidden/>
    <w:rsid w:val="00E06BCC"/>
  </w:style>
  <w:style w:type="paragraph" w:styleId="TOC2">
    <w:name w:val="toc 2"/>
    <w:basedOn w:val="Normal"/>
    <w:next w:val="Normal"/>
    <w:autoRedefine/>
    <w:uiPriority w:val="99"/>
    <w:semiHidden/>
    <w:rsid w:val="00E06BCC"/>
    <w:pPr>
      <w:ind w:left="240"/>
    </w:pPr>
  </w:style>
  <w:style w:type="paragraph" w:styleId="TOC3">
    <w:name w:val="toc 3"/>
    <w:basedOn w:val="Normal"/>
    <w:next w:val="Normal"/>
    <w:autoRedefine/>
    <w:uiPriority w:val="99"/>
    <w:semiHidden/>
    <w:rsid w:val="00E06BCC"/>
    <w:pPr>
      <w:ind w:left="480"/>
    </w:pPr>
  </w:style>
  <w:style w:type="paragraph" w:styleId="TOC4">
    <w:name w:val="toc 4"/>
    <w:basedOn w:val="Normal"/>
    <w:next w:val="Normal"/>
    <w:autoRedefine/>
    <w:uiPriority w:val="99"/>
    <w:semiHidden/>
    <w:rsid w:val="00E06BCC"/>
    <w:pPr>
      <w:ind w:left="720"/>
    </w:pPr>
  </w:style>
  <w:style w:type="paragraph" w:styleId="TOC5">
    <w:name w:val="toc 5"/>
    <w:basedOn w:val="Normal"/>
    <w:next w:val="Normal"/>
    <w:autoRedefine/>
    <w:uiPriority w:val="99"/>
    <w:semiHidden/>
    <w:rsid w:val="00E06BCC"/>
    <w:pPr>
      <w:ind w:left="960"/>
    </w:pPr>
  </w:style>
  <w:style w:type="paragraph" w:styleId="TOC6">
    <w:name w:val="toc 6"/>
    <w:basedOn w:val="Normal"/>
    <w:next w:val="Normal"/>
    <w:autoRedefine/>
    <w:uiPriority w:val="99"/>
    <w:semiHidden/>
    <w:rsid w:val="00E06BCC"/>
    <w:pPr>
      <w:ind w:left="1200"/>
    </w:pPr>
  </w:style>
  <w:style w:type="paragraph" w:styleId="TOC7">
    <w:name w:val="toc 7"/>
    <w:basedOn w:val="Normal"/>
    <w:next w:val="Normal"/>
    <w:autoRedefine/>
    <w:uiPriority w:val="99"/>
    <w:semiHidden/>
    <w:rsid w:val="00E06BCC"/>
    <w:pPr>
      <w:ind w:left="1440"/>
    </w:pPr>
  </w:style>
  <w:style w:type="paragraph" w:styleId="TOC8">
    <w:name w:val="toc 8"/>
    <w:basedOn w:val="Normal"/>
    <w:next w:val="Normal"/>
    <w:autoRedefine/>
    <w:uiPriority w:val="99"/>
    <w:semiHidden/>
    <w:rsid w:val="00E06BCC"/>
    <w:pPr>
      <w:ind w:left="1680"/>
    </w:pPr>
  </w:style>
  <w:style w:type="paragraph" w:styleId="TOC9">
    <w:name w:val="toc 9"/>
    <w:basedOn w:val="Normal"/>
    <w:next w:val="Normal"/>
    <w:autoRedefine/>
    <w:uiPriority w:val="99"/>
    <w:semiHidden/>
    <w:rsid w:val="00E06BCC"/>
    <w:pPr>
      <w:ind w:left="1920"/>
    </w:pPr>
  </w:style>
  <w:style w:type="character" w:styleId="Hyperlink">
    <w:name w:val="Hyperlink"/>
    <w:uiPriority w:val="99"/>
    <w:rsid w:val="00E06BCC"/>
    <w:rPr>
      <w:rFonts w:cs="Times New Roman"/>
      <w:color w:val="0000FF"/>
      <w:u w:val="single"/>
    </w:rPr>
  </w:style>
  <w:style w:type="paragraph" w:styleId="BodyTextIndent">
    <w:name w:val="Body Text Indent"/>
    <w:basedOn w:val="Normal"/>
    <w:link w:val="BodyTextIndentChar"/>
    <w:uiPriority w:val="99"/>
    <w:rsid w:val="00E06BCC"/>
    <w:pPr>
      <w:spacing w:before="120" w:after="60"/>
      <w:ind w:left="709"/>
    </w:pPr>
  </w:style>
  <w:style w:type="character" w:customStyle="1" w:styleId="BodyTextIndentChar">
    <w:name w:val="Body Text Indent Char"/>
    <w:link w:val="BodyTextIndent"/>
    <w:uiPriority w:val="99"/>
    <w:semiHidden/>
    <w:locked/>
    <w:rsid w:val="00E06BCC"/>
    <w:rPr>
      <w:rFonts w:cs="Times New Roman"/>
      <w:sz w:val="20"/>
      <w:szCs w:val="20"/>
      <w:lang w:val="x-none" w:eastAsia="en-US"/>
    </w:rPr>
  </w:style>
  <w:style w:type="paragraph" w:customStyle="1" w:styleId="Minister">
    <w:name w:val="Minister"/>
    <w:basedOn w:val="Normal"/>
    <w:uiPriority w:val="99"/>
    <w:rsid w:val="00E06BCC"/>
    <w:pPr>
      <w:spacing w:before="880" w:after="60"/>
      <w:jc w:val="right"/>
    </w:pPr>
    <w:rPr>
      <w:caps/>
      <w:szCs w:val="24"/>
    </w:rPr>
  </w:style>
  <w:style w:type="paragraph" w:customStyle="1" w:styleId="DateLine">
    <w:name w:val="DateLine"/>
    <w:basedOn w:val="Normal"/>
    <w:uiPriority w:val="99"/>
    <w:rsid w:val="00E06BCC"/>
    <w:pPr>
      <w:tabs>
        <w:tab w:val="left" w:pos="4320"/>
      </w:tabs>
      <w:spacing w:before="80" w:after="60"/>
      <w:jc w:val="both"/>
    </w:pPr>
    <w:rPr>
      <w:szCs w:val="24"/>
    </w:rPr>
  </w:style>
  <w:style w:type="paragraph" w:customStyle="1" w:styleId="MinisterWord">
    <w:name w:val="MinisterWord"/>
    <w:basedOn w:val="Normal"/>
    <w:uiPriority w:val="99"/>
    <w:rsid w:val="00E06BCC"/>
    <w:pPr>
      <w:tabs>
        <w:tab w:val="left" w:pos="2880"/>
      </w:tabs>
      <w:jc w:val="right"/>
    </w:pPr>
    <w:rPr>
      <w:szCs w:val="24"/>
    </w:rPr>
  </w:style>
  <w:style w:type="character" w:styleId="FollowedHyperlink">
    <w:name w:val="FollowedHyperlink"/>
    <w:uiPriority w:val="99"/>
    <w:rsid w:val="00E06BCC"/>
    <w:rPr>
      <w:rFonts w:cs="Times New Roman"/>
      <w:color w:val="800080"/>
      <w:u w:val="single"/>
    </w:rPr>
  </w:style>
  <w:style w:type="character" w:styleId="FootnoteReference">
    <w:name w:val="footnote reference"/>
    <w:uiPriority w:val="99"/>
    <w:semiHidden/>
    <w:rsid w:val="00E06BC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E06BCC"/>
    <w:pPr>
      <w:spacing w:before="80" w:after="60"/>
      <w:jc w:val="both"/>
    </w:pPr>
    <w:rPr>
      <w:szCs w:val="24"/>
    </w:rPr>
  </w:style>
  <w:style w:type="character" w:customStyle="1" w:styleId="FootnoteTextChar">
    <w:name w:val="Footnote Text Char"/>
    <w:link w:val="FootnoteText"/>
    <w:uiPriority w:val="99"/>
    <w:semiHidden/>
    <w:locked/>
    <w:rsid w:val="00E06BCC"/>
    <w:rPr>
      <w:rFonts w:cs="Times New Roman"/>
      <w:sz w:val="20"/>
      <w:szCs w:val="20"/>
      <w:lang w:val="x-none" w:eastAsia="en-US"/>
    </w:rPr>
  </w:style>
  <w:style w:type="paragraph" w:customStyle="1" w:styleId="ShadedSchClause">
    <w:name w:val="Shaded Sch Clause"/>
    <w:basedOn w:val="Normal"/>
    <w:next w:val="Normal"/>
    <w:uiPriority w:val="99"/>
    <w:rsid w:val="00E06BC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uiPriority w:val="99"/>
    <w:rsid w:val="00E06BCC"/>
    <w:rPr>
      <w:rFonts w:cs="Times New Roman"/>
    </w:rPr>
  </w:style>
  <w:style w:type="paragraph" w:styleId="BodyText">
    <w:name w:val="Body Text"/>
    <w:basedOn w:val="Normal"/>
    <w:link w:val="BodyTextChar"/>
    <w:uiPriority w:val="99"/>
    <w:rsid w:val="00E06BCC"/>
    <w:rPr>
      <w:rFonts w:ascii="Arial" w:hAnsi="Arial" w:cs="Arial"/>
      <w:b/>
      <w:bCs/>
    </w:rPr>
  </w:style>
  <w:style w:type="character" w:customStyle="1" w:styleId="BodyTextChar">
    <w:name w:val="Body Text Char"/>
    <w:link w:val="BodyText"/>
    <w:uiPriority w:val="99"/>
    <w:semiHidden/>
    <w:locked/>
    <w:rsid w:val="00E06BCC"/>
    <w:rPr>
      <w:rFonts w:cs="Times New Roman"/>
      <w:sz w:val="20"/>
      <w:szCs w:val="20"/>
      <w:lang w:val="x-none" w:eastAsia="en-US"/>
    </w:rPr>
  </w:style>
  <w:style w:type="paragraph" w:styleId="BodyTextIndent2">
    <w:name w:val="Body Text Indent 2"/>
    <w:basedOn w:val="Normal"/>
    <w:link w:val="BodyTextIndent2Char"/>
    <w:uiPriority w:val="99"/>
    <w:rsid w:val="00E06BCC"/>
    <w:pPr>
      <w:ind w:left="851" w:hanging="851"/>
    </w:pPr>
    <w:rPr>
      <w:rFonts w:ascii="Arial" w:hAnsi="Arial" w:cs="Arial"/>
      <w:b/>
      <w:bCs/>
    </w:rPr>
  </w:style>
  <w:style w:type="character" w:customStyle="1" w:styleId="BodyTextIndent2Char">
    <w:name w:val="Body Text Indent 2 Char"/>
    <w:link w:val="BodyTextIndent2"/>
    <w:uiPriority w:val="99"/>
    <w:semiHidden/>
    <w:locked/>
    <w:rsid w:val="00E06BCC"/>
    <w:rPr>
      <w:rFonts w:cs="Times New Roman"/>
      <w:sz w:val="20"/>
      <w:szCs w:val="20"/>
      <w:lang w:val="x-none" w:eastAsia="en-US"/>
    </w:rPr>
  </w:style>
  <w:style w:type="paragraph" w:styleId="BodyTextIndent3">
    <w:name w:val="Body Text Indent 3"/>
    <w:basedOn w:val="Normal"/>
    <w:link w:val="BodyTextIndent3Char"/>
    <w:uiPriority w:val="99"/>
    <w:rsid w:val="00E06BCC"/>
    <w:pPr>
      <w:ind w:left="720" w:hanging="720"/>
    </w:pPr>
    <w:rPr>
      <w:rFonts w:ascii="Arial" w:hAnsi="Arial" w:cs="Arial"/>
      <w:b/>
      <w:bCs/>
    </w:rPr>
  </w:style>
  <w:style w:type="character" w:customStyle="1" w:styleId="BodyTextIndent3Char">
    <w:name w:val="Body Text Indent 3 Char"/>
    <w:link w:val="BodyTextIndent3"/>
    <w:uiPriority w:val="99"/>
    <w:semiHidden/>
    <w:locked/>
    <w:rsid w:val="00E06BCC"/>
    <w:rPr>
      <w:rFonts w:cs="Times New Roman"/>
      <w:sz w:val="16"/>
      <w:szCs w:val="16"/>
      <w:lang w:val="x-none" w:eastAsia="en-US"/>
    </w:rPr>
  </w:style>
  <w:style w:type="paragraph" w:customStyle="1" w:styleId="Default">
    <w:name w:val="Default"/>
    <w:uiPriority w:val="99"/>
    <w:rsid w:val="00E06BCC"/>
    <w:pPr>
      <w:autoSpaceDE w:val="0"/>
      <w:autoSpaceDN w:val="0"/>
      <w:adjustRightInd w:val="0"/>
    </w:pPr>
    <w:rPr>
      <w:color w:val="000000"/>
      <w:sz w:val="24"/>
      <w:szCs w:val="24"/>
      <w:lang w:val="en-US" w:eastAsia="en-US"/>
    </w:rPr>
  </w:style>
  <w:style w:type="paragraph" w:customStyle="1" w:styleId="Recommend">
    <w:name w:val="Recommend"/>
    <w:basedOn w:val="Default"/>
    <w:next w:val="Default"/>
    <w:uiPriority w:val="99"/>
    <w:rsid w:val="00E06BCC"/>
    <w:pPr>
      <w:spacing w:after="220"/>
    </w:pPr>
    <w:rPr>
      <w:color w:val="auto"/>
      <w:sz w:val="20"/>
    </w:rPr>
  </w:style>
  <w:style w:type="paragraph" w:styleId="BodyText3">
    <w:name w:val="Body Text 3"/>
    <w:basedOn w:val="Default"/>
    <w:next w:val="Default"/>
    <w:link w:val="BodyText3Char"/>
    <w:uiPriority w:val="99"/>
    <w:rsid w:val="00E06BCC"/>
    <w:rPr>
      <w:color w:val="auto"/>
      <w:sz w:val="20"/>
    </w:rPr>
  </w:style>
  <w:style w:type="character" w:customStyle="1" w:styleId="BodyText3Char">
    <w:name w:val="Body Text 3 Char"/>
    <w:link w:val="BodyText3"/>
    <w:uiPriority w:val="99"/>
    <w:semiHidden/>
    <w:locked/>
    <w:rsid w:val="00E06BCC"/>
    <w:rPr>
      <w:rFonts w:cs="Times New Roman"/>
      <w:sz w:val="16"/>
      <w:szCs w:val="16"/>
      <w:lang w:val="x-none" w:eastAsia="en-US"/>
    </w:rPr>
  </w:style>
  <w:style w:type="paragraph" w:styleId="BodyText2">
    <w:name w:val="Body Text 2"/>
    <w:basedOn w:val="Normal"/>
    <w:link w:val="BodyText2Char"/>
    <w:uiPriority w:val="99"/>
    <w:rsid w:val="00E06BCC"/>
    <w:pPr>
      <w:ind w:right="-199"/>
    </w:pPr>
    <w:rPr>
      <w:rFonts w:ascii="Arial" w:hAnsi="Arial" w:cs="Arial"/>
    </w:rPr>
  </w:style>
  <w:style w:type="character" w:customStyle="1" w:styleId="BodyText2Char">
    <w:name w:val="Body Text 2 Char"/>
    <w:link w:val="BodyText2"/>
    <w:uiPriority w:val="99"/>
    <w:semiHidden/>
    <w:locked/>
    <w:rsid w:val="00E06BCC"/>
    <w:rPr>
      <w:rFonts w:cs="Times New Roman"/>
      <w:sz w:val="20"/>
      <w:szCs w:val="20"/>
      <w:lang w:val="x-none" w:eastAsia="en-US"/>
    </w:rPr>
  </w:style>
  <w:style w:type="paragraph" w:styleId="BalloonText">
    <w:name w:val="Balloon Text"/>
    <w:basedOn w:val="Normal"/>
    <w:link w:val="BalloonTextChar"/>
    <w:uiPriority w:val="99"/>
    <w:semiHidden/>
    <w:rsid w:val="0009224E"/>
    <w:rPr>
      <w:rFonts w:ascii="Tahoma" w:hAnsi="Tahoma" w:cs="Tahoma"/>
      <w:sz w:val="16"/>
      <w:szCs w:val="16"/>
    </w:rPr>
  </w:style>
  <w:style w:type="character" w:customStyle="1" w:styleId="BalloonTextChar">
    <w:name w:val="Balloon Text Char"/>
    <w:link w:val="BalloonText"/>
    <w:uiPriority w:val="99"/>
    <w:semiHidden/>
    <w:locked/>
    <w:rsid w:val="00E06BCC"/>
    <w:rPr>
      <w:rFonts w:ascii="Tahoma" w:hAnsi="Tahoma" w:cs="Tahoma"/>
      <w:sz w:val="16"/>
      <w:szCs w:val="16"/>
      <w:lang w:val="x-none" w:eastAsia="en-US"/>
    </w:rPr>
  </w:style>
  <w:style w:type="character" w:styleId="CommentReference">
    <w:name w:val="annotation reference"/>
    <w:uiPriority w:val="99"/>
    <w:semiHidden/>
    <w:unhideWhenUsed/>
    <w:rsid w:val="005F26E7"/>
    <w:rPr>
      <w:rFonts w:cs="Times New Roman"/>
      <w:sz w:val="16"/>
      <w:szCs w:val="16"/>
    </w:rPr>
  </w:style>
  <w:style w:type="paragraph" w:styleId="CommentText">
    <w:name w:val="annotation text"/>
    <w:basedOn w:val="Normal"/>
    <w:link w:val="CommentTextChar"/>
    <w:uiPriority w:val="99"/>
    <w:unhideWhenUsed/>
    <w:rsid w:val="005F26E7"/>
    <w:rPr>
      <w:sz w:val="20"/>
    </w:rPr>
  </w:style>
  <w:style w:type="character" w:customStyle="1" w:styleId="CommentTextChar">
    <w:name w:val="Comment Text Char"/>
    <w:link w:val="CommentText"/>
    <w:uiPriority w:val="99"/>
    <w:locked/>
    <w:rsid w:val="005F26E7"/>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5F26E7"/>
    <w:rPr>
      <w:b/>
      <w:bCs/>
    </w:rPr>
  </w:style>
  <w:style w:type="character" w:customStyle="1" w:styleId="CommentSubjectChar">
    <w:name w:val="Comment Subject Char"/>
    <w:link w:val="CommentSubject"/>
    <w:uiPriority w:val="99"/>
    <w:semiHidden/>
    <w:locked/>
    <w:rsid w:val="005F26E7"/>
    <w:rPr>
      <w:rFonts w:cs="Times New Roman"/>
      <w:b/>
      <w:bCs/>
      <w:lang w:val="x-none" w:eastAsia="en-US"/>
    </w:rPr>
  </w:style>
  <w:style w:type="paragraph" w:styleId="Revision">
    <w:name w:val="Revision"/>
    <w:hidden/>
    <w:uiPriority w:val="99"/>
    <w:semiHidden/>
    <w:rsid w:val="00B202F0"/>
    <w:rPr>
      <w:sz w:val="24"/>
      <w:lang w:eastAsia="en-US"/>
    </w:rPr>
  </w:style>
  <w:style w:type="paragraph" w:styleId="NormalWeb">
    <w:name w:val="Normal (Web)"/>
    <w:basedOn w:val="Normal"/>
    <w:uiPriority w:val="99"/>
    <w:unhideWhenUsed/>
    <w:rsid w:val="0064426D"/>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47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AD847-3721-4F86-B833-38CC50AD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3453</Characters>
  <Application>Microsoft Office Word</Application>
  <DocSecurity>0</DocSecurity>
  <Lines>76</Lines>
  <Paragraphs>29</Paragraphs>
  <ScaleCrop>false</ScaleCrop>
  <Company>InTACT</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 forBus Services - Disallowable Instrument</dc:title>
  <dc:subject/>
  <dc:creator>ACT Government</dc:creator>
  <cp:keywords/>
  <dc:description/>
  <cp:lastModifiedBy>PCODCS</cp:lastModifiedBy>
  <cp:revision>4</cp:revision>
  <cp:lastPrinted>2016-06-22T22:02:00Z</cp:lastPrinted>
  <dcterms:created xsi:type="dcterms:W3CDTF">2025-07-07T06:10:00Z</dcterms:created>
  <dcterms:modified xsi:type="dcterms:W3CDTF">2025-07-07T06:10:00Z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2025-07-07T06:10:57Z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429d1dd1-0f88-473d-82de-7bec3eecdbc1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