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AEC5"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4C76B985" w14:textId="65CB5101" w:rsidR="006815C9" w:rsidRDefault="00F733F5">
      <w:pPr>
        <w:pStyle w:val="Billname"/>
        <w:spacing w:before="700"/>
      </w:pPr>
      <w:r>
        <w:t>Retirement Villages Amendment Regulation 202</w:t>
      </w:r>
      <w:r w:rsidR="00770B21">
        <w:t>5</w:t>
      </w:r>
      <w:r w:rsidR="006815C9">
        <w:t xml:space="preserve"> (No </w:t>
      </w:r>
      <w:r w:rsidR="00830C30">
        <w:t>2</w:t>
      </w:r>
      <w:r w:rsidR="006815C9">
        <w:t>)</w:t>
      </w:r>
    </w:p>
    <w:p w14:paraId="01B80A32" w14:textId="43BB32BB" w:rsidR="006815C9" w:rsidRDefault="00F5371D" w:rsidP="00091D34">
      <w:pPr>
        <w:spacing w:before="340"/>
        <w:rPr>
          <w:rFonts w:ascii="Arial" w:hAnsi="Arial" w:cs="Arial"/>
          <w:b/>
          <w:bCs/>
        </w:rPr>
      </w:pPr>
      <w:r>
        <w:rPr>
          <w:rFonts w:ascii="Arial" w:hAnsi="Arial" w:cs="Arial"/>
          <w:b/>
          <w:bCs/>
        </w:rPr>
        <w:t>Subordinate law SL</w:t>
      </w:r>
      <w:r w:rsidR="00F733F5">
        <w:rPr>
          <w:rFonts w:ascii="Arial" w:hAnsi="Arial" w:cs="Arial"/>
          <w:b/>
          <w:bCs/>
        </w:rPr>
        <w:t>202</w:t>
      </w:r>
      <w:r w:rsidR="00770B21">
        <w:rPr>
          <w:rFonts w:ascii="Arial" w:hAnsi="Arial" w:cs="Arial"/>
          <w:b/>
          <w:bCs/>
        </w:rPr>
        <w:t>5</w:t>
      </w:r>
      <w:r w:rsidR="006815C9">
        <w:rPr>
          <w:rFonts w:ascii="Arial" w:hAnsi="Arial" w:cs="Arial"/>
          <w:b/>
          <w:bCs/>
        </w:rPr>
        <w:t>–</w:t>
      </w:r>
      <w:r w:rsidR="00E77618">
        <w:rPr>
          <w:rFonts w:ascii="Arial" w:hAnsi="Arial" w:cs="Arial"/>
          <w:b/>
          <w:bCs/>
        </w:rPr>
        <w:t>14</w:t>
      </w:r>
    </w:p>
    <w:p w14:paraId="0C6BE2B4" w14:textId="77777777" w:rsidR="006815C9" w:rsidRDefault="006815C9" w:rsidP="00091D34">
      <w:pPr>
        <w:pStyle w:val="madeunder"/>
        <w:spacing w:before="300" w:after="0"/>
      </w:pPr>
      <w:r>
        <w:t xml:space="preserve">made under the  </w:t>
      </w:r>
    </w:p>
    <w:p w14:paraId="21E4D243" w14:textId="0B3771B7" w:rsidR="006815C9" w:rsidRDefault="00F733F5" w:rsidP="00091D34">
      <w:pPr>
        <w:pStyle w:val="CoverActName"/>
        <w:spacing w:before="320" w:after="0"/>
        <w:rPr>
          <w:rFonts w:cs="Arial"/>
          <w:sz w:val="20"/>
        </w:rPr>
      </w:pPr>
      <w:r w:rsidRPr="00187C66">
        <w:rPr>
          <w:rFonts w:cs="Arial"/>
          <w:i/>
          <w:iCs/>
          <w:sz w:val="20"/>
        </w:rPr>
        <w:t>Retirement Villages Act 201</w:t>
      </w:r>
      <w:r w:rsidR="00B73CFE">
        <w:rPr>
          <w:rFonts w:cs="Arial"/>
          <w:i/>
          <w:iCs/>
          <w:sz w:val="20"/>
        </w:rPr>
        <w:t>2</w:t>
      </w:r>
      <w:r w:rsidR="006815C9">
        <w:rPr>
          <w:rFonts w:cs="Arial"/>
          <w:sz w:val="20"/>
        </w:rPr>
        <w:t xml:space="preserve">, </w:t>
      </w:r>
      <w:r w:rsidR="008B2DAE">
        <w:rPr>
          <w:rFonts w:cs="Arial"/>
          <w:sz w:val="20"/>
        </w:rPr>
        <w:t xml:space="preserve">s 264 </w:t>
      </w:r>
      <w:r w:rsidR="008326B5">
        <w:rPr>
          <w:rFonts w:cs="Arial"/>
          <w:sz w:val="20"/>
        </w:rPr>
        <w:t>(</w:t>
      </w:r>
      <w:r w:rsidR="008B2DAE">
        <w:rPr>
          <w:rFonts w:cs="Arial"/>
          <w:sz w:val="20"/>
        </w:rPr>
        <w:t>Regulation-making</w:t>
      </w:r>
      <w:r w:rsidR="006815C9">
        <w:rPr>
          <w:rFonts w:cs="Arial"/>
          <w:sz w:val="20"/>
        </w:rPr>
        <w:t xml:space="preserve"> </w:t>
      </w:r>
      <w:r w:rsidR="008B2DAE">
        <w:rPr>
          <w:rFonts w:cs="Arial"/>
          <w:sz w:val="20"/>
        </w:rPr>
        <w:t>power</w:t>
      </w:r>
      <w:r w:rsidR="008326B5">
        <w:rPr>
          <w:rFonts w:cs="Arial"/>
          <w:sz w:val="20"/>
        </w:rPr>
        <w:t>)</w:t>
      </w:r>
    </w:p>
    <w:p w14:paraId="626307A8"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0C2992E3" w14:textId="77777777" w:rsidR="006815C9" w:rsidRDefault="006815C9">
      <w:pPr>
        <w:pStyle w:val="N-line3"/>
        <w:pBdr>
          <w:bottom w:val="none" w:sz="0" w:space="0" w:color="auto"/>
        </w:pBdr>
      </w:pPr>
    </w:p>
    <w:p w14:paraId="31F4B7FA" w14:textId="77777777" w:rsidR="006815C9" w:rsidRDefault="006815C9">
      <w:pPr>
        <w:pStyle w:val="N-line3"/>
        <w:pBdr>
          <w:top w:val="single" w:sz="12" w:space="1" w:color="auto"/>
          <w:bottom w:val="none" w:sz="0" w:space="0" w:color="auto"/>
        </w:pBdr>
      </w:pPr>
    </w:p>
    <w:bookmarkEnd w:id="0"/>
    <w:p w14:paraId="7FF16C36" w14:textId="57116976" w:rsidR="000D32A8" w:rsidRPr="006507A5" w:rsidRDefault="000D32A8" w:rsidP="006507A5">
      <w:pPr>
        <w:spacing w:after="160" w:line="276" w:lineRule="auto"/>
        <w:rPr>
          <w:rFonts w:ascii="Arial" w:hAnsi="Arial" w:cs="Arial"/>
          <w:szCs w:val="24"/>
          <w:lang w:eastAsia="en-AU"/>
        </w:rPr>
      </w:pPr>
      <w:r w:rsidRPr="006507A5">
        <w:rPr>
          <w:rFonts w:ascii="Arial" w:hAnsi="Arial" w:cs="Arial"/>
          <w:szCs w:val="24"/>
          <w:lang w:eastAsia="en-AU"/>
        </w:rPr>
        <w:t>This explanatory statement relates to the </w:t>
      </w:r>
      <w:r w:rsidR="001848B7" w:rsidRPr="008573E4">
        <w:rPr>
          <w:rFonts w:ascii="Arial" w:hAnsi="Arial" w:cs="Arial"/>
          <w:i/>
          <w:iCs/>
          <w:szCs w:val="24"/>
          <w:lang w:eastAsia="en-AU"/>
        </w:rPr>
        <w:t>Retirement Villages Amendment Regulation 202</w:t>
      </w:r>
      <w:r w:rsidR="00770B21">
        <w:rPr>
          <w:rFonts w:ascii="Arial" w:hAnsi="Arial" w:cs="Arial"/>
          <w:i/>
          <w:iCs/>
          <w:szCs w:val="24"/>
          <w:lang w:eastAsia="en-AU"/>
        </w:rPr>
        <w:t>5</w:t>
      </w:r>
      <w:r w:rsidR="001848B7" w:rsidRPr="008573E4">
        <w:rPr>
          <w:rFonts w:ascii="Arial" w:hAnsi="Arial" w:cs="Arial"/>
          <w:i/>
          <w:iCs/>
          <w:szCs w:val="24"/>
          <w:lang w:eastAsia="en-AU"/>
        </w:rPr>
        <w:t xml:space="preserve"> (No </w:t>
      </w:r>
      <w:r w:rsidR="00830C30">
        <w:rPr>
          <w:rFonts w:ascii="Arial" w:hAnsi="Arial" w:cs="Arial"/>
          <w:i/>
          <w:iCs/>
          <w:szCs w:val="24"/>
          <w:lang w:eastAsia="en-AU"/>
        </w:rPr>
        <w:t>2</w:t>
      </w:r>
      <w:r w:rsidR="001848B7" w:rsidRPr="008573E4">
        <w:rPr>
          <w:rFonts w:ascii="Arial" w:hAnsi="Arial" w:cs="Arial"/>
          <w:i/>
          <w:iCs/>
          <w:szCs w:val="24"/>
          <w:lang w:eastAsia="en-AU"/>
        </w:rPr>
        <w:t>)</w:t>
      </w:r>
      <w:r w:rsidR="001848B7">
        <w:rPr>
          <w:rFonts w:ascii="Arial" w:hAnsi="Arial" w:cs="Arial"/>
          <w:szCs w:val="24"/>
          <w:lang w:eastAsia="en-AU"/>
        </w:rPr>
        <w:t xml:space="preserve"> </w:t>
      </w:r>
      <w:r w:rsidR="001848B7" w:rsidRPr="005A2AF6">
        <w:rPr>
          <w:rFonts w:ascii="Arial" w:hAnsi="Arial" w:cs="Arial"/>
          <w:szCs w:val="24"/>
          <w:lang w:eastAsia="en-AU"/>
        </w:rPr>
        <w:t>(the regulation)</w:t>
      </w:r>
      <w:r w:rsidR="001848B7">
        <w:rPr>
          <w:rFonts w:ascii="Arial" w:hAnsi="Arial" w:cs="Arial"/>
          <w:szCs w:val="24"/>
          <w:lang w:eastAsia="en-AU"/>
        </w:rPr>
        <w:t xml:space="preserve"> </w:t>
      </w:r>
      <w:r w:rsidRPr="006507A5">
        <w:rPr>
          <w:rFonts w:ascii="Arial" w:hAnsi="Arial" w:cs="Arial"/>
          <w:szCs w:val="24"/>
          <w:lang w:eastAsia="en-AU"/>
        </w:rPr>
        <w:t>as made by the Executive. It has been prepared to assist the reader of the regulation. It does not form part of the regulation and has not been endorsed by the Legislative Assembly.</w:t>
      </w:r>
    </w:p>
    <w:p w14:paraId="1442BD6D" w14:textId="039BA27F" w:rsidR="006815C9" w:rsidRPr="000D32A8" w:rsidRDefault="000D32A8" w:rsidP="006507A5">
      <w:pPr>
        <w:spacing w:after="160" w:line="276" w:lineRule="auto"/>
        <w:rPr>
          <w:rFonts w:ascii="Arial" w:hAnsi="Arial" w:cs="Arial"/>
          <w:szCs w:val="24"/>
          <w:lang w:eastAsia="en-AU"/>
        </w:rPr>
      </w:pPr>
      <w:r w:rsidRPr="006507A5">
        <w:rPr>
          <w:rFonts w:ascii="Arial" w:hAnsi="Arial" w:cs="Arial"/>
          <w:szCs w:val="24"/>
          <w:lang w:eastAsia="en-AU"/>
        </w:rPr>
        <w:t>This statement must be read in conjunction with the regulation. It is not, and is not meant to be, a comprehensive description of the regulation. What is said about a provision is not to be taken as an authoritative guide to the meaning of a provision, this being a task for the courts.</w:t>
      </w:r>
    </w:p>
    <w:p w14:paraId="04BCB254" w14:textId="0CCB4150" w:rsidR="007958A2" w:rsidRPr="006477DF" w:rsidRDefault="000D32A8" w:rsidP="006477DF">
      <w:pPr>
        <w:spacing w:after="160" w:line="276" w:lineRule="auto"/>
        <w:rPr>
          <w:rFonts w:ascii="Arial" w:hAnsi="Arial" w:cs="Arial"/>
          <w:b/>
          <w:bCs/>
          <w:szCs w:val="24"/>
          <w:lang w:eastAsia="en-AU"/>
        </w:rPr>
      </w:pPr>
      <w:r w:rsidRPr="006477DF">
        <w:rPr>
          <w:rFonts w:ascii="Arial" w:hAnsi="Arial" w:cs="Arial"/>
          <w:b/>
          <w:bCs/>
          <w:szCs w:val="24"/>
          <w:lang w:eastAsia="en-AU"/>
        </w:rPr>
        <w:t>OVERVIEW</w:t>
      </w:r>
    </w:p>
    <w:p w14:paraId="73DEFDB9" w14:textId="3F8ED6B1" w:rsidR="00072F4E" w:rsidRPr="009B4ED7" w:rsidRDefault="00876345" w:rsidP="00072F4E">
      <w:pPr>
        <w:spacing w:after="160" w:line="276" w:lineRule="auto"/>
        <w:rPr>
          <w:rFonts w:ascii="Arial" w:hAnsi="Arial" w:cs="Arial"/>
          <w:szCs w:val="24"/>
          <w:lang w:eastAsia="en-AU"/>
        </w:rPr>
      </w:pPr>
      <w:r>
        <w:rPr>
          <w:rFonts w:ascii="Arial" w:hAnsi="Arial" w:cs="Arial"/>
          <w:szCs w:val="24"/>
          <w:lang w:eastAsia="en-AU"/>
        </w:rPr>
        <w:t xml:space="preserve">The </w:t>
      </w:r>
      <w:r w:rsidR="00952409">
        <w:rPr>
          <w:rFonts w:ascii="Arial" w:hAnsi="Arial" w:cs="Arial"/>
          <w:szCs w:val="24"/>
          <w:lang w:eastAsia="en-AU"/>
        </w:rPr>
        <w:t>r</w:t>
      </w:r>
      <w:r w:rsidR="00764403">
        <w:rPr>
          <w:rFonts w:ascii="Arial" w:hAnsi="Arial" w:cs="Arial"/>
          <w:szCs w:val="24"/>
          <w:lang w:eastAsia="en-AU"/>
        </w:rPr>
        <w:t>egulation</w:t>
      </w:r>
      <w:r>
        <w:rPr>
          <w:rFonts w:ascii="Arial" w:hAnsi="Arial" w:cs="Arial"/>
          <w:szCs w:val="24"/>
          <w:lang w:eastAsia="en-AU"/>
        </w:rPr>
        <w:t xml:space="preserve"> amends</w:t>
      </w:r>
      <w:r w:rsidR="00764403">
        <w:rPr>
          <w:rFonts w:ascii="Arial" w:hAnsi="Arial" w:cs="Arial"/>
          <w:szCs w:val="24"/>
          <w:lang w:eastAsia="en-AU"/>
        </w:rPr>
        <w:t xml:space="preserve"> the</w:t>
      </w:r>
      <w:r>
        <w:rPr>
          <w:rFonts w:ascii="Arial" w:hAnsi="Arial" w:cs="Arial"/>
          <w:szCs w:val="24"/>
          <w:lang w:eastAsia="en-AU"/>
        </w:rPr>
        <w:t xml:space="preserve"> </w:t>
      </w:r>
      <w:r w:rsidR="001848B7" w:rsidRPr="00876345">
        <w:rPr>
          <w:rFonts w:ascii="Arial" w:hAnsi="Arial" w:cs="Arial"/>
          <w:i/>
          <w:iCs/>
          <w:szCs w:val="24"/>
          <w:lang w:eastAsia="en-AU"/>
        </w:rPr>
        <w:t>Retirement Villages Regulation 2013</w:t>
      </w:r>
      <w:r w:rsidR="001848B7" w:rsidRPr="006507A5">
        <w:rPr>
          <w:rFonts w:ascii="Arial" w:hAnsi="Arial" w:cs="Arial"/>
          <w:szCs w:val="24"/>
          <w:lang w:eastAsia="en-AU"/>
        </w:rPr>
        <w:t xml:space="preserve"> (</w:t>
      </w:r>
      <w:r w:rsidR="001848B7" w:rsidRPr="005A2AF6">
        <w:rPr>
          <w:rFonts w:ascii="Arial" w:hAnsi="Arial" w:cs="Arial"/>
          <w:szCs w:val="24"/>
          <w:lang w:eastAsia="en-AU"/>
        </w:rPr>
        <w:t>the RV Regulation)</w:t>
      </w:r>
      <w:r w:rsidRPr="005A2AF6">
        <w:rPr>
          <w:rFonts w:ascii="Arial" w:hAnsi="Arial" w:cs="Arial"/>
          <w:szCs w:val="24"/>
          <w:lang w:eastAsia="en-AU"/>
        </w:rPr>
        <w:t xml:space="preserve"> to </w:t>
      </w:r>
      <w:r w:rsidR="009B4ED7" w:rsidRPr="005A2AF6">
        <w:rPr>
          <w:rFonts w:ascii="Arial" w:hAnsi="Arial" w:cs="Arial"/>
          <w:szCs w:val="24"/>
          <w:lang w:eastAsia="en-AU"/>
        </w:rPr>
        <w:t xml:space="preserve">correct </w:t>
      </w:r>
      <w:r w:rsidR="00A80842" w:rsidRPr="005A2AF6">
        <w:rPr>
          <w:rFonts w:ascii="Arial" w:hAnsi="Arial" w:cs="Arial"/>
          <w:szCs w:val="24"/>
          <w:lang w:eastAsia="en-AU"/>
        </w:rPr>
        <w:t xml:space="preserve">an </w:t>
      </w:r>
      <w:r w:rsidR="009B4ED7" w:rsidRPr="005A2AF6">
        <w:rPr>
          <w:rFonts w:ascii="Arial" w:hAnsi="Arial" w:cs="Arial"/>
          <w:szCs w:val="24"/>
          <w:lang w:eastAsia="en-AU"/>
        </w:rPr>
        <w:t>uninten</w:t>
      </w:r>
      <w:r w:rsidR="00A80842" w:rsidRPr="005A2AF6">
        <w:rPr>
          <w:rFonts w:ascii="Arial" w:hAnsi="Arial" w:cs="Arial"/>
          <w:szCs w:val="24"/>
          <w:lang w:eastAsia="en-AU"/>
        </w:rPr>
        <w:t>tional</w:t>
      </w:r>
      <w:r w:rsidR="009B4ED7" w:rsidRPr="005A2AF6">
        <w:rPr>
          <w:rFonts w:ascii="Arial" w:hAnsi="Arial" w:cs="Arial"/>
          <w:szCs w:val="24"/>
          <w:lang w:eastAsia="en-AU"/>
        </w:rPr>
        <w:t xml:space="preserve"> change to Schedule 4.3 (1) which</w:t>
      </w:r>
      <w:r w:rsidR="009B4ED7">
        <w:rPr>
          <w:rFonts w:ascii="Arial" w:hAnsi="Arial" w:cs="Arial"/>
          <w:szCs w:val="24"/>
          <w:lang w:eastAsia="en-AU"/>
        </w:rPr>
        <w:t xml:space="preserve"> occurred in amendments made under the </w:t>
      </w:r>
      <w:r w:rsidR="009B4ED7" w:rsidRPr="00A80842">
        <w:rPr>
          <w:rFonts w:ascii="Arial" w:hAnsi="Arial" w:cs="Arial"/>
          <w:i/>
          <w:iCs/>
          <w:szCs w:val="24"/>
          <w:lang w:eastAsia="en-AU"/>
        </w:rPr>
        <w:t>Retirement Village Amendment Regulation 2025 (No 1)</w:t>
      </w:r>
      <w:r w:rsidR="009B4ED7">
        <w:rPr>
          <w:rFonts w:ascii="Arial" w:hAnsi="Arial" w:cs="Arial"/>
          <w:szCs w:val="24"/>
          <w:lang w:eastAsia="en-AU"/>
        </w:rPr>
        <w:t xml:space="preserve">. </w:t>
      </w:r>
      <w:r w:rsidR="00A80842">
        <w:rPr>
          <w:rFonts w:ascii="Arial" w:hAnsi="Arial" w:cs="Arial"/>
          <w:szCs w:val="24"/>
          <w:lang w:eastAsia="en-AU"/>
        </w:rPr>
        <w:t xml:space="preserve">This minor drafting error resulted in the election of the returning officer becoming the responsibility of the residents committee. The regulation corrects this error. </w:t>
      </w:r>
      <w:r w:rsidR="009B4ED7">
        <w:rPr>
          <w:rFonts w:ascii="Arial" w:hAnsi="Arial" w:cs="Arial"/>
          <w:szCs w:val="24"/>
          <w:lang w:eastAsia="en-AU"/>
        </w:rPr>
        <w:t>The regulation also</w:t>
      </w:r>
      <w:r w:rsidR="00072F4E">
        <w:rPr>
          <w:rFonts w:ascii="Arial" w:hAnsi="Arial" w:cs="Arial"/>
          <w:szCs w:val="24"/>
          <w:lang w:eastAsia="en-AU"/>
        </w:rPr>
        <w:t xml:space="preserve"> </w:t>
      </w:r>
      <w:r w:rsidR="009B4ED7">
        <w:rPr>
          <w:rFonts w:ascii="Arial" w:hAnsi="Arial" w:cs="Arial"/>
          <w:szCs w:val="24"/>
          <w:lang w:eastAsia="en-AU"/>
        </w:rPr>
        <w:t xml:space="preserve">makes minor amendment to section 43 (1) of the RV Regulation to </w:t>
      </w:r>
      <w:r w:rsidR="009B4ED7">
        <w:rPr>
          <w:rFonts w:ascii="Arial" w:hAnsi="Arial" w:cs="Arial"/>
          <w:color w:val="000000"/>
        </w:rPr>
        <w:t xml:space="preserve">align with the wording used in the </w:t>
      </w:r>
      <w:r w:rsidR="009B4ED7" w:rsidRPr="009B4ED7">
        <w:rPr>
          <w:rFonts w:ascii="Arial" w:hAnsi="Arial" w:cs="Arial"/>
          <w:i/>
          <w:iCs/>
          <w:color w:val="000000"/>
        </w:rPr>
        <w:t>Retirement Villages Act 2012</w:t>
      </w:r>
      <w:r w:rsidR="009B4ED7">
        <w:rPr>
          <w:rFonts w:ascii="Arial" w:hAnsi="Arial" w:cs="Arial"/>
          <w:color w:val="000000"/>
        </w:rPr>
        <w:t>.</w:t>
      </w:r>
    </w:p>
    <w:p w14:paraId="18A4CFFD" w14:textId="443955F7" w:rsidR="007958A2" w:rsidRPr="006477DF" w:rsidRDefault="000D32A8" w:rsidP="006477DF">
      <w:pPr>
        <w:spacing w:after="160" w:line="276" w:lineRule="auto"/>
        <w:rPr>
          <w:rFonts w:ascii="Arial" w:hAnsi="Arial" w:cs="Arial"/>
          <w:b/>
          <w:bCs/>
          <w:szCs w:val="24"/>
          <w:lang w:eastAsia="en-AU"/>
        </w:rPr>
      </w:pPr>
      <w:r w:rsidRPr="006477DF">
        <w:rPr>
          <w:rFonts w:ascii="Arial" w:hAnsi="Arial" w:cs="Arial"/>
          <w:b/>
          <w:bCs/>
          <w:szCs w:val="24"/>
          <w:lang w:eastAsia="en-AU"/>
        </w:rPr>
        <w:t>HUMAN RIGHTS IMPLICATIONS</w:t>
      </w:r>
    </w:p>
    <w:p w14:paraId="78288A92" w14:textId="4471477D" w:rsidR="007958A2" w:rsidRPr="000D32A8" w:rsidRDefault="00774426" w:rsidP="006477DF">
      <w:pPr>
        <w:spacing w:after="160" w:line="276" w:lineRule="auto"/>
        <w:rPr>
          <w:rFonts w:ascii="Arial" w:hAnsi="Arial" w:cs="Arial"/>
          <w:szCs w:val="24"/>
          <w:lang w:eastAsia="en-AU"/>
        </w:rPr>
      </w:pPr>
      <w:r>
        <w:rPr>
          <w:rFonts w:ascii="Arial" w:hAnsi="Arial" w:cs="Arial"/>
          <w:szCs w:val="24"/>
          <w:lang w:eastAsia="en-AU"/>
        </w:rPr>
        <w:t xml:space="preserve">The </w:t>
      </w:r>
      <w:r w:rsidR="009F287A">
        <w:rPr>
          <w:rFonts w:ascii="Arial" w:hAnsi="Arial" w:cs="Arial"/>
          <w:szCs w:val="24"/>
          <w:lang w:eastAsia="en-AU"/>
        </w:rPr>
        <w:t xml:space="preserve">regulation </w:t>
      </w:r>
      <w:r w:rsidR="009B4ED7">
        <w:rPr>
          <w:rFonts w:ascii="Arial" w:hAnsi="Arial" w:cs="Arial"/>
          <w:szCs w:val="24"/>
          <w:lang w:eastAsia="en-AU"/>
        </w:rPr>
        <w:t>has no</w:t>
      </w:r>
      <w:r w:rsidR="009F287A">
        <w:rPr>
          <w:rFonts w:ascii="Arial" w:hAnsi="Arial" w:cs="Arial"/>
          <w:szCs w:val="24"/>
          <w:lang w:eastAsia="en-AU"/>
        </w:rPr>
        <w:t xml:space="preserve"> human rights </w:t>
      </w:r>
      <w:r w:rsidR="009B4ED7">
        <w:rPr>
          <w:rFonts w:ascii="Arial" w:hAnsi="Arial" w:cs="Arial"/>
          <w:szCs w:val="24"/>
          <w:lang w:eastAsia="en-AU"/>
        </w:rPr>
        <w:t xml:space="preserve">impacts </w:t>
      </w:r>
      <w:r w:rsidR="009F287A">
        <w:rPr>
          <w:rFonts w:ascii="Arial" w:hAnsi="Arial" w:cs="Arial"/>
          <w:szCs w:val="24"/>
          <w:lang w:eastAsia="en-AU"/>
        </w:rPr>
        <w:t xml:space="preserve">under the </w:t>
      </w:r>
      <w:r w:rsidR="009F287A" w:rsidRPr="009F287A">
        <w:rPr>
          <w:rFonts w:ascii="Arial" w:hAnsi="Arial" w:cs="Arial"/>
          <w:i/>
          <w:iCs/>
          <w:szCs w:val="24"/>
          <w:lang w:eastAsia="en-AU"/>
        </w:rPr>
        <w:t>Human Rights Act 2004</w:t>
      </w:r>
      <w:r w:rsidR="009F287A">
        <w:rPr>
          <w:rFonts w:ascii="Arial" w:hAnsi="Arial" w:cs="Arial"/>
          <w:szCs w:val="24"/>
          <w:lang w:eastAsia="en-AU"/>
        </w:rPr>
        <w:t xml:space="preserve"> </w:t>
      </w:r>
      <w:r w:rsidR="009F287A" w:rsidRPr="005A2AF6">
        <w:rPr>
          <w:rFonts w:ascii="Arial" w:hAnsi="Arial" w:cs="Arial"/>
          <w:szCs w:val="24"/>
          <w:lang w:eastAsia="en-AU"/>
        </w:rPr>
        <w:t>(the HRA)</w:t>
      </w:r>
      <w:r w:rsidR="009B4ED7" w:rsidRPr="005A2AF6">
        <w:rPr>
          <w:rFonts w:ascii="Arial" w:hAnsi="Arial" w:cs="Arial"/>
          <w:szCs w:val="24"/>
          <w:lang w:eastAsia="en-AU"/>
        </w:rPr>
        <w:t>.</w:t>
      </w:r>
    </w:p>
    <w:p w14:paraId="0A46243A" w14:textId="742D344C" w:rsidR="000D32A8" w:rsidRPr="006477DF" w:rsidRDefault="000D32A8" w:rsidP="006477DF">
      <w:pPr>
        <w:spacing w:after="160" w:line="276" w:lineRule="auto"/>
        <w:rPr>
          <w:rFonts w:ascii="Arial" w:hAnsi="Arial" w:cs="Arial"/>
          <w:b/>
          <w:bCs/>
          <w:szCs w:val="24"/>
          <w:lang w:eastAsia="en-AU"/>
        </w:rPr>
      </w:pPr>
      <w:r w:rsidRPr="000D32A8">
        <w:rPr>
          <w:rFonts w:ascii="Arial" w:hAnsi="Arial" w:cs="Arial"/>
          <w:b/>
          <w:bCs/>
          <w:szCs w:val="24"/>
          <w:lang w:eastAsia="en-AU"/>
        </w:rPr>
        <w:t>REGULATORY IMPACT STATEMENT</w:t>
      </w:r>
    </w:p>
    <w:p w14:paraId="51391367" w14:textId="053C3ADA" w:rsidR="000A55FE" w:rsidRPr="006477DF" w:rsidRDefault="000D32A8" w:rsidP="006477DF">
      <w:pPr>
        <w:spacing w:after="160" w:line="276" w:lineRule="auto"/>
        <w:rPr>
          <w:rFonts w:ascii="Arial" w:hAnsi="Arial" w:cs="Arial"/>
          <w:szCs w:val="24"/>
          <w:lang w:eastAsia="en-AU"/>
        </w:rPr>
      </w:pPr>
      <w:r w:rsidRPr="000D32A8">
        <w:rPr>
          <w:rFonts w:ascii="Arial" w:hAnsi="Arial" w:cs="Arial"/>
          <w:szCs w:val="24"/>
          <w:lang w:eastAsia="en-AU"/>
        </w:rPr>
        <w:t>A regulatory impact statement is not required</w:t>
      </w:r>
      <w:r>
        <w:rPr>
          <w:rFonts w:ascii="Arial" w:hAnsi="Arial" w:cs="Arial"/>
          <w:szCs w:val="24"/>
          <w:lang w:eastAsia="en-AU"/>
        </w:rPr>
        <w:t xml:space="preserve"> </w:t>
      </w:r>
      <w:r w:rsidRPr="000D32A8">
        <w:rPr>
          <w:rFonts w:ascii="Arial" w:hAnsi="Arial" w:cs="Arial"/>
          <w:szCs w:val="24"/>
          <w:lang w:eastAsia="en-AU"/>
        </w:rPr>
        <w:t>as the</w:t>
      </w:r>
      <w:r>
        <w:rPr>
          <w:rFonts w:ascii="Arial" w:hAnsi="Arial" w:cs="Arial"/>
          <w:szCs w:val="24"/>
          <w:lang w:eastAsia="en-AU"/>
        </w:rPr>
        <w:t xml:space="preserve"> </w:t>
      </w:r>
      <w:r w:rsidRPr="000D32A8">
        <w:rPr>
          <w:rFonts w:ascii="Arial" w:hAnsi="Arial" w:cs="Arial"/>
          <w:szCs w:val="24"/>
          <w:lang w:eastAsia="en-AU"/>
        </w:rPr>
        <w:t xml:space="preserve">regulation does not </w:t>
      </w:r>
      <w:r>
        <w:rPr>
          <w:rFonts w:ascii="Arial" w:hAnsi="Arial" w:cs="Arial"/>
          <w:szCs w:val="24"/>
          <w:lang w:eastAsia="en-AU"/>
        </w:rPr>
        <w:t>i</w:t>
      </w:r>
      <w:r w:rsidRPr="000D32A8">
        <w:rPr>
          <w:rFonts w:ascii="Arial" w:hAnsi="Arial" w:cs="Arial"/>
          <w:szCs w:val="24"/>
          <w:lang w:eastAsia="en-AU"/>
        </w:rPr>
        <w:t>mpose any appreciable costs on the community, or part of a</w:t>
      </w:r>
      <w:r>
        <w:rPr>
          <w:rFonts w:ascii="Arial" w:hAnsi="Arial" w:cs="Arial"/>
          <w:szCs w:val="24"/>
          <w:lang w:eastAsia="en-AU"/>
        </w:rPr>
        <w:t xml:space="preserve"> c</w:t>
      </w:r>
      <w:r w:rsidRPr="000D32A8">
        <w:rPr>
          <w:rFonts w:ascii="Arial" w:hAnsi="Arial" w:cs="Arial"/>
          <w:szCs w:val="24"/>
          <w:lang w:eastAsia="en-AU"/>
        </w:rPr>
        <w:t>ommunity</w:t>
      </w:r>
      <w:r>
        <w:rPr>
          <w:rFonts w:ascii="Arial" w:hAnsi="Arial" w:cs="Arial"/>
          <w:szCs w:val="24"/>
          <w:lang w:eastAsia="en-AU"/>
        </w:rPr>
        <w:t xml:space="preserve"> u</w:t>
      </w:r>
      <w:r w:rsidRPr="000D32A8">
        <w:rPr>
          <w:rFonts w:ascii="Arial" w:hAnsi="Arial" w:cs="Arial"/>
          <w:szCs w:val="24"/>
          <w:lang w:eastAsia="en-AU"/>
        </w:rPr>
        <w:t>nder section 34</w:t>
      </w:r>
      <w:r>
        <w:rPr>
          <w:rFonts w:ascii="Arial" w:hAnsi="Arial" w:cs="Arial"/>
          <w:szCs w:val="24"/>
          <w:lang w:eastAsia="en-AU"/>
        </w:rPr>
        <w:t xml:space="preserve"> </w:t>
      </w:r>
      <w:r w:rsidRPr="000D32A8">
        <w:rPr>
          <w:rFonts w:ascii="Arial" w:hAnsi="Arial" w:cs="Arial"/>
          <w:szCs w:val="24"/>
          <w:lang w:eastAsia="en-AU"/>
        </w:rPr>
        <w:t>(1) of the</w:t>
      </w:r>
      <w:r>
        <w:rPr>
          <w:rFonts w:ascii="Arial" w:hAnsi="Arial" w:cs="Arial"/>
          <w:szCs w:val="24"/>
          <w:lang w:eastAsia="en-AU"/>
        </w:rPr>
        <w:t xml:space="preserve"> </w:t>
      </w:r>
      <w:r w:rsidRPr="000D32A8">
        <w:rPr>
          <w:rFonts w:ascii="Arial" w:hAnsi="Arial" w:cs="Arial"/>
          <w:i/>
          <w:iCs/>
          <w:szCs w:val="24"/>
          <w:lang w:eastAsia="en-AU"/>
        </w:rPr>
        <w:t>Legislation Act 2001</w:t>
      </w:r>
      <w:r w:rsidRPr="000D32A8">
        <w:rPr>
          <w:rFonts w:ascii="Arial" w:hAnsi="Arial" w:cs="Arial"/>
          <w:szCs w:val="24"/>
          <w:lang w:eastAsia="en-AU"/>
        </w:rPr>
        <w:t>.</w:t>
      </w:r>
    </w:p>
    <w:p w14:paraId="2C7D14DE" w14:textId="77777777" w:rsidR="009B4ED7" w:rsidRDefault="009B4ED7" w:rsidP="000A55FE">
      <w:pPr>
        <w:rPr>
          <w:rFonts w:ascii="Arial" w:hAnsi="Arial" w:cs="Arial"/>
          <w:b/>
          <w:bCs/>
          <w:color w:val="000000"/>
        </w:rPr>
      </w:pPr>
    </w:p>
    <w:p w14:paraId="2F65CAE5" w14:textId="063F03A7" w:rsidR="007958A2" w:rsidRDefault="007958A2" w:rsidP="000A55FE">
      <w:pPr>
        <w:rPr>
          <w:rFonts w:ascii="Arial" w:hAnsi="Arial" w:cs="Arial"/>
          <w:b/>
          <w:bCs/>
          <w:color w:val="000000"/>
        </w:rPr>
      </w:pPr>
      <w:r>
        <w:rPr>
          <w:rFonts w:ascii="Arial" w:hAnsi="Arial" w:cs="Arial"/>
          <w:b/>
          <w:bCs/>
          <w:color w:val="000000"/>
        </w:rPr>
        <w:t>CLAUSE NOTES</w:t>
      </w:r>
    </w:p>
    <w:p w14:paraId="4031E14F" w14:textId="77777777" w:rsidR="000A55FE" w:rsidRDefault="000A55FE" w:rsidP="000A55FE">
      <w:pPr>
        <w:rPr>
          <w:color w:val="000000"/>
        </w:rPr>
      </w:pPr>
    </w:p>
    <w:p w14:paraId="0A842CEA" w14:textId="5F558457" w:rsidR="007958A2" w:rsidRDefault="007958A2" w:rsidP="00390D0A">
      <w:pPr>
        <w:pStyle w:val="NormalWeb"/>
        <w:shd w:val="clear" w:color="auto" w:fill="FFFFFF"/>
        <w:spacing w:before="0" w:beforeAutospacing="0" w:after="200" w:afterAutospacing="0" w:line="253" w:lineRule="atLeast"/>
        <w:rPr>
          <w:color w:val="000000"/>
        </w:rPr>
      </w:pPr>
      <w:r>
        <w:rPr>
          <w:rFonts w:ascii="Arial" w:hAnsi="Arial" w:cs="Arial"/>
          <w:b/>
          <w:bCs/>
          <w:color w:val="000000"/>
        </w:rPr>
        <w:t>Clause 1</w:t>
      </w:r>
      <w:r>
        <w:rPr>
          <w:color w:val="000000"/>
        </w:rPr>
        <w:t> </w:t>
      </w:r>
      <w:r>
        <w:rPr>
          <w:rFonts w:ascii="Arial" w:hAnsi="Arial" w:cs="Arial"/>
          <w:b/>
          <w:bCs/>
          <w:color w:val="000000"/>
        </w:rPr>
        <w:t>Name of regulation</w:t>
      </w:r>
    </w:p>
    <w:p w14:paraId="0BBBCC2D" w14:textId="02F68024" w:rsidR="007958A2" w:rsidRDefault="007958A2"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Clause 1 provides that the name of the regulation is the </w:t>
      </w:r>
      <w:r>
        <w:rPr>
          <w:rFonts w:ascii="Arial" w:hAnsi="Arial" w:cs="Arial"/>
          <w:i/>
          <w:iCs/>
          <w:color w:val="000000"/>
        </w:rPr>
        <w:t>Retirement Villages Amendment Regulation 202</w:t>
      </w:r>
      <w:r w:rsidR="001202DF">
        <w:rPr>
          <w:rFonts w:ascii="Arial" w:hAnsi="Arial" w:cs="Arial"/>
          <w:i/>
          <w:iCs/>
          <w:color w:val="000000"/>
        </w:rPr>
        <w:t>5</w:t>
      </w:r>
      <w:r>
        <w:rPr>
          <w:rFonts w:ascii="Arial" w:hAnsi="Arial" w:cs="Arial"/>
          <w:i/>
          <w:iCs/>
          <w:color w:val="000000"/>
        </w:rPr>
        <w:t xml:space="preserve"> (No </w:t>
      </w:r>
      <w:r w:rsidR="00830C30">
        <w:rPr>
          <w:rFonts w:ascii="Arial" w:hAnsi="Arial" w:cs="Arial"/>
          <w:i/>
          <w:iCs/>
          <w:color w:val="000000"/>
        </w:rPr>
        <w:t>2</w:t>
      </w:r>
      <w:r>
        <w:rPr>
          <w:rFonts w:ascii="Arial" w:hAnsi="Arial" w:cs="Arial"/>
          <w:i/>
          <w:iCs/>
          <w:color w:val="000000"/>
        </w:rPr>
        <w:t>).</w:t>
      </w:r>
    </w:p>
    <w:p w14:paraId="3E94928B" w14:textId="77777777"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2</w:t>
      </w:r>
      <w:r>
        <w:rPr>
          <w:color w:val="000000"/>
        </w:rPr>
        <w:t> </w:t>
      </w:r>
      <w:r>
        <w:rPr>
          <w:rFonts w:ascii="Arial" w:hAnsi="Arial" w:cs="Arial"/>
          <w:b/>
          <w:bCs/>
          <w:color w:val="000000"/>
        </w:rPr>
        <w:t>Commencement</w:t>
      </w:r>
    </w:p>
    <w:p w14:paraId="64C6C12D" w14:textId="3FB875A3" w:rsidR="007958A2" w:rsidRDefault="007958A2"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 xml:space="preserve">This clause </w:t>
      </w:r>
      <w:r w:rsidR="00952409">
        <w:rPr>
          <w:rFonts w:ascii="Arial" w:hAnsi="Arial" w:cs="Arial"/>
          <w:color w:val="000000"/>
        </w:rPr>
        <w:t xml:space="preserve">indicates </w:t>
      </w:r>
      <w:r>
        <w:rPr>
          <w:rFonts w:ascii="Arial" w:hAnsi="Arial" w:cs="Arial"/>
          <w:color w:val="000000"/>
        </w:rPr>
        <w:t xml:space="preserve">that the commencement date of the regulation is </w:t>
      </w:r>
      <w:r w:rsidR="00830C30">
        <w:rPr>
          <w:rFonts w:ascii="Arial" w:hAnsi="Arial" w:cs="Arial"/>
          <w:color w:val="000000"/>
        </w:rPr>
        <w:t xml:space="preserve">the day </w:t>
      </w:r>
      <w:r w:rsidR="00770B21">
        <w:rPr>
          <w:rFonts w:ascii="Arial" w:hAnsi="Arial" w:cs="Arial"/>
          <w:color w:val="000000"/>
        </w:rPr>
        <w:t xml:space="preserve">after </w:t>
      </w:r>
      <w:r>
        <w:rPr>
          <w:rFonts w:ascii="Arial" w:hAnsi="Arial" w:cs="Arial"/>
          <w:color w:val="000000"/>
        </w:rPr>
        <w:t>it is notified. </w:t>
      </w:r>
    </w:p>
    <w:p w14:paraId="37EDBDA8" w14:textId="77777777"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3</w:t>
      </w:r>
      <w:r>
        <w:rPr>
          <w:color w:val="000000"/>
        </w:rPr>
        <w:t> </w:t>
      </w:r>
      <w:r>
        <w:rPr>
          <w:rFonts w:ascii="Arial" w:hAnsi="Arial" w:cs="Arial"/>
          <w:b/>
          <w:bCs/>
          <w:color w:val="000000"/>
        </w:rPr>
        <w:t>Legislation amended</w:t>
      </w:r>
    </w:p>
    <w:p w14:paraId="3691957F" w14:textId="2698A03C" w:rsidR="007958A2" w:rsidRDefault="007958A2" w:rsidP="007958A2">
      <w:pPr>
        <w:pStyle w:val="NormalWeb"/>
        <w:shd w:val="clear" w:color="auto" w:fill="FFFFFF"/>
        <w:spacing w:before="0" w:beforeAutospacing="0" w:after="200" w:afterAutospacing="0" w:line="276" w:lineRule="atLeast"/>
        <w:rPr>
          <w:color w:val="000000"/>
        </w:rPr>
      </w:pPr>
      <w:r>
        <w:rPr>
          <w:rFonts w:ascii="Arial" w:hAnsi="Arial" w:cs="Arial"/>
          <w:color w:val="000000"/>
        </w:rPr>
        <w:t xml:space="preserve">This clause </w:t>
      </w:r>
      <w:r w:rsidR="00952409">
        <w:rPr>
          <w:rFonts w:ascii="Arial" w:hAnsi="Arial" w:cs="Arial"/>
          <w:color w:val="000000"/>
        </w:rPr>
        <w:t xml:space="preserve">indicates </w:t>
      </w:r>
      <w:r>
        <w:rPr>
          <w:rFonts w:ascii="Arial" w:hAnsi="Arial" w:cs="Arial"/>
          <w:color w:val="000000"/>
        </w:rPr>
        <w:t>that the regulation amends the </w:t>
      </w:r>
      <w:r>
        <w:rPr>
          <w:rFonts w:ascii="Arial" w:hAnsi="Arial" w:cs="Arial"/>
          <w:i/>
          <w:iCs/>
          <w:color w:val="000000"/>
        </w:rPr>
        <w:t xml:space="preserve">Retirement Villages Regulation 2013 </w:t>
      </w:r>
      <w:r>
        <w:rPr>
          <w:rFonts w:ascii="Arial" w:hAnsi="Arial" w:cs="Arial"/>
          <w:color w:val="000000"/>
        </w:rPr>
        <w:t>(</w:t>
      </w:r>
      <w:r w:rsidRPr="005A2AF6">
        <w:rPr>
          <w:rFonts w:ascii="Arial" w:hAnsi="Arial" w:cs="Arial"/>
          <w:color w:val="000000"/>
        </w:rPr>
        <w:t xml:space="preserve">the </w:t>
      </w:r>
      <w:r w:rsidR="00952409" w:rsidRPr="005A2AF6">
        <w:rPr>
          <w:rFonts w:ascii="Arial" w:hAnsi="Arial" w:cs="Arial"/>
          <w:color w:val="000000"/>
        </w:rPr>
        <w:t>RV</w:t>
      </w:r>
      <w:r w:rsidRPr="005A2AF6">
        <w:rPr>
          <w:rFonts w:ascii="Arial" w:hAnsi="Arial" w:cs="Arial"/>
          <w:color w:val="000000"/>
        </w:rPr>
        <w:t xml:space="preserve"> Regulation).</w:t>
      </w:r>
    </w:p>
    <w:p w14:paraId="0A20FD36" w14:textId="211C18A4" w:rsidR="007958A2" w:rsidRDefault="007958A2" w:rsidP="007958A2">
      <w:pPr>
        <w:pStyle w:val="NormalWeb"/>
        <w:shd w:val="clear" w:color="auto" w:fill="FFFFFF"/>
        <w:spacing w:before="240" w:beforeAutospacing="0" w:after="240" w:afterAutospacing="0"/>
        <w:rPr>
          <w:color w:val="000000"/>
        </w:rPr>
      </w:pPr>
      <w:r>
        <w:rPr>
          <w:rFonts w:ascii="Arial" w:hAnsi="Arial" w:cs="Arial"/>
          <w:b/>
          <w:bCs/>
          <w:color w:val="000000"/>
        </w:rPr>
        <w:t>Clause 4</w:t>
      </w:r>
      <w:r>
        <w:rPr>
          <w:color w:val="000000"/>
        </w:rPr>
        <w:t> </w:t>
      </w:r>
      <w:r w:rsidR="009B4ED7">
        <w:rPr>
          <w:rFonts w:ascii="Arial" w:hAnsi="Arial" w:cs="Arial"/>
          <w:b/>
          <w:bCs/>
          <w:color w:val="000000"/>
        </w:rPr>
        <w:t>Section 43 (1)</w:t>
      </w:r>
    </w:p>
    <w:p w14:paraId="377A382D" w14:textId="6E713A70" w:rsidR="00B51992" w:rsidRDefault="009B4ED7">
      <w:pPr>
        <w:rPr>
          <w:rFonts w:ascii="Arial" w:hAnsi="Arial" w:cs="Arial"/>
          <w:color w:val="000000"/>
          <w:szCs w:val="24"/>
          <w:lang w:eastAsia="en-AU"/>
        </w:rPr>
      </w:pPr>
      <w:r>
        <w:rPr>
          <w:rFonts w:ascii="Arial" w:hAnsi="Arial" w:cs="Arial"/>
          <w:color w:val="000000"/>
        </w:rPr>
        <w:t>This clause makes a minor amendment to the wording from ‘</w:t>
      </w:r>
      <w:r w:rsidRPr="001945FF">
        <w:rPr>
          <w:rFonts w:ascii="Arial" w:hAnsi="Arial" w:cs="Arial"/>
          <w:color w:val="000000"/>
        </w:rPr>
        <w:t xml:space="preserve">The residents committee </w:t>
      </w:r>
      <w:r w:rsidRPr="00731CF7">
        <w:rPr>
          <w:rFonts w:ascii="Arial" w:hAnsi="Arial" w:cs="Arial"/>
          <w:i/>
          <w:iCs/>
          <w:color w:val="000000"/>
        </w:rPr>
        <w:t xml:space="preserve">of </w:t>
      </w:r>
      <w:r w:rsidRPr="001945FF">
        <w:rPr>
          <w:rFonts w:ascii="Arial" w:hAnsi="Arial" w:cs="Arial"/>
          <w:color w:val="000000"/>
        </w:rPr>
        <w:t>a retirement village</w:t>
      </w:r>
      <w:r>
        <w:rPr>
          <w:rFonts w:ascii="Arial" w:hAnsi="Arial" w:cs="Arial"/>
          <w:color w:val="000000"/>
        </w:rPr>
        <w:t>’ to ‘</w:t>
      </w:r>
      <w:r w:rsidRPr="001945FF">
        <w:rPr>
          <w:rFonts w:ascii="Arial" w:hAnsi="Arial" w:cs="Arial"/>
          <w:color w:val="000000"/>
        </w:rPr>
        <w:t xml:space="preserve">The residents committee </w:t>
      </w:r>
      <w:r w:rsidRPr="00731CF7">
        <w:rPr>
          <w:rFonts w:ascii="Arial" w:hAnsi="Arial" w:cs="Arial"/>
          <w:i/>
          <w:iCs/>
          <w:color w:val="000000"/>
        </w:rPr>
        <w:t xml:space="preserve">for </w:t>
      </w:r>
      <w:r w:rsidRPr="001945FF">
        <w:rPr>
          <w:rFonts w:ascii="Arial" w:hAnsi="Arial" w:cs="Arial"/>
          <w:color w:val="000000"/>
        </w:rPr>
        <w:t>a retirement village</w:t>
      </w:r>
      <w:r>
        <w:rPr>
          <w:rFonts w:ascii="Arial" w:hAnsi="Arial" w:cs="Arial"/>
          <w:color w:val="000000"/>
        </w:rPr>
        <w:t xml:space="preserve">’ to align with the wording used in the </w:t>
      </w:r>
      <w:r w:rsidRPr="009B4ED7">
        <w:rPr>
          <w:rFonts w:ascii="Arial" w:hAnsi="Arial" w:cs="Arial"/>
          <w:i/>
          <w:iCs/>
          <w:color w:val="000000"/>
        </w:rPr>
        <w:t>Retirement Villages Act 2012</w:t>
      </w:r>
      <w:r>
        <w:rPr>
          <w:rFonts w:ascii="Arial" w:hAnsi="Arial" w:cs="Arial"/>
          <w:color w:val="000000"/>
        </w:rPr>
        <w:t>.</w:t>
      </w:r>
    </w:p>
    <w:p w14:paraId="5A2CD40A" w14:textId="3F39D5E4" w:rsidR="009B4ED7" w:rsidRDefault="009B4ED7" w:rsidP="009B4ED7">
      <w:pPr>
        <w:pStyle w:val="NormalWeb"/>
        <w:shd w:val="clear" w:color="auto" w:fill="FFFFFF"/>
        <w:spacing w:before="240" w:beforeAutospacing="0" w:after="240" w:afterAutospacing="0"/>
        <w:rPr>
          <w:color w:val="000000"/>
        </w:rPr>
      </w:pPr>
      <w:r>
        <w:rPr>
          <w:rFonts w:ascii="Arial" w:hAnsi="Arial" w:cs="Arial"/>
          <w:b/>
          <w:bCs/>
          <w:color w:val="000000"/>
        </w:rPr>
        <w:t>Clause 5</w:t>
      </w:r>
      <w:r>
        <w:rPr>
          <w:color w:val="000000"/>
        </w:rPr>
        <w:t> </w:t>
      </w:r>
      <w:r>
        <w:rPr>
          <w:rFonts w:ascii="Arial" w:hAnsi="Arial" w:cs="Arial"/>
          <w:b/>
          <w:bCs/>
          <w:color w:val="000000"/>
        </w:rPr>
        <w:t>Schedule 4, section 4.3 (1)</w:t>
      </w:r>
    </w:p>
    <w:p w14:paraId="732B9676" w14:textId="00905478" w:rsidR="00B51992" w:rsidRDefault="009B4ED7" w:rsidP="009B4ED7">
      <w:pPr>
        <w:rPr>
          <w:rFonts w:ascii="Arial" w:hAnsi="Arial" w:cs="Arial"/>
          <w:color w:val="000000"/>
          <w:szCs w:val="24"/>
          <w:lang w:eastAsia="en-AU"/>
        </w:rPr>
      </w:pPr>
      <w:r>
        <w:rPr>
          <w:rFonts w:ascii="Arial" w:hAnsi="Arial" w:cs="Arial"/>
          <w:color w:val="000000"/>
        </w:rPr>
        <w:t>This clause amends the wording from ‘</w:t>
      </w:r>
      <w:r w:rsidRPr="001945FF">
        <w:rPr>
          <w:rFonts w:ascii="Arial" w:hAnsi="Arial" w:cs="Arial"/>
          <w:color w:val="000000"/>
        </w:rPr>
        <w:t xml:space="preserve">The residents committee </w:t>
      </w:r>
      <w:r>
        <w:rPr>
          <w:rFonts w:ascii="Arial" w:hAnsi="Arial" w:cs="Arial"/>
          <w:color w:val="000000"/>
        </w:rPr>
        <w:t>for</w:t>
      </w:r>
      <w:r w:rsidRPr="00731CF7">
        <w:rPr>
          <w:rFonts w:ascii="Arial" w:hAnsi="Arial" w:cs="Arial"/>
          <w:i/>
          <w:iCs/>
          <w:color w:val="000000"/>
        </w:rPr>
        <w:t xml:space="preserve"> </w:t>
      </w:r>
      <w:r w:rsidRPr="001945FF">
        <w:rPr>
          <w:rFonts w:ascii="Arial" w:hAnsi="Arial" w:cs="Arial"/>
          <w:color w:val="000000"/>
        </w:rPr>
        <w:t>a retirement village</w:t>
      </w:r>
      <w:r>
        <w:rPr>
          <w:rFonts w:ascii="Arial" w:hAnsi="Arial" w:cs="Arial"/>
          <w:color w:val="000000"/>
        </w:rPr>
        <w:t>’ to ‘</w:t>
      </w:r>
      <w:r w:rsidRPr="001945FF">
        <w:rPr>
          <w:rFonts w:ascii="Arial" w:hAnsi="Arial" w:cs="Arial"/>
          <w:color w:val="000000"/>
        </w:rPr>
        <w:t xml:space="preserve">The residents </w:t>
      </w:r>
      <w:r>
        <w:rPr>
          <w:rFonts w:ascii="Arial" w:hAnsi="Arial" w:cs="Arial"/>
          <w:color w:val="000000"/>
        </w:rPr>
        <w:t>of</w:t>
      </w:r>
      <w:r w:rsidRPr="00731CF7">
        <w:rPr>
          <w:rFonts w:ascii="Arial" w:hAnsi="Arial" w:cs="Arial"/>
          <w:i/>
          <w:iCs/>
          <w:color w:val="000000"/>
        </w:rPr>
        <w:t xml:space="preserve"> </w:t>
      </w:r>
      <w:r w:rsidRPr="001945FF">
        <w:rPr>
          <w:rFonts w:ascii="Arial" w:hAnsi="Arial" w:cs="Arial"/>
          <w:color w:val="000000"/>
        </w:rPr>
        <w:t>a retirement village</w:t>
      </w:r>
      <w:r>
        <w:rPr>
          <w:rFonts w:ascii="Arial" w:hAnsi="Arial" w:cs="Arial"/>
          <w:color w:val="000000"/>
        </w:rPr>
        <w:t xml:space="preserve">’. The purpose of this change is to correct an unintentional change that occurred in the drafting of the Retirement Villages Amendment Regulation 2025 (No 1). This change reinstates the election of the returning officer to be </w:t>
      </w:r>
      <w:r w:rsidR="00A80842">
        <w:rPr>
          <w:rFonts w:ascii="Arial" w:hAnsi="Arial" w:cs="Arial"/>
          <w:color w:val="000000"/>
        </w:rPr>
        <w:t>the responsibility of the residents of the retirement village.</w:t>
      </w:r>
    </w:p>
    <w:sectPr w:rsidR="00B51992"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49B6" w14:textId="77777777" w:rsidR="00F730AC" w:rsidRDefault="00F730AC" w:rsidP="006815C9">
      <w:r>
        <w:separator/>
      </w:r>
    </w:p>
  </w:endnote>
  <w:endnote w:type="continuationSeparator" w:id="0">
    <w:p w14:paraId="5D20F75F" w14:textId="77777777" w:rsidR="00F730AC" w:rsidRDefault="00F730AC"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A40D"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3A7E" w14:textId="21F98473" w:rsidR="00091D34" w:rsidRPr="00CD22EA" w:rsidRDefault="00CD22EA" w:rsidP="00CD22EA">
    <w:pPr>
      <w:pStyle w:val="Footer"/>
      <w:jc w:val="center"/>
      <w:rPr>
        <w:rFonts w:cs="Arial"/>
        <w:sz w:val="14"/>
      </w:rPr>
    </w:pPr>
    <w:r w:rsidRPr="00CD22E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FE4D"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938B" w14:textId="77777777" w:rsidR="00F730AC" w:rsidRDefault="00F730AC" w:rsidP="006815C9">
      <w:r>
        <w:separator/>
      </w:r>
    </w:p>
  </w:footnote>
  <w:footnote w:type="continuationSeparator" w:id="0">
    <w:p w14:paraId="2D83D7AC" w14:textId="77777777" w:rsidR="00F730AC" w:rsidRDefault="00F730AC"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E1AE"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BD57" w14:textId="7EA7312A"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6C17"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F314C6"/>
    <w:multiLevelType w:val="hybridMultilevel"/>
    <w:tmpl w:val="6252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964456"/>
    <w:multiLevelType w:val="hybridMultilevel"/>
    <w:tmpl w:val="928CA770"/>
    <w:lvl w:ilvl="0" w:tplc="5CA244B0">
      <w:start w:val="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31B6916"/>
    <w:multiLevelType w:val="hybridMultilevel"/>
    <w:tmpl w:val="71820470"/>
    <w:lvl w:ilvl="0" w:tplc="C5C6D5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130583420">
    <w:abstractNumId w:val="2"/>
  </w:num>
  <w:num w:numId="2" w16cid:durableId="1458913944">
    <w:abstractNumId w:val="0"/>
  </w:num>
  <w:num w:numId="3" w16cid:durableId="106437700">
    <w:abstractNumId w:val="3"/>
  </w:num>
  <w:num w:numId="4" w16cid:durableId="1886408061">
    <w:abstractNumId w:val="8"/>
  </w:num>
  <w:num w:numId="5" w16cid:durableId="2019623294">
    <w:abstractNumId w:val="11"/>
  </w:num>
  <w:num w:numId="6" w16cid:durableId="108011302">
    <w:abstractNumId w:val="1"/>
  </w:num>
  <w:num w:numId="7" w16cid:durableId="1337462549">
    <w:abstractNumId w:val="6"/>
  </w:num>
  <w:num w:numId="8" w16cid:durableId="445396006">
    <w:abstractNumId w:val="7"/>
  </w:num>
  <w:num w:numId="9" w16cid:durableId="804664932">
    <w:abstractNumId w:val="10"/>
  </w:num>
  <w:num w:numId="10" w16cid:durableId="454914249">
    <w:abstractNumId w:val="5"/>
  </w:num>
  <w:num w:numId="11" w16cid:durableId="1493137477">
    <w:abstractNumId w:val="9"/>
  </w:num>
  <w:num w:numId="12" w16cid:durableId="290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07F1A"/>
    <w:rsid w:val="000212BF"/>
    <w:rsid w:val="00032C69"/>
    <w:rsid w:val="00037242"/>
    <w:rsid w:val="00040E22"/>
    <w:rsid w:val="00054E4D"/>
    <w:rsid w:val="000653BD"/>
    <w:rsid w:val="00072F4E"/>
    <w:rsid w:val="00076A46"/>
    <w:rsid w:val="00091D34"/>
    <w:rsid w:val="00092437"/>
    <w:rsid w:val="000A4528"/>
    <w:rsid w:val="000A55FE"/>
    <w:rsid w:val="000D32A8"/>
    <w:rsid w:val="0010739B"/>
    <w:rsid w:val="001124A8"/>
    <w:rsid w:val="001202DF"/>
    <w:rsid w:val="001317BC"/>
    <w:rsid w:val="0014402D"/>
    <w:rsid w:val="0016368A"/>
    <w:rsid w:val="00181CC0"/>
    <w:rsid w:val="001844D2"/>
    <w:rsid w:val="001848B7"/>
    <w:rsid w:val="00186025"/>
    <w:rsid w:val="00187C66"/>
    <w:rsid w:val="001945FF"/>
    <w:rsid w:val="001B30F7"/>
    <w:rsid w:val="001B7E5A"/>
    <w:rsid w:val="001E55DD"/>
    <w:rsid w:val="001F4AE0"/>
    <w:rsid w:val="002339A6"/>
    <w:rsid w:val="00234BC4"/>
    <w:rsid w:val="0026118F"/>
    <w:rsid w:val="00265BDE"/>
    <w:rsid w:val="00284A01"/>
    <w:rsid w:val="00284E67"/>
    <w:rsid w:val="00285BF1"/>
    <w:rsid w:val="00295AA2"/>
    <w:rsid w:val="002A352B"/>
    <w:rsid w:val="002F33F3"/>
    <w:rsid w:val="003114A0"/>
    <w:rsid w:val="003147FA"/>
    <w:rsid w:val="00334B50"/>
    <w:rsid w:val="00390D0A"/>
    <w:rsid w:val="003C706D"/>
    <w:rsid w:val="003E5285"/>
    <w:rsid w:val="004030E7"/>
    <w:rsid w:val="00452000"/>
    <w:rsid w:val="00484D22"/>
    <w:rsid w:val="004874A7"/>
    <w:rsid w:val="004968D5"/>
    <w:rsid w:val="004A357F"/>
    <w:rsid w:val="004C2150"/>
    <w:rsid w:val="004D0A19"/>
    <w:rsid w:val="004D2ACA"/>
    <w:rsid w:val="004E3146"/>
    <w:rsid w:val="005071A3"/>
    <w:rsid w:val="005139DD"/>
    <w:rsid w:val="00517196"/>
    <w:rsid w:val="00521870"/>
    <w:rsid w:val="00552FC2"/>
    <w:rsid w:val="00577804"/>
    <w:rsid w:val="00580741"/>
    <w:rsid w:val="005A2AF6"/>
    <w:rsid w:val="005A4B33"/>
    <w:rsid w:val="005B0E4F"/>
    <w:rsid w:val="005C6D78"/>
    <w:rsid w:val="005D3707"/>
    <w:rsid w:val="006476FE"/>
    <w:rsid w:val="006477DF"/>
    <w:rsid w:val="006507A5"/>
    <w:rsid w:val="006815C9"/>
    <w:rsid w:val="0069319D"/>
    <w:rsid w:val="006D63EC"/>
    <w:rsid w:val="006E7046"/>
    <w:rsid w:val="006F59BE"/>
    <w:rsid w:val="0071787F"/>
    <w:rsid w:val="00731CF7"/>
    <w:rsid w:val="00764403"/>
    <w:rsid w:val="00770B21"/>
    <w:rsid w:val="00774426"/>
    <w:rsid w:val="007958A2"/>
    <w:rsid w:val="007B1692"/>
    <w:rsid w:val="007B5AA4"/>
    <w:rsid w:val="007B6E75"/>
    <w:rsid w:val="007D4D99"/>
    <w:rsid w:val="007E6EF0"/>
    <w:rsid w:val="00804C54"/>
    <w:rsid w:val="00830C30"/>
    <w:rsid w:val="008326B5"/>
    <w:rsid w:val="008511EC"/>
    <w:rsid w:val="00857101"/>
    <w:rsid w:val="008573E4"/>
    <w:rsid w:val="00876345"/>
    <w:rsid w:val="00890C1A"/>
    <w:rsid w:val="008A037C"/>
    <w:rsid w:val="008B2DAE"/>
    <w:rsid w:val="00910DC6"/>
    <w:rsid w:val="00916C56"/>
    <w:rsid w:val="00930309"/>
    <w:rsid w:val="0093364B"/>
    <w:rsid w:val="00950235"/>
    <w:rsid w:val="00952409"/>
    <w:rsid w:val="009732B5"/>
    <w:rsid w:val="009A76E9"/>
    <w:rsid w:val="009B4ED7"/>
    <w:rsid w:val="009C45A8"/>
    <w:rsid w:val="009C64C5"/>
    <w:rsid w:val="009D32F8"/>
    <w:rsid w:val="009F287A"/>
    <w:rsid w:val="00A0447F"/>
    <w:rsid w:val="00A109EA"/>
    <w:rsid w:val="00A133E6"/>
    <w:rsid w:val="00A15B02"/>
    <w:rsid w:val="00A216DE"/>
    <w:rsid w:val="00A50ED9"/>
    <w:rsid w:val="00A67714"/>
    <w:rsid w:val="00A70CDF"/>
    <w:rsid w:val="00A71679"/>
    <w:rsid w:val="00A75749"/>
    <w:rsid w:val="00A80842"/>
    <w:rsid w:val="00A92255"/>
    <w:rsid w:val="00AA00BA"/>
    <w:rsid w:val="00AE115F"/>
    <w:rsid w:val="00B5058F"/>
    <w:rsid w:val="00B51992"/>
    <w:rsid w:val="00B572B0"/>
    <w:rsid w:val="00B622B8"/>
    <w:rsid w:val="00B62C8B"/>
    <w:rsid w:val="00B73CFE"/>
    <w:rsid w:val="00B81AD7"/>
    <w:rsid w:val="00BB0B89"/>
    <w:rsid w:val="00BF2E08"/>
    <w:rsid w:val="00BF52DA"/>
    <w:rsid w:val="00C1618B"/>
    <w:rsid w:val="00C254FB"/>
    <w:rsid w:val="00C76532"/>
    <w:rsid w:val="00C92AE0"/>
    <w:rsid w:val="00CA1AB0"/>
    <w:rsid w:val="00CB49A5"/>
    <w:rsid w:val="00CB5AEC"/>
    <w:rsid w:val="00CD22EA"/>
    <w:rsid w:val="00CE50DB"/>
    <w:rsid w:val="00CF6471"/>
    <w:rsid w:val="00D57AEE"/>
    <w:rsid w:val="00D763E9"/>
    <w:rsid w:val="00D83777"/>
    <w:rsid w:val="00D9680E"/>
    <w:rsid w:val="00DE69A9"/>
    <w:rsid w:val="00E034D8"/>
    <w:rsid w:val="00E12628"/>
    <w:rsid w:val="00E47166"/>
    <w:rsid w:val="00E63813"/>
    <w:rsid w:val="00E77618"/>
    <w:rsid w:val="00E84A0D"/>
    <w:rsid w:val="00EE14E9"/>
    <w:rsid w:val="00EF4D8B"/>
    <w:rsid w:val="00F5371D"/>
    <w:rsid w:val="00F730AC"/>
    <w:rsid w:val="00F733F5"/>
    <w:rsid w:val="00F80555"/>
    <w:rsid w:val="00FC7532"/>
    <w:rsid w:val="00FD1F0F"/>
    <w:rsid w:val="00FF1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0B1F8"/>
  <w15:docId w15:val="{7A8649AA-6EC6-40DB-A264-3F01B8BA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D7"/>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uiPriority w:val="99"/>
    <w:semiHidden/>
    <w:rsid w:val="00C1618B"/>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NormalWeb">
    <w:name w:val="Normal (Web)"/>
    <w:basedOn w:val="Normal"/>
    <w:uiPriority w:val="99"/>
    <w:unhideWhenUsed/>
    <w:rsid w:val="007958A2"/>
    <w:pPr>
      <w:spacing w:before="100" w:beforeAutospacing="1" w:after="100" w:afterAutospacing="1"/>
    </w:pPr>
    <w:rPr>
      <w:szCs w:val="24"/>
      <w:lang w:eastAsia="en-AU"/>
    </w:rPr>
  </w:style>
  <w:style w:type="character" w:customStyle="1" w:styleId="ui-provider">
    <w:name w:val="ui-provider"/>
    <w:basedOn w:val="DefaultParagraphFont"/>
    <w:rsid w:val="000D32A8"/>
  </w:style>
  <w:style w:type="paragraph" w:styleId="ListParagraph">
    <w:name w:val="List Paragraph"/>
    <w:basedOn w:val="Normal"/>
    <w:uiPriority w:val="34"/>
    <w:qFormat/>
    <w:rsid w:val="00FF1DE9"/>
    <w:pPr>
      <w:ind w:left="720"/>
      <w:contextualSpacing/>
    </w:pPr>
  </w:style>
  <w:style w:type="character" w:customStyle="1" w:styleId="FootnoteTextChar">
    <w:name w:val="Footnote Text Char"/>
    <w:basedOn w:val="DefaultParagraphFont"/>
    <w:link w:val="FootnoteText"/>
    <w:uiPriority w:val="99"/>
    <w:rsid w:val="00EF4D8B"/>
    <w:rPr>
      <w:sz w:val="24"/>
      <w:szCs w:val="24"/>
      <w:lang w:eastAsia="en-US"/>
    </w:rPr>
  </w:style>
  <w:style w:type="paragraph" w:styleId="Revision">
    <w:name w:val="Revision"/>
    <w:hidden/>
    <w:uiPriority w:val="99"/>
    <w:semiHidden/>
    <w:rsid w:val="00764403"/>
    <w:rPr>
      <w:sz w:val="24"/>
      <w:lang w:eastAsia="en-US"/>
    </w:rPr>
  </w:style>
  <w:style w:type="character" w:styleId="CommentReference">
    <w:name w:val="annotation reference"/>
    <w:basedOn w:val="DefaultParagraphFont"/>
    <w:uiPriority w:val="99"/>
    <w:semiHidden/>
    <w:unhideWhenUsed/>
    <w:rsid w:val="004A357F"/>
    <w:rPr>
      <w:sz w:val="16"/>
      <w:szCs w:val="16"/>
    </w:rPr>
  </w:style>
  <w:style w:type="paragraph" w:styleId="CommentText">
    <w:name w:val="annotation text"/>
    <w:basedOn w:val="Normal"/>
    <w:link w:val="CommentTextChar"/>
    <w:uiPriority w:val="99"/>
    <w:unhideWhenUsed/>
    <w:rsid w:val="004A357F"/>
    <w:rPr>
      <w:sz w:val="20"/>
    </w:rPr>
  </w:style>
  <w:style w:type="character" w:customStyle="1" w:styleId="CommentTextChar">
    <w:name w:val="Comment Text Char"/>
    <w:basedOn w:val="DefaultParagraphFont"/>
    <w:link w:val="CommentText"/>
    <w:uiPriority w:val="99"/>
    <w:rsid w:val="004A357F"/>
    <w:rPr>
      <w:lang w:eastAsia="en-US"/>
    </w:rPr>
  </w:style>
  <w:style w:type="paragraph" w:styleId="CommentSubject">
    <w:name w:val="annotation subject"/>
    <w:basedOn w:val="CommentText"/>
    <w:next w:val="CommentText"/>
    <w:link w:val="CommentSubjectChar"/>
    <w:uiPriority w:val="99"/>
    <w:semiHidden/>
    <w:unhideWhenUsed/>
    <w:rsid w:val="004A357F"/>
    <w:rPr>
      <w:b/>
      <w:bCs/>
    </w:rPr>
  </w:style>
  <w:style w:type="character" w:customStyle="1" w:styleId="CommentSubjectChar">
    <w:name w:val="Comment Subject Char"/>
    <w:basedOn w:val="CommentTextChar"/>
    <w:link w:val="CommentSubject"/>
    <w:uiPriority w:val="99"/>
    <w:semiHidden/>
    <w:rsid w:val="004A357F"/>
    <w:rPr>
      <w:b/>
      <w:bCs/>
      <w:lang w:eastAsia="en-US"/>
    </w:rPr>
  </w:style>
  <w:style w:type="character" w:styleId="UnresolvedMention">
    <w:name w:val="Unresolved Mention"/>
    <w:basedOn w:val="DefaultParagraphFont"/>
    <w:uiPriority w:val="99"/>
    <w:semiHidden/>
    <w:unhideWhenUsed/>
    <w:rsid w:val="004A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7199">
      <w:bodyDiv w:val="1"/>
      <w:marLeft w:val="0"/>
      <w:marRight w:val="0"/>
      <w:marTop w:val="0"/>
      <w:marBottom w:val="0"/>
      <w:divBdr>
        <w:top w:val="none" w:sz="0" w:space="0" w:color="auto"/>
        <w:left w:val="none" w:sz="0" w:space="0" w:color="auto"/>
        <w:bottom w:val="none" w:sz="0" w:space="0" w:color="auto"/>
        <w:right w:val="none" w:sz="0" w:space="0" w:color="auto"/>
      </w:divBdr>
    </w:div>
    <w:div w:id="1853296489">
      <w:bodyDiv w:val="1"/>
      <w:marLeft w:val="0"/>
      <w:marRight w:val="0"/>
      <w:marTop w:val="0"/>
      <w:marBottom w:val="0"/>
      <w:divBdr>
        <w:top w:val="none" w:sz="0" w:space="0" w:color="auto"/>
        <w:left w:val="none" w:sz="0" w:space="0" w:color="auto"/>
        <w:bottom w:val="none" w:sz="0" w:space="0" w:color="auto"/>
        <w:right w:val="none" w:sz="0" w:space="0" w:color="auto"/>
      </w:divBdr>
    </w:div>
    <w:div w:id="201309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D1613-8023-4896-A37A-35A09143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2356</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2025-07-23T06:17:00Z</dcterms:created>
  <dcterms:modified xsi:type="dcterms:W3CDTF">2025-07-23T06:17:00Z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2024-08-08T04:11:07Z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a9a857b3-f0f8-4b52-95c2-0026c6e79ac2</vt:lpwstr>
  </property>
  <property fmtid="{D5CDD505-2E9C-101B-9397-08002B2CF9AE}" pid="8" name="MSIP_Label_69af8531-eb46-4968-8cb3-105d2f5ea87e_ContentBits">
    <vt:lpwstr>0</vt:lpwstr>
  </property>
</Properties>
</file>