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EB9B" w14:textId="6B217355" w:rsidR="005D70F1" w:rsidRDefault="005D70F1">
      <w:pPr>
        <w:spacing w:before="120"/>
        <w:rPr>
          <w:rFonts w:ascii="Arial" w:hAnsi="Arial" w:cs="Arial"/>
        </w:rPr>
      </w:pPr>
      <w:bookmarkStart w:id="0" w:name="_Toc44738651"/>
      <w:bookmarkStart w:id="1" w:name="_Hlk72759904"/>
      <w:r>
        <w:rPr>
          <w:rFonts w:ascii="Arial" w:hAnsi="Arial" w:cs="Arial"/>
        </w:rPr>
        <w:t>Australian Capital Territory</w:t>
      </w:r>
    </w:p>
    <w:p w14:paraId="7C14661B" w14:textId="53ADE158" w:rsidR="005D70F1" w:rsidRPr="002F1A2A" w:rsidRDefault="003D1978" w:rsidP="002F1A2A">
      <w:pPr>
        <w:pStyle w:val="Heading1"/>
      </w:pPr>
      <w:r>
        <w:t>Environment Protection</w:t>
      </w:r>
      <w:r w:rsidR="007F5ADF">
        <w:t xml:space="preserve"> </w:t>
      </w:r>
      <w:r w:rsidR="00D63E65">
        <w:t xml:space="preserve">(Industrial Chemicals) </w:t>
      </w:r>
      <w:r w:rsidR="007F5ADF">
        <w:t>Amendment</w:t>
      </w:r>
      <w:r>
        <w:t xml:space="preserve"> Regulation </w:t>
      </w:r>
      <w:r w:rsidR="007F5ADF">
        <w:t>20</w:t>
      </w:r>
      <w:r w:rsidR="00610881">
        <w:t>2</w:t>
      </w:r>
      <w:r w:rsidR="004F68AF">
        <w:t>5</w:t>
      </w:r>
      <w:r w:rsidR="007F5ADF">
        <w:t xml:space="preserve"> </w:t>
      </w:r>
      <w:r w:rsidR="00D13F40">
        <w:t>(No 1)</w:t>
      </w:r>
    </w:p>
    <w:p w14:paraId="359E20FB" w14:textId="0FD05BC0" w:rsidR="005D70F1" w:rsidRPr="002F1A2A" w:rsidRDefault="003D1978" w:rsidP="002F1A2A">
      <w:pPr>
        <w:pStyle w:val="Heading2"/>
      </w:pPr>
      <w:r>
        <w:t>Subordinate law SL</w:t>
      </w:r>
      <w:r w:rsidR="00731A98">
        <w:t>202</w:t>
      </w:r>
      <w:r w:rsidR="004F68AF">
        <w:t>5</w:t>
      </w:r>
      <w:r>
        <w:t>–</w:t>
      </w:r>
      <w:r w:rsidR="00357E8F">
        <w:t>17</w:t>
      </w:r>
    </w:p>
    <w:p w14:paraId="0E640ABD" w14:textId="77777777" w:rsidR="005D70F1" w:rsidRDefault="005D70F1">
      <w:pPr>
        <w:pStyle w:val="madeunder"/>
        <w:spacing w:before="240" w:after="120"/>
      </w:pPr>
      <w:r>
        <w:t xml:space="preserve">made under the  </w:t>
      </w:r>
    </w:p>
    <w:p w14:paraId="46D73697" w14:textId="02EA69AB" w:rsidR="00610881" w:rsidRDefault="003D1978">
      <w:pPr>
        <w:pStyle w:val="CoverActName"/>
        <w:rPr>
          <w:rFonts w:cs="Arial"/>
          <w:sz w:val="20"/>
        </w:rPr>
      </w:pPr>
      <w:r>
        <w:rPr>
          <w:rFonts w:cs="Arial"/>
          <w:sz w:val="20"/>
        </w:rPr>
        <w:t>Environment Protection Act 1997</w:t>
      </w:r>
      <w:r w:rsidR="008E1F13">
        <w:rPr>
          <w:rFonts w:cs="Arial"/>
          <w:sz w:val="20"/>
        </w:rPr>
        <w:t>, s 166 (Regulation-making power)</w:t>
      </w:r>
      <w:r w:rsidR="00610881">
        <w:rPr>
          <w:rFonts w:cs="Arial"/>
          <w:sz w:val="20"/>
        </w:rPr>
        <w:t xml:space="preserve"> </w:t>
      </w:r>
    </w:p>
    <w:p w14:paraId="2DC83884" w14:textId="77777777" w:rsidR="005D70F1" w:rsidRPr="002F1A2A" w:rsidRDefault="005D70F1" w:rsidP="002F1A2A">
      <w:pPr>
        <w:pStyle w:val="Heading3"/>
      </w:pPr>
      <w:r w:rsidRPr="002F1A2A">
        <w:t>EXPLANATORY STATEMENT</w:t>
      </w:r>
    </w:p>
    <w:p w14:paraId="752CFD76" w14:textId="77777777" w:rsidR="005D70F1" w:rsidRDefault="005D70F1">
      <w:pPr>
        <w:pStyle w:val="N-line3"/>
        <w:pBdr>
          <w:bottom w:val="none" w:sz="0" w:space="0" w:color="auto"/>
        </w:pBdr>
      </w:pPr>
    </w:p>
    <w:p w14:paraId="5A048C14" w14:textId="77777777" w:rsidR="005D70F1" w:rsidRDefault="005D70F1">
      <w:pPr>
        <w:pStyle w:val="N-line3"/>
        <w:pBdr>
          <w:top w:val="single" w:sz="12" w:space="1" w:color="auto"/>
          <w:bottom w:val="none" w:sz="0" w:space="0" w:color="auto"/>
        </w:pBdr>
      </w:pPr>
    </w:p>
    <w:bookmarkEnd w:id="0"/>
    <w:p w14:paraId="6480F25A" w14:textId="705BD93E" w:rsidR="009364F8" w:rsidRDefault="00550E95" w:rsidP="00B52499">
      <w:pPr>
        <w:spacing w:after="240"/>
        <w:rPr>
          <w:b/>
          <w:bCs/>
        </w:rPr>
      </w:pPr>
      <w:r>
        <w:rPr>
          <w:b/>
          <w:bCs/>
        </w:rPr>
        <w:t>OVERVIEW</w:t>
      </w:r>
    </w:p>
    <w:p w14:paraId="7B7ED0FA" w14:textId="0BCAAA7F" w:rsidR="005D70F1" w:rsidRDefault="003D1978" w:rsidP="00835A16">
      <w:pPr>
        <w:spacing w:after="240"/>
      </w:pPr>
      <w:r>
        <w:t xml:space="preserve">This explanatory statement relates to the </w:t>
      </w:r>
      <w:r>
        <w:rPr>
          <w:i/>
          <w:iCs/>
        </w:rPr>
        <w:t xml:space="preserve">Environment Protection </w:t>
      </w:r>
      <w:r w:rsidR="00D63E65">
        <w:rPr>
          <w:i/>
          <w:iCs/>
        </w:rPr>
        <w:t xml:space="preserve">(Industrial Chemicals) </w:t>
      </w:r>
      <w:r w:rsidR="007F5ADF">
        <w:rPr>
          <w:i/>
          <w:iCs/>
        </w:rPr>
        <w:t xml:space="preserve">Amendment </w:t>
      </w:r>
      <w:r>
        <w:rPr>
          <w:i/>
          <w:iCs/>
        </w:rPr>
        <w:t xml:space="preserve">Regulation </w:t>
      </w:r>
      <w:r w:rsidR="00731A98">
        <w:rPr>
          <w:i/>
          <w:iCs/>
        </w:rPr>
        <w:t>202</w:t>
      </w:r>
      <w:r w:rsidR="004F68AF">
        <w:rPr>
          <w:i/>
          <w:iCs/>
        </w:rPr>
        <w:t>5</w:t>
      </w:r>
      <w:r w:rsidR="00D13F40">
        <w:rPr>
          <w:i/>
          <w:iCs/>
        </w:rPr>
        <w:t xml:space="preserve"> (No 1)</w:t>
      </w:r>
      <w:r w:rsidR="004F4227">
        <w:rPr>
          <w:i/>
          <w:iCs/>
        </w:rPr>
        <w:t xml:space="preserve"> </w:t>
      </w:r>
      <w:r w:rsidR="004F4227">
        <w:t xml:space="preserve">(the </w:t>
      </w:r>
      <w:r w:rsidR="004F4227" w:rsidRPr="00DA6134">
        <w:rPr>
          <w:b/>
          <w:bCs/>
          <w:i/>
          <w:iCs/>
        </w:rPr>
        <w:t>Amendment Regulation</w:t>
      </w:r>
      <w:r w:rsidR="004F4227">
        <w:t>)</w:t>
      </w:r>
      <w:r w:rsidR="00DA6134">
        <w:t xml:space="preserve"> as made by the Executive</w:t>
      </w:r>
      <w:r w:rsidR="007F5ADF" w:rsidRPr="001A09CE">
        <w:rPr>
          <w:i/>
          <w:iCs/>
        </w:rPr>
        <w:t>.</w:t>
      </w:r>
      <w:r>
        <w:rPr>
          <w:i/>
          <w:iCs/>
        </w:rPr>
        <w:t xml:space="preserve"> </w:t>
      </w:r>
      <w:r>
        <w:t xml:space="preserve">It has been prepared </w:t>
      </w:r>
      <w:r w:rsidR="00A044C3">
        <w:t>to</w:t>
      </w:r>
      <w:r>
        <w:t xml:space="preserve"> assist the reader of </w:t>
      </w:r>
      <w:r w:rsidR="00F7215B">
        <w:t xml:space="preserve">the </w:t>
      </w:r>
      <w:r w:rsidR="006E7EE0">
        <w:t>Amendment Regulation</w:t>
      </w:r>
      <w:r w:rsidR="00DA6134">
        <w:t xml:space="preserve"> and to help inform debate on it</w:t>
      </w:r>
      <w:r>
        <w:t>.</w:t>
      </w:r>
      <w:r w:rsidR="00603241">
        <w:t xml:space="preserve"> It does not form part of the </w:t>
      </w:r>
      <w:r w:rsidR="006E7EE0">
        <w:t xml:space="preserve">Amendment Regulation </w:t>
      </w:r>
      <w:r w:rsidR="00603241">
        <w:t xml:space="preserve">and has not been endorsed by the </w:t>
      </w:r>
      <w:r w:rsidR="00DA6134">
        <w:t xml:space="preserve">Legislative </w:t>
      </w:r>
      <w:r w:rsidR="00603241">
        <w:t>Assembly.</w:t>
      </w:r>
    </w:p>
    <w:p w14:paraId="3C7C8D8D" w14:textId="530FCF77" w:rsidR="00603241" w:rsidRDefault="00603241" w:rsidP="00835A16">
      <w:pPr>
        <w:spacing w:after="240"/>
      </w:pPr>
      <w:r>
        <w:t xml:space="preserve">This statement must be read in conjunction with the </w:t>
      </w:r>
      <w:r w:rsidR="006E7EE0">
        <w:t>Amendment Regulation</w:t>
      </w:r>
      <w:r>
        <w:t xml:space="preserve">. It is not, and is not meant to be, a comprehensive description of the </w:t>
      </w:r>
      <w:r w:rsidR="006E7EE0">
        <w:t>Amendment Regulation</w:t>
      </w:r>
      <w:r>
        <w:t xml:space="preserve">. </w:t>
      </w:r>
      <w:r w:rsidR="00DA6134">
        <w:t>What is said about a provision is not to be taken as an authoritative guide to the meaning of a provision, this being a task for the courts.</w:t>
      </w:r>
    </w:p>
    <w:p w14:paraId="3E446D39" w14:textId="12B68D1D" w:rsidR="00996B92" w:rsidRDefault="00996B92" w:rsidP="00835A16">
      <w:pPr>
        <w:spacing w:after="240"/>
      </w:pPr>
      <w:r>
        <w:t xml:space="preserve">The Amendment Regulation is made under s 166 of the </w:t>
      </w:r>
      <w:r w:rsidRPr="00996B92">
        <w:rPr>
          <w:bCs/>
          <w:i/>
        </w:rPr>
        <w:t>Environment Protection Act 1997</w:t>
      </w:r>
      <w:r w:rsidRPr="004F68AF">
        <w:t xml:space="preserve"> (the </w:t>
      </w:r>
      <w:r w:rsidRPr="00DA6134">
        <w:rPr>
          <w:b/>
          <w:bCs/>
          <w:i/>
          <w:iCs/>
        </w:rPr>
        <w:t>EP Act</w:t>
      </w:r>
      <w:r w:rsidRPr="004F68AF">
        <w:t xml:space="preserve">) and </w:t>
      </w:r>
      <w:r>
        <w:t xml:space="preserve">amends </w:t>
      </w:r>
      <w:r w:rsidRPr="004F68AF">
        <w:t xml:space="preserve">the </w:t>
      </w:r>
      <w:r w:rsidRPr="00992E01">
        <w:rPr>
          <w:bCs/>
          <w:i/>
          <w:iCs/>
        </w:rPr>
        <w:t>Environment Protection Regulation 2005</w:t>
      </w:r>
      <w:r w:rsidRPr="004F68AF">
        <w:t xml:space="preserve"> (the </w:t>
      </w:r>
      <w:r w:rsidRPr="00DA6134">
        <w:rPr>
          <w:b/>
          <w:bCs/>
          <w:i/>
          <w:iCs/>
        </w:rPr>
        <w:t>EP Regulation</w:t>
      </w:r>
      <w:r w:rsidRPr="004F68AF">
        <w:t xml:space="preserve">). </w:t>
      </w:r>
    </w:p>
    <w:p w14:paraId="14731705" w14:textId="4D02FE08" w:rsidR="005F5B6D" w:rsidRDefault="005F5B6D" w:rsidP="00B52499">
      <w:pPr>
        <w:spacing w:after="240"/>
        <w:rPr>
          <w:u w:val="single"/>
        </w:rPr>
      </w:pPr>
      <w:r w:rsidRPr="005F5B6D">
        <w:rPr>
          <w:u w:val="single"/>
        </w:rPr>
        <w:t>Background</w:t>
      </w:r>
    </w:p>
    <w:p w14:paraId="02CD89B2" w14:textId="30BBF5E4" w:rsidR="004F68AF" w:rsidRDefault="004F68AF" w:rsidP="00835A16">
      <w:pPr>
        <w:spacing w:after="240"/>
      </w:pPr>
      <w:r w:rsidRPr="004F68AF">
        <w:t>Industrial chemicals are contained in many products in Australia and may be harmful to human health and the environment if they are not managed properly. Understanding where these chemicals come from</w:t>
      </w:r>
      <w:r w:rsidR="00DA6134">
        <w:t xml:space="preserve">, </w:t>
      </w:r>
      <w:r w:rsidRPr="004F68AF">
        <w:t>how they are used, and having effective controls in place, is key to minimis</w:t>
      </w:r>
      <w:r w:rsidR="00DA6134">
        <w:t>ing</w:t>
      </w:r>
      <w:r w:rsidRPr="004F68AF">
        <w:t xml:space="preserve"> chemical pollution. </w:t>
      </w:r>
    </w:p>
    <w:p w14:paraId="4A301EF3" w14:textId="16AF8015" w:rsidR="004F68AF" w:rsidRPr="004F68AF" w:rsidRDefault="004F68AF" w:rsidP="00835A16">
      <w:pPr>
        <w:spacing w:after="240"/>
      </w:pPr>
      <w:r w:rsidRPr="004F68AF">
        <w:t xml:space="preserve">The use of chemicals is regulated by states and territories under their respective legislation. Chemical use is regulated in the ACT under the </w:t>
      </w:r>
      <w:r w:rsidRPr="00493985">
        <w:t>EP Act</w:t>
      </w:r>
      <w:r w:rsidRPr="004F68AF">
        <w:t xml:space="preserve"> and the </w:t>
      </w:r>
      <w:r w:rsidRPr="00493985">
        <w:t>EP Regulation</w:t>
      </w:r>
      <w:r w:rsidRPr="004F68AF">
        <w:t>. This legislation is administered by the Environment Protection Authority (EPA).</w:t>
      </w:r>
    </w:p>
    <w:p w14:paraId="33202ADE" w14:textId="696A2353" w:rsidR="004F68AF" w:rsidRPr="004F68AF" w:rsidRDefault="004F68AF" w:rsidP="00835A16">
      <w:pPr>
        <w:spacing w:after="240"/>
      </w:pPr>
      <w:r w:rsidRPr="004F68AF">
        <w:t xml:space="preserve">The Commonwealth, state and territory governments are working together on the implementation of the </w:t>
      </w:r>
      <w:r w:rsidRPr="00996B92">
        <w:t>Industrial Chemicals Environmental Management Standard</w:t>
      </w:r>
      <w:r w:rsidRPr="004F68AF">
        <w:t xml:space="preserve"> </w:t>
      </w:r>
      <w:r w:rsidRPr="004F68AF">
        <w:lastRenderedPageBreak/>
        <w:t>(</w:t>
      </w:r>
      <w:r w:rsidRPr="00DA6134">
        <w:rPr>
          <w:b/>
          <w:bCs/>
          <w:i/>
          <w:iCs/>
        </w:rPr>
        <w:t>IChEMS</w:t>
      </w:r>
      <w:r w:rsidRPr="004F68AF">
        <w:t xml:space="preserve">). The </w:t>
      </w:r>
      <w:r w:rsidR="00493985" w:rsidRPr="00493985">
        <w:t>IChEMS</w:t>
      </w:r>
      <w:r w:rsidRPr="004F68AF">
        <w:t xml:space="preserve"> is a national approach that will deliver more consistent regulation and strengthen the management of industrial chemicals across all jurisdictions. It aims to improve the way industrial chemicals are used, produced, imported, and disposed. </w:t>
      </w:r>
    </w:p>
    <w:p w14:paraId="74195146" w14:textId="26ACD1C9" w:rsidR="004F68AF" w:rsidRPr="004F68AF" w:rsidRDefault="004F68AF" w:rsidP="00835A16">
      <w:pPr>
        <w:spacing w:after="240"/>
      </w:pPr>
      <w:r w:rsidRPr="004F68AF">
        <w:t xml:space="preserve">The </w:t>
      </w:r>
      <w:r w:rsidRPr="00996B92">
        <w:rPr>
          <w:bCs/>
        </w:rPr>
        <w:t>Australia’s industrial chemicals roadmap - Better environmental management of chemicals</w:t>
      </w:r>
      <w:r w:rsidRPr="004F68AF">
        <w:t xml:space="preserve"> sets out how Australia is delivering the new </w:t>
      </w:r>
      <w:r w:rsidR="00493985" w:rsidRPr="00493985">
        <w:t>IChEMS</w:t>
      </w:r>
      <w:r w:rsidRPr="00493985">
        <w:t xml:space="preserve"> </w:t>
      </w:r>
      <w:r w:rsidRPr="004F68AF">
        <w:t xml:space="preserve">framework. It was released in March 2022, following agreement by all Australian environment ministers. </w:t>
      </w:r>
    </w:p>
    <w:p w14:paraId="0A4FE757" w14:textId="22D68982" w:rsidR="004F68AF" w:rsidRPr="004F68AF" w:rsidRDefault="004F68AF" w:rsidP="00835A16">
      <w:pPr>
        <w:spacing w:after="240"/>
        <w:rPr>
          <w:rStyle w:val="Calibri12"/>
          <w:rFonts w:ascii="Times New Roman" w:hAnsi="Times New Roman"/>
          <w:bCs/>
        </w:rPr>
      </w:pPr>
      <w:r w:rsidRPr="004F68AF">
        <w:t xml:space="preserve">Following the creation of federal legislation, the </w:t>
      </w:r>
      <w:r w:rsidRPr="00992E01">
        <w:rPr>
          <w:bCs/>
          <w:i/>
          <w:iCs/>
        </w:rPr>
        <w:t>Industrial Chemicals Environment Management (Register) Act 2021</w:t>
      </w:r>
      <w:r w:rsidRPr="00996B92">
        <w:rPr>
          <w:bCs/>
        </w:rPr>
        <w:t xml:space="preserve"> (Cwlth)</w:t>
      </w:r>
      <w:r w:rsidR="00057BA3">
        <w:t xml:space="preserve"> (the </w:t>
      </w:r>
      <w:r w:rsidR="00057BA3" w:rsidRPr="008C77FA">
        <w:rPr>
          <w:b/>
          <w:bCs/>
        </w:rPr>
        <w:t>ICEMR Act</w:t>
      </w:r>
      <w:r w:rsidR="00DA6134" w:rsidRPr="008C77FA">
        <w:rPr>
          <w:b/>
          <w:bCs/>
        </w:rPr>
        <w:t xml:space="preserve"> (Cwlth</w:t>
      </w:r>
      <w:r w:rsidR="00DA6134" w:rsidRPr="00DA6134">
        <w:rPr>
          <w:b/>
          <w:bCs/>
          <w:i/>
          <w:iCs/>
        </w:rPr>
        <w:t>)</w:t>
      </w:r>
      <w:r w:rsidR="00057BA3">
        <w:t>)</w:t>
      </w:r>
      <w:r w:rsidRPr="004F68AF">
        <w:t xml:space="preserve">, a national </w:t>
      </w:r>
      <w:r w:rsidR="00493985" w:rsidRPr="00493985">
        <w:t>IChEMS</w:t>
      </w:r>
      <w:r w:rsidRPr="004F68AF">
        <w:t xml:space="preserve"> register was established in December 2022. Scheduling decisions are made under the ICEMR Act </w:t>
      </w:r>
      <w:r w:rsidR="00DA6134">
        <w:t xml:space="preserve">(Cwlth) </w:t>
      </w:r>
      <w:r w:rsidRPr="004F68AF">
        <w:t xml:space="preserve">and </w:t>
      </w:r>
      <w:r w:rsidRPr="004F68AF">
        <w:rPr>
          <w:rStyle w:val="Calibri12"/>
          <w:rFonts w:ascii="Times New Roman" w:hAnsi="Times New Roman"/>
        </w:rPr>
        <w:t xml:space="preserve">include prohibitions, exemptions and risk management measures for each industrial chemical listed on the </w:t>
      </w:r>
      <w:r w:rsidR="00493985" w:rsidRPr="00493985">
        <w:t>IChEMS</w:t>
      </w:r>
      <w:r w:rsidRPr="004F68AF">
        <w:rPr>
          <w:rStyle w:val="Calibri12"/>
          <w:rFonts w:ascii="Times New Roman" w:hAnsi="Times New Roman"/>
        </w:rPr>
        <w:t xml:space="preserve"> Register. </w:t>
      </w:r>
    </w:p>
    <w:p w14:paraId="366AA04A" w14:textId="3A90EDF8" w:rsidR="004F68AF" w:rsidRPr="004F68AF" w:rsidRDefault="004F68AF" w:rsidP="00835A16">
      <w:pPr>
        <w:spacing w:after="240"/>
        <w:rPr>
          <w:bCs/>
        </w:rPr>
      </w:pPr>
      <w:bookmarkStart w:id="2" w:name="_Hlk200714648"/>
      <w:r w:rsidRPr="004F68AF">
        <w:t xml:space="preserve">The </w:t>
      </w:r>
      <w:r w:rsidRPr="00996B92">
        <w:rPr>
          <w:bCs/>
        </w:rPr>
        <w:t>Industrial Chemicals Environmental Management (Register) Instrument 2022</w:t>
      </w:r>
      <w:r w:rsidRPr="004F68AF">
        <w:t xml:space="preserve"> lists industrial chemicals under seven schedules based on their risk category, from lowest to greatest risk to the environment. </w:t>
      </w:r>
      <w:r w:rsidRPr="004F68AF">
        <w:rPr>
          <w:rStyle w:val="Calibri12"/>
          <w:rFonts w:ascii="Times New Roman" w:hAnsi="Times New Roman"/>
        </w:rPr>
        <w:t xml:space="preserve">An </w:t>
      </w:r>
      <w:r w:rsidRPr="00996B92">
        <w:t>Online Register</w:t>
      </w:r>
      <w:r w:rsidRPr="004F68AF">
        <w:rPr>
          <w:rStyle w:val="Calibri12"/>
          <w:rFonts w:ascii="Times New Roman" w:hAnsi="Times New Roman"/>
        </w:rPr>
        <w:t xml:space="preserve"> is available and updated on a regular basis to facilitate access to listed chemicals and scheduling decisions. </w:t>
      </w:r>
    </w:p>
    <w:bookmarkEnd w:id="2"/>
    <w:p w14:paraId="79F00CE8" w14:textId="3FEE320D" w:rsidR="004F4227" w:rsidRDefault="00AC6B92" w:rsidP="00835A16">
      <w:pPr>
        <w:spacing w:after="240"/>
      </w:pPr>
      <w:r>
        <w:t xml:space="preserve">Implementation of these reforms was agreed to by Commonwealth, state and territory </w:t>
      </w:r>
      <w:r w:rsidR="008C77FA">
        <w:t xml:space="preserve">Environment </w:t>
      </w:r>
      <w:r>
        <w:t>Ministers in 2018. The Amendment Regulation</w:t>
      </w:r>
      <w:r w:rsidRPr="004F4227">
        <w:t xml:space="preserve"> implements</w:t>
      </w:r>
      <w:r>
        <w:t xml:space="preserve"> these measures in the ACT.</w:t>
      </w:r>
    </w:p>
    <w:p w14:paraId="4B9104F3" w14:textId="6272E647" w:rsidR="005F5B6D" w:rsidRDefault="004C28D3" w:rsidP="00835A16">
      <w:pPr>
        <w:spacing w:after="240"/>
        <w:rPr>
          <w:u w:val="single"/>
        </w:rPr>
      </w:pPr>
      <w:r>
        <w:rPr>
          <w:u w:val="single"/>
        </w:rPr>
        <w:t xml:space="preserve">Amendments to the </w:t>
      </w:r>
      <w:r w:rsidR="005F5B6D" w:rsidRPr="00992E01">
        <w:rPr>
          <w:i/>
          <w:iCs/>
          <w:u w:val="single"/>
        </w:rPr>
        <w:t>Environment Protection Regulation 2005</w:t>
      </w:r>
    </w:p>
    <w:p w14:paraId="742045F2" w14:textId="2E78F339" w:rsidR="004F68AF" w:rsidRDefault="004F68AF" w:rsidP="00835A16">
      <w:pPr>
        <w:spacing w:after="240"/>
      </w:pPr>
      <w:r>
        <w:t>The Amendment Regulation introduce</w:t>
      </w:r>
      <w:r w:rsidR="00D26AFC">
        <w:t>s</w:t>
      </w:r>
      <w:r>
        <w:t xml:space="preserve"> Part 5A – Industrial Chemicals into the </w:t>
      </w:r>
      <w:r w:rsidR="00D26AFC">
        <w:t xml:space="preserve">EP </w:t>
      </w:r>
      <w:r>
        <w:t xml:space="preserve">Regulation to implement </w:t>
      </w:r>
      <w:r w:rsidR="00493985" w:rsidRPr="00493985">
        <w:t>IChEMS</w:t>
      </w:r>
      <w:r>
        <w:t xml:space="preserve">, including offences related to compliance with </w:t>
      </w:r>
      <w:r w:rsidR="00493985" w:rsidRPr="00493985">
        <w:t>IChEMS</w:t>
      </w:r>
      <w:r w:rsidRPr="00493985">
        <w:t xml:space="preserve"> </w:t>
      </w:r>
      <w:r>
        <w:t>scheduling decisions for industrial chemicals.</w:t>
      </w:r>
    </w:p>
    <w:p w14:paraId="35D46323" w14:textId="65B933F8" w:rsidR="00FD0C5B" w:rsidRDefault="004F68AF" w:rsidP="00835A16">
      <w:pPr>
        <w:spacing w:after="240"/>
      </w:pPr>
      <w:r>
        <w:t xml:space="preserve">More specifically, the Amendment Regulation provides </w:t>
      </w:r>
      <w:r w:rsidR="004D7BDB">
        <w:t>for when</w:t>
      </w:r>
      <w:r>
        <w:t xml:space="preserve"> certain industrial chemicals are taken to cause environmental harm </w:t>
      </w:r>
      <w:r w:rsidR="004D7BDB" w:rsidRPr="004D7BDB">
        <w:t>for the purposes of section 5</w:t>
      </w:r>
      <w:r w:rsidR="00DA6134">
        <w:t> </w:t>
      </w:r>
      <w:r w:rsidR="004D7BDB" w:rsidRPr="004D7BDB">
        <w:t xml:space="preserve">(b) of the </w:t>
      </w:r>
      <w:r w:rsidR="00D26AFC">
        <w:t xml:space="preserve">EP </w:t>
      </w:r>
      <w:r w:rsidR="004D7BDB" w:rsidRPr="004D7BDB">
        <w:t>Act</w:t>
      </w:r>
      <w:r w:rsidR="004D7BDB">
        <w:t>. I</w:t>
      </w:r>
      <w:r w:rsidR="00C7464E">
        <w:t>n</w:t>
      </w:r>
      <w:r w:rsidR="004D7BDB">
        <w:t xml:space="preserve"> addition, it provides </w:t>
      </w:r>
      <w:r>
        <w:t>that a person must comply with prohibitions, restrictions and other risk management measures</w:t>
      </w:r>
      <w:r w:rsidR="00161939">
        <w:t>,</w:t>
      </w:r>
      <w:r>
        <w:t xml:space="preserve"> </w:t>
      </w:r>
      <w:r w:rsidR="00161939">
        <w:t xml:space="preserve">including the </w:t>
      </w:r>
      <w:r w:rsidR="00493985" w:rsidRPr="00493985">
        <w:t>IChEMS</w:t>
      </w:r>
      <w:r w:rsidR="00161939">
        <w:t xml:space="preserve"> Minimum Standards, </w:t>
      </w:r>
      <w:r>
        <w:t xml:space="preserve">specified in an </w:t>
      </w:r>
      <w:r w:rsidR="00493985" w:rsidRPr="00493985">
        <w:t>IChEMS</w:t>
      </w:r>
      <w:r>
        <w:t xml:space="preserve"> scheduling decision for the manufacture or the end use of an industrial chemical, or an article or product containing an industrial chemical.</w:t>
      </w:r>
    </w:p>
    <w:p w14:paraId="6EA1FF96" w14:textId="55D2CEDD" w:rsidR="00F24717" w:rsidRPr="00C7464E" w:rsidRDefault="00F24717">
      <w:r w:rsidRPr="00C7464E">
        <w:t xml:space="preserve">The </w:t>
      </w:r>
      <w:r w:rsidR="00251265" w:rsidRPr="00C7464E">
        <w:t>Amendment Regulation</w:t>
      </w:r>
      <w:r w:rsidR="005E2879" w:rsidRPr="00C7464E">
        <w:t>:</w:t>
      </w:r>
    </w:p>
    <w:p w14:paraId="7DD0AAC9" w14:textId="7472A5CD" w:rsidR="0004739C" w:rsidRPr="00C7464E" w:rsidRDefault="00132EF6" w:rsidP="00F24717">
      <w:pPr>
        <w:numPr>
          <w:ilvl w:val="0"/>
          <w:numId w:val="9"/>
        </w:numPr>
      </w:pPr>
      <w:r w:rsidRPr="00C7464E">
        <w:t>insert</w:t>
      </w:r>
      <w:r w:rsidR="00251265" w:rsidRPr="00C7464E">
        <w:t>s</w:t>
      </w:r>
      <w:r w:rsidRPr="00C7464E">
        <w:t xml:space="preserve"> </w:t>
      </w:r>
      <w:r w:rsidR="005F5B6D" w:rsidRPr="00C7464E">
        <w:t>n</w:t>
      </w:r>
      <w:r w:rsidR="00F14EC7" w:rsidRPr="00C7464E">
        <w:t xml:space="preserve">ew </w:t>
      </w:r>
      <w:r w:rsidR="00DE29CC" w:rsidRPr="00C7464E">
        <w:t>definitions.</w:t>
      </w:r>
    </w:p>
    <w:p w14:paraId="68796935" w14:textId="22F0F1D3" w:rsidR="00C7464E" w:rsidRPr="008206B7" w:rsidRDefault="00C7464E" w:rsidP="00C7464E">
      <w:pPr>
        <w:numPr>
          <w:ilvl w:val="0"/>
          <w:numId w:val="9"/>
        </w:numPr>
      </w:pPr>
      <w:r w:rsidRPr="00C7464E">
        <w:t xml:space="preserve">inserts new provisions in relation to circumstances when certain industrial </w:t>
      </w:r>
      <w:r w:rsidRPr="008206B7">
        <w:t xml:space="preserve">chemicals are taken to cause environmental </w:t>
      </w:r>
      <w:r w:rsidR="00DE29CC" w:rsidRPr="008206B7">
        <w:t>harm.</w:t>
      </w:r>
    </w:p>
    <w:p w14:paraId="5D7A483B" w14:textId="10C0AEC6" w:rsidR="009E15C9" w:rsidRPr="008206B7" w:rsidRDefault="00F8017B" w:rsidP="008C39ED">
      <w:pPr>
        <w:numPr>
          <w:ilvl w:val="0"/>
          <w:numId w:val="9"/>
        </w:numPr>
      </w:pPr>
      <w:r w:rsidRPr="008206B7">
        <w:t>insert</w:t>
      </w:r>
      <w:r w:rsidR="00251265" w:rsidRPr="008206B7">
        <w:t>s</w:t>
      </w:r>
      <w:r w:rsidRPr="008206B7">
        <w:t xml:space="preserve"> </w:t>
      </w:r>
      <w:r w:rsidR="00217E69" w:rsidRPr="008206B7">
        <w:t xml:space="preserve">new </w:t>
      </w:r>
      <w:r w:rsidRPr="008206B7">
        <w:t xml:space="preserve">provisions referring to </w:t>
      </w:r>
      <w:r w:rsidR="00C7464E" w:rsidRPr="008206B7">
        <w:t xml:space="preserve">compliance with </w:t>
      </w:r>
      <w:r w:rsidR="00493985" w:rsidRPr="00493985">
        <w:t>IChEMS</w:t>
      </w:r>
      <w:r w:rsidR="00C7464E" w:rsidRPr="008206B7">
        <w:t xml:space="preserve"> scheduling decisions for industrial </w:t>
      </w:r>
      <w:r w:rsidR="00DE29CC" w:rsidRPr="008206B7">
        <w:t>chemicals.</w:t>
      </w:r>
    </w:p>
    <w:p w14:paraId="3696019E" w14:textId="0BA100A0" w:rsidR="00551B37" w:rsidRDefault="005D1A48" w:rsidP="008206B7">
      <w:pPr>
        <w:numPr>
          <w:ilvl w:val="0"/>
          <w:numId w:val="9"/>
        </w:numPr>
      </w:pPr>
      <w:r w:rsidRPr="008206B7">
        <w:t>create</w:t>
      </w:r>
      <w:r w:rsidR="00251265" w:rsidRPr="008206B7">
        <w:t>s</w:t>
      </w:r>
      <w:r w:rsidRPr="008206B7">
        <w:t xml:space="preserve"> </w:t>
      </w:r>
      <w:r w:rsidR="008206B7" w:rsidRPr="008206B7">
        <w:t xml:space="preserve">a </w:t>
      </w:r>
      <w:r w:rsidRPr="008206B7">
        <w:t xml:space="preserve">new </w:t>
      </w:r>
      <w:r w:rsidR="00057BA3">
        <w:t xml:space="preserve">strict liability </w:t>
      </w:r>
      <w:r w:rsidRPr="008206B7">
        <w:t xml:space="preserve">offence in relation to </w:t>
      </w:r>
      <w:r w:rsidR="008206B7" w:rsidRPr="008206B7">
        <w:t xml:space="preserve">engaging in conduct that contravenes an </w:t>
      </w:r>
      <w:r w:rsidR="00493985" w:rsidRPr="00493985">
        <w:t>IChEMS</w:t>
      </w:r>
      <w:r w:rsidR="008206B7" w:rsidRPr="00493985">
        <w:t xml:space="preserve"> </w:t>
      </w:r>
      <w:r w:rsidR="008206B7" w:rsidRPr="008206B7">
        <w:t>scheduling decision</w:t>
      </w:r>
      <w:r w:rsidR="00161939">
        <w:t xml:space="preserve">, other than the </w:t>
      </w:r>
      <w:r w:rsidR="00493985" w:rsidRPr="00493985">
        <w:t>IChEMS</w:t>
      </w:r>
      <w:r w:rsidR="00161939">
        <w:t xml:space="preserve"> Minimum Standards</w:t>
      </w:r>
      <w:r w:rsidR="008206B7" w:rsidRPr="008206B7">
        <w:t xml:space="preserve">. </w:t>
      </w:r>
    </w:p>
    <w:p w14:paraId="25821521" w14:textId="6AD24FFA" w:rsidR="00057BA3" w:rsidRDefault="00057BA3" w:rsidP="008206B7">
      <w:pPr>
        <w:numPr>
          <w:ilvl w:val="0"/>
          <w:numId w:val="9"/>
        </w:numPr>
      </w:pPr>
      <w:r w:rsidRPr="008206B7">
        <w:t xml:space="preserve">creates a new offence in relation to engaging in conduct that contravenes </w:t>
      </w:r>
      <w:r>
        <w:t>the</w:t>
      </w:r>
      <w:r w:rsidRPr="008206B7">
        <w:t xml:space="preserve"> </w:t>
      </w:r>
      <w:r w:rsidR="00493985" w:rsidRPr="00493985">
        <w:t>IChEMS</w:t>
      </w:r>
      <w:r w:rsidRPr="008206B7">
        <w:t xml:space="preserve"> </w:t>
      </w:r>
      <w:r>
        <w:t>Minimum Standards</w:t>
      </w:r>
      <w:r w:rsidRPr="008206B7">
        <w:t>.</w:t>
      </w:r>
    </w:p>
    <w:p w14:paraId="746F701B" w14:textId="0B7E3636" w:rsidR="00E42248" w:rsidRDefault="00E42248" w:rsidP="008206B7">
      <w:pPr>
        <w:numPr>
          <w:ilvl w:val="0"/>
          <w:numId w:val="9"/>
        </w:numPr>
      </w:pPr>
      <w:r>
        <w:t>inserts new provisions referring to exceptions to the new offence</w:t>
      </w:r>
      <w:r w:rsidR="00057BA3">
        <w:t>s</w:t>
      </w:r>
      <w:r>
        <w:t xml:space="preserve">. </w:t>
      </w:r>
    </w:p>
    <w:p w14:paraId="3F545EDF" w14:textId="77777777" w:rsidR="0003383C" w:rsidRDefault="0003383C" w:rsidP="0003383C"/>
    <w:p w14:paraId="747E68F5" w14:textId="094A35F0" w:rsidR="0003383C" w:rsidRPr="008206B7" w:rsidRDefault="0003383C" w:rsidP="0003383C">
      <w:bookmarkStart w:id="3" w:name="_Hlk200964864"/>
      <w:r>
        <w:t>The</w:t>
      </w:r>
      <w:r w:rsidR="00C01E65">
        <w:t>se</w:t>
      </w:r>
      <w:r>
        <w:t xml:space="preserve"> amendment</w:t>
      </w:r>
      <w:r w:rsidR="00C01E65">
        <w:t>s</w:t>
      </w:r>
      <w:r>
        <w:t xml:space="preserve"> mean that future additions to the </w:t>
      </w:r>
      <w:r w:rsidR="00493985" w:rsidRPr="00493985">
        <w:t>IChEMS</w:t>
      </w:r>
      <w:r>
        <w:t xml:space="preserve"> Register will automatically be regulated under the ACT EP legislation, without the need for further amendments. </w:t>
      </w:r>
    </w:p>
    <w:bookmarkEnd w:id="3"/>
    <w:p w14:paraId="5DD7D12F" w14:textId="7C6765CD" w:rsidR="009364F8" w:rsidRDefault="009364F8" w:rsidP="009364F8"/>
    <w:p w14:paraId="299A18D3" w14:textId="70020C0B" w:rsidR="00011D8E" w:rsidRDefault="00550E95" w:rsidP="00835A16">
      <w:pPr>
        <w:spacing w:after="240"/>
      </w:pPr>
      <w:r>
        <w:rPr>
          <w:b/>
          <w:bCs/>
        </w:rPr>
        <w:t>CONSULTATION</w:t>
      </w:r>
    </w:p>
    <w:p w14:paraId="73317AB9" w14:textId="2D94B736" w:rsidR="00057BA3" w:rsidRDefault="00057BA3" w:rsidP="00835A16">
      <w:pPr>
        <w:spacing w:after="240"/>
      </w:pPr>
      <w:r w:rsidRPr="00057BA3">
        <w:t xml:space="preserve">Implementation of </w:t>
      </w:r>
      <w:r w:rsidR="00493985" w:rsidRPr="00493985">
        <w:t>IChEMS</w:t>
      </w:r>
      <w:r w:rsidRPr="00057BA3">
        <w:t xml:space="preserve"> is a joint initiative between the Commonwealth, state and territory governments. </w:t>
      </w:r>
      <w:r w:rsidR="00493985" w:rsidRPr="00493985">
        <w:t>IChEMS</w:t>
      </w:r>
      <w:r w:rsidRPr="00057BA3">
        <w:t xml:space="preserve"> and the associated Commonwealth legislation ha</w:t>
      </w:r>
      <w:r w:rsidR="002B51A4">
        <w:t>ve</w:t>
      </w:r>
      <w:r w:rsidRPr="00057BA3">
        <w:t xml:space="preserve"> been subject to extensive national public and stakeholder consultation.</w:t>
      </w:r>
    </w:p>
    <w:p w14:paraId="0FA76981" w14:textId="5FCFF5B8" w:rsidR="002B51A4" w:rsidRDefault="002B51A4" w:rsidP="00835A16">
      <w:pPr>
        <w:spacing w:after="240"/>
      </w:pPr>
      <w:r w:rsidRPr="002B51A4">
        <w:t>Th</w:t>
      </w:r>
      <w:r w:rsidR="00161939">
        <w:t>e</w:t>
      </w:r>
      <w:r w:rsidRPr="002B51A4">
        <w:t xml:space="preserve"> </w:t>
      </w:r>
      <w:r w:rsidR="00493985" w:rsidRPr="00493985">
        <w:t>IChEMS</w:t>
      </w:r>
      <w:r w:rsidRPr="00493985">
        <w:t xml:space="preserve"> </w:t>
      </w:r>
      <w:r w:rsidRPr="002B51A4">
        <w:t xml:space="preserve">roadmap introduces industry, non-government organisations and the public to </w:t>
      </w:r>
      <w:r w:rsidR="00493985" w:rsidRPr="00493985">
        <w:t>IChEMS</w:t>
      </w:r>
      <w:r w:rsidRPr="002B51A4">
        <w:t>. It sets out actions governments are taking as part of a nationwide approach to managing industrial chemicals.</w:t>
      </w:r>
    </w:p>
    <w:p w14:paraId="619484EB" w14:textId="31A60F8E" w:rsidR="002B51A4" w:rsidRDefault="002B51A4" w:rsidP="002B51A4">
      <w:pPr>
        <w:spacing w:after="240"/>
      </w:pPr>
      <w:r>
        <w:t xml:space="preserve">An </w:t>
      </w:r>
      <w:r w:rsidRPr="00493985">
        <w:t>Advisory Committee on the Environmental Management of Industrial Chemicals</w:t>
      </w:r>
      <w:r>
        <w:t xml:space="preserve"> (</w:t>
      </w:r>
      <w:r w:rsidR="00493985" w:rsidRPr="00493985">
        <w:t>IChEMS</w:t>
      </w:r>
      <w:r>
        <w:t xml:space="preserve"> Advisory Committee) was established under the ICEMR Act </w:t>
      </w:r>
      <w:r w:rsidR="00550E95">
        <w:t xml:space="preserve">(Cwlth) </w:t>
      </w:r>
      <w:r>
        <w:t>to provide expert advice to the Environment Minister</w:t>
      </w:r>
      <w:r w:rsidR="008C77FA">
        <w:t xml:space="preserve"> (Cwlth)</w:t>
      </w:r>
      <w:r>
        <w:t xml:space="preserve"> on industrial chemicals regulatory scheduling decisions. It also provides advice on the register and the decision-making principles under the ICEMR Act</w:t>
      </w:r>
      <w:r w:rsidR="00550E95">
        <w:t xml:space="preserve"> (Cwlth)</w:t>
      </w:r>
      <w:r>
        <w:t xml:space="preserve">. In its advice, the </w:t>
      </w:r>
      <w:r w:rsidR="00493985" w:rsidRPr="00493985">
        <w:t>IChEMS</w:t>
      </w:r>
      <w:r w:rsidRPr="00493985">
        <w:t xml:space="preserve"> </w:t>
      </w:r>
      <w:r>
        <w:t>Advisory Committee considers a broad range of factors, such as:</w:t>
      </w:r>
    </w:p>
    <w:p w14:paraId="5F73BF84" w14:textId="77777777" w:rsidR="002B51A4" w:rsidRDefault="002B51A4" w:rsidP="002B51A4">
      <w:pPr>
        <w:pStyle w:val="ListParagraph"/>
        <w:numPr>
          <w:ilvl w:val="0"/>
          <w:numId w:val="21"/>
        </w:numPr>
        <w:spacing w:after="240"/>
      </w:pPr>
      <w:r>
        <w:t>whether there is an essential use of the chemical in Australia</w:t>
      </w:r>
    </w:p>
    <w:p w14:paraId="768721A3" w14:textId="77777777" w:rsidR="002B51A4" w:rsidRDefault="002B51A4" w:rsidP="002B51A4">
      <w:pPr>
        <w:pStyle w:val="ListParagraph"/>
        <w:numPr>
          <w:ilvl w:val="0"/>
          <w:numId w:val="21"/>
        </w:numPr>
        <w:spacing w:after="240"/>
      </w:pPr>
      <w:r>
        <w:t>whether there are viable alternatives</w:t>
      </w:r>
    </w:p>
    <w:p w14:paraId="1F04F07A" w14:textId="39225FA1" w:rsidR="002B51A4" w:rsidRPr="00011D8E" w:rsidRDefault="002B51A4" w:rsidP="002B51A4">
      <w:pPr>
        <w:pStyle w:val="ListParagraph"/>
        <w:numPr>
          <w:ilvl w:val="0"/>
          <w:numId w:val="21"/>
        </w:numPr>
        <w:spacing w:after="240"/>
      </w:pPr>
      <w:r>
        <w:t>the social or economic impacts of restricting or prohibiting the use of the chemical in Australia.</w:t>
      </w:r>
    </w:p>
    <w:p w14:paraId="115AE44E" w14:textId="4B6D985C" w:rsidR="00524B25" w:rsidRPr="00F00F15" w:rsidRDefault="00F1358B" w:rsidP="00835A16">
      <w:pPr>
        <w:spacing w:after="240"/>
        <w:rPr>
          <w:b/>
          <w:bCs/>
        </w:rPr>
      </w:pPr>
      <w:r>
        <w:rPr>
          <w:b/>
          <w:bCs/>
        </w:rPr>
        <w:t>COSTS AND BENEFITS</w:t>
      </w:r>
    </w:p>
    <w:p w14:paraId="3AD4055A" w14:textId="4062F51C" w:rsidR="009208A4" w:rsidRDefault="009208A4" w:rsidP="009208A4">
      <w:pPr>
        <w:spacing w:after="240"/>
      </w:pPr>
      <w:r>
        <w:t xml:space="preserve">A regulatory impact statement (a </w:t>
      </w:r>
      <w:r w:rsidRPr="00992E01">
        <w:rPr>
          <w:b/>
          <w:bCs/>
          <w:i/>
          <w:iCs/>
        </w:rPr>
        <w:t>RIS</w:t>
      </w:r>
      <w:r>
        <w:t xml:space="preserve">) has been prepared to accompany this regulation, in accordance with the requirements set out in section 35 of the </w:t>
      </w:r>
      <w:r w:rsidRPr="00992E01">
        <w:rPr>
          <w:i/>
          <w:iCs/>
        </w:rPr>
        <w:t>Legislation Act 2001</w:t>
      </w:r>
      <w:r>
        <w:t>.</w:t>
      </w:r>
    </w:p>
    <w:p w14:paraId="368B04D9" w14:textId="72DE1373" w:rsidR="00C949C5" w:rsidRDefault="009208A4" w:rsidP="009208A4">
      <w:pPr>
        <w:spacing w:after="240"/>
      </w:pPr>
      <w:r>
        <w:t>The RIS presents a detailed analysis of potential costs and benefits of the Amendment Regulation on part of the community.</w:t>
      </w:r>
    </w:p>
    <w:p w14:paraId="6CF87AFC" w14:textId="15F31326" w:rsidR="00F00F15" w:rsidRDefault="008714D2" w:rsidP="00B52499">
      <w:pPr>
        <w:spacing w:after="240"/>
        <w:rPr>
          <w:b/>
          <w:bCs/>
        </w:rPr>
      </w:pPr>
      <w:r>
        <w:rPr>
          <w:b/>
          <w:bCs/>
        </w:rPr>
        <w:t>OFFENCES AND PENALTIES</w:t>
      </w:r>
    </w:p>
    <w:p w14:paraId="2B49CBC6" w14:textId="30595186" w:rsidR="00101D25" w:rsidRDefault="009E288E" w:rsidP="00835A16">
      <w:pPr>
        <w:spacing w:after="240"/>
      </w:pPr>
      <w:r>
        <w:t xml:space="preserve">The Amendment Regulation </w:t>
      </w:r>
      <w:r w:rsidR="00F14EC7" w:rsidRPr="00101D25">
        <w:t>introduce</w:t>
      </w:r>
      <w:r w:rsidR="00E42248">
        <w:t>s</w:t>
      </w:r>
      <w:r w:rsidR="00835A16">
        <w:t xml:space="preserve"> a</w:t>
      </w:r>
      <w:r w:rsidR="00F14EC7" w:rsidRPr="00101D25">
        <w:t xml:space="preserve"> new </w:t>
      </w:r>
      <w:r w:rsidR="003B7DF9" w:rsidRPr="00101D25">
        <w:t xml:space="preserve">strict liability </w:t>
      </w:r>
      <w:r w:rsidR="00F00F15" w:rsidRPr="00101D25">
        <w:t xml:space="preserve">offence </w:t>
      </w:r>
      <w:r w:rsidR="003B7DF9" w:rsidRPr="00101D25">
        <w:t>related to the</w:t>
      </w:r>
      <w:r w:rsidR="003B7DF9">
        <w:t xml:space="preserve"> </w:t>
      </w:r>
      <w:r w:rsidR="00835A16">
        <w:t xml:space="preserve">manufacture, end use and </w:t>
      </w:r>
      <w:r w:rsidR="00835A16" w:rsidRPr="00835A16">
        <w:t>risk management measure</w:t>
      </w:r>
      <w:r w:rsidR="00835A16">
        <w:t>s</w:t>
      </w:r>
      <w:r w:rsidR="00835A16" w:rsidRPr="00835A16">
        <w:t xml:space="preserve"> for an industrial chemical</w:t>
      </w:r>
      <w:r w:rsidR="00835A16">
        <w:t xml:space="preserve">; and to the manufacture, use and </w:t>
      </w:r>
      <w:r w:rsidR="00835A16" w:rsidRPr="00835A16">
        <w:t>risk management measure</w:t>
      </w:r>
      <w:r w:rsidR="00835A16">
        <w:t>s</w:t>
      </w:r>
      <w:r w:rsidR="00835A16" w:rsidRPr="00835A16">
        <w:t xml:space="preserve"> for </w:t>
      </w:r>
      <w:r w:rsidR="00835A16">
        <w:t xml:space="preserve">an article or product containing an industrial chemical, that are not in accordance with the scheduling decision for the chemical. </w:t>
      </w:r>
      <w:r w:rsidR="00161939">
        <w:t xml:space="preserve">This offence excludes </w:t>
      </w:r>
      <w:r w:rsidR="00EA13B7">
        <w:t xml:space="preserve">non-compliance with the </w:t>
      </w:r>
      <w:r w:rsidR="00493985" w:rsidRPr="00493985">
        <w:t>IChEMS</w:t>
      </w:r>
      <w:r w:rsidR="00EA13B7">
        <w:t xml:space="preserve"> Minimum Standards, which is covered in a separate offence.</w:t>
      </w:r>
    </w:p>
    <w:p w14:paraId="0F6777D2" w14:textId="3B090BA8" w:rsidR="00355ECF" w:rsidRPr="00FC70A7" w:rsidRDefault="00D3573E" w:rsidP="00355ECF">
      <w:pPr>
        <w:spacing w:after="120"/>
      </w:pPr>
      <w:r>
        <w:t>The new</w:t>
      </w:r>
      <w:r w:rsidR="00EA13B7">
        <w:t xml:space="preserve"> strict liability</w:t>
      </w:r>
      <w:r w:rsidR="003B7DF9">
        <w:t xml:space="preserve"> offence </w:t>
      </w:r>
      <w:r w:rsidR="00835A16">
        <w:t>is</w:t>
      </w:r>
      <w:r>
        <w:t xml:space="preserve"> </w:t>
      </w:r>
      <w:r w:rsidR="003B7DF9">
        <w:t xml:space="preserve">subject to a maximum penalty of </w:t>
      </w:r>
      <w:r w:rsidR="00835A16">
        <w:t>2</w:t>
      </w:r>
      <w:r w:rsidR="003B7DF9">
        <w:t>0 penalty units.</w:t>
      </w:r>
      <w:r w:rsidR="00101D25">
        <w:t xml:space="preserve"> </w:t>
      </w:r>
    </w:p>
    <w:p w14:paraId="421826EA" w14:textId="01F67BA9" w:rsidR="00EA13B7" w:rsidRDefault="00EA13B7" w:rsidP="00EA13B7">
      <w:pPr>
        <w:spacing w:after="240"/>
      </w:pPr>
      <w:r>
        <w:t xml:space="preserve">The Amendment Regulation also </w:t>
      </w:r>
      <w:r w:rsidRPr="00101D25">
        <w:t>introduce</w:t>
      </w:r>
      <w:r>
        <w:t>s a</w:t>
      </w:r>
      <w:r w:rsidRPr="00101D25">
        <w:t xml:space="preserve"> new offence </w:t>
      </w:r>
      <w:r>
        <w:t xml:space="preserve">for contravening </w:t>
      </w:r>
      <w:r w:rsidRPr="00EA13B7">
        <w:t xml:space="preserve">a risk management measure applying the </w:t>
      </w:r>
      <w:r w:rsidR="00493985" w:rsidRPr="00493985">
        <w:t>IChEMS</w:t>
      </w:r>
      <w:r w:rsidRPr="00EA13B7">
        <w:t xml:space="preserve"> Minimum Standards</w:t>
      </w:r>
      <w:r>
        <w:t>. T</w:t>
      </w:r>
      <w:r w:rsidRPr="00F76F38">
        <w:t xml:space="preserve">he </w:t>
      </w:r>
      <w:r w:rsidR="00493985" w:rsidRPr="00493985">
        <w:t>IChEMS</w:t>
      </w:r>
      <w:r w:rsidRPr="00F76F38">
        <w:t xml:space="preserve"> Minimum Standards</w:t>
      </w:r>
      <w:r>
        <w:t xml:space="preserve"> are baseline requirements for the environmental management of industrial chemicals, which align with existing environment, health, safety duty of care obligations.</w:t>
      </w:r>
      <w:r w:rsidRPr="00F76F38">
        <w:t xml:space="preserve"> </w:t>
      </w:r>
      <w:r>
        <w:t xml:space="preserve">These </w:t>
      </w:r>
      <w:r w:rsidRPr="00F76F38">
        <w:t xml:space="preserve">baseline requirements </w:t>
      </w:r>
      <w:r>
        <w:t>are well known to industry, and</w:t>
      </w:r>
      <w:r w:rsidRPr="00F76F38">
        <w:t xml:space="preserve"> </w:t>
      </w:r>
      <w:r>
        <w:t xml:space="preserve">it is </w:t>
      </w:r>
      <w:r>
        <w:lastRenderedPageBreak/>
        <w:t>likely that business that deal with industrial chemicals</w:t>
      </w:r>
      <w:r w:rsidRPr="00F76F38">
        <w:t xml:space="preserve"> already meet all or most of the </w:t>
      </w:r>
      <w:r w:rsidR="00493985" w:rsidRPr="00493985">
        <w:t>IChEMS</w:t>
      </w:r>
      <w:r w:rsidRPr="00F76F38">
        <w:t xml:space="preserve"> Minimum Standards.</w:t>
      </w:r>
    </w:p>
    <w:p w14:paraId="5F73BE54" w14:textId="3862D813" w:rsidR="00FA3723" w:rsidRPr="00550E95" w:rsidRDefault="008714D2" w:rsidP="00FA3723">
      <w:pPr>
        <w:pStyle w:val="Heading2"/>
        <w:rPr>
          <w:rFonts w:ascii="Times New Roman" w:hAnsi="Times New Roman" w:cs="Times New Roman"/>
        </w:rPr>
      </w:pPr>
      <w:r w:rsidRPr="00550E95">
        <w:rPr>
          <w:rFonts w:ascii="Times New Roman" w:hAnsi="Times New Roman" w:cs="Times New Roman"/>
        </w:rPr>
        <w:t xml:space="preserve">CONSISTENCY </w:t>
      </w:r>
      <w:r>
        <w:rPr>
          <w:rFonts w:ascii="Times New Roman" w:hAnsi="Times New Roman" w:cs="Times New Roman"/>
        </w:rPr>
        <w:t>W</w:t>
      </w:r>
      <w:r w:rsidRPr="00550E95">
        <w:rPr>
          <w:rFonts w:ascii="Times New Roman" w:hAnsi="Times New Roman" w:cs="Times New Roman"/>
        </w:rPr>
        <w:t>ITH HUMAN RIGHTS</w:t>
      </w:r>
    </w:p>
    <w:p w14:paraId="1210B14C" w14:textId="7F775CB6" w:rsidR="003E4AFB" w:rsidRPr="00B9316A" w:rsidRDefault="00FA3723" w:rsidP="00550E95">
      <w:pPr>
        <w:pStyle w:val="Heading2"/>
      </w:pPr>
      <w:r w:rsidRPr="00B9316A">
        <w:rPr>
          <w:rFonts w:ascii="Times New Roman" w:hAnsi="Times New Roman" w:cs="Times New Roman"/>
        </w:rPr>
        <w:t xml:space="preserve">Rights </w:t>
      </w:r>
      <w:r w:rsidR="003E4AFB" w:rsidRPr="00B9316A">
        <w:rPr>
          <w:rFonts w:ascii="Times New Roman" w:hAnsi="Times New Roman" w:cs="Times New Roman"/>
        </w:rPr>
        <w:t>E</w:t>
      </w:r>
      <w:r w:rsidRPr="00B9316A">
        <w:rPr>
          <w:rFonts w:ascii="Times New Roman" w:hAnsi="Times New Roman" w:cs="Times New Roman"/>
        </w:rPr>
        <w:t>ngaged</w:t>
      </w:r>
    </w:p>
    <w:p w14:paraId="3AA8CEB7" w14:textId="4A3E4A64" w:rsidR="003E4AFB" w:rsidRDefault="003E4AFB" w:rsidP="003E4AFB">
      <w:pPr>
        <w:spacing w:after="240"/>
      </w:pPr>
      <w:r>
        <w:t xml:space="preserve">The </w:t>
      </w:r>
      <w:r w:rsidR="0085172A">
        <w:t xml:space="preserve">Amendment </w:t>
      </w:r>
      <w:r>
        <w:t>Regulation will engage the following rights:</w:t>
      </w:r>
    </w:p>
    <w:p w14:paraId="7B43AB33" w14:textId="4A3A8DF8" w:rsidR="003E4AFB" w:rsidRDefault="003E4AFB" w:rsidP="00FA3723">
      <w:pPr>
        <w:pStyle w:val="ListParagraph"/>
        <w:numPr>
          <w:ilvl w:val="0"/>
          <w:numId w:val="22"/>
        </w:numPr>
        <w:spacing w:after="240"/>
      </w:pPr>
      <w:r>
        <w:t>Section 9 – Right to life (promotes)</w:t>
      </w:r>
    </w:p>
    <w:p w14:paraId="10BB7314" w14:textId="13A1C46D" w:rsidR="00FA3723" w:rsidRDefault="003E4AFB" w:rsidP="00FA3723">
      <w:pPr>
        <w:pStyle w:val="ListParagraph"/>
        <w:numPr>
          <w:ilvl w:val="0"/>
          <w:numId w:val="22"/>
        </w:numPr>
        <w:spacing w:after="240"/>
      </w:pPr>
      <w:r>
        <w:t xml:space="preserve">Section 22 - </w:t>
      </w:r>
      <w:r w:rsidR="00FA3723">
        <w:t>Rights in criminal proceedings (limits)</w:t>
      </w:r>
    </w:p>
    <w:p w14:paraId="1A93CF7E" w14:textId="2638B409" w:rsidR="003E4AFB" w:rsidRDefault="003E4AFB" w:rsidP="00D320C2">
      <w:pPr>
        <w:pStyle w:val="ListParagraph"/>
        <w:numPr>
          <w:ilvl w:val="0"/>
          <w:numId w:val="22"/>
        </w:numPr>
      </w:pPr>
      <w:r>
        <w:t xml:space="preserve">Section 27C - </w:t>
      </w:r>
      <w:r w:rsidR="003F5E92">
        <w:t>R</w:t>
      </w:r>
      <w:r w:rsidR="00FA3723">
        <w:t>ight to a healthy environment (promotes)</w:t>
      </w:r>
      <w:r>
        <w:t>.</w:t>
      </w:r>
    </w:p>
    <w:p w14:paraId="04E2A160" w14:textId="4DAA7777" w:rsidR="003E4AFB" w:rsidRPr="00B9316A" w:rsidRDefault="003E4AFB" w:rsidP="00550E95">
      <w:pPr>
        <w:pStyle w:val="Heading2"/>
        <w:rPr>
          <w:rFonts w:ascii="Times New Roman" w:hAnsi="Times New Roman" w:cs="Times New Roman"/>
        </w:rPr>
      </w:pPr>
      <w:r w:rsidRPr="00B9316A">
        <w:rPr>
          <w:rFonts w:ascii="Times New Roman" w:hAnsi="Times New Roman" w:cs="Times New Roman"/>
        </w:rPr>
        <w:t>Rights Promoted</w:t>
      </w:r>
    </w:p>
    <w:p w14:paraId="7BA199EE" w14:textId="77777777" w:rsidR="00B9316A" w:rsidRPr="00B72669" w:rsidRDefault="00B9316A" w:rsidP="00B9316A">
      <w:pPr>
        <w:pStyle w:val="ListParagraph"/>
        <w:numPr>
          <w:ilvl w:val="0"/>
          <w:numId w:val="24"/>
        </w:numPr>
        <w:spacing w:after="240"/>
        <w:rPr>
          <w:szCs w:val="24"/>
        </w:rPr>
      </w:pPr>
      <w:r>
        <w:rPr>
          <w:i/>
          <w:szCs w:val="24"/>
        </w:rPr>
        <w:t>Right to life</w:t>
      </w:r>
    </w:p>
    <w:p w14:paraId="019B48CF" w14:textId="2F61FFD3" w:rsidR="00B9316A" w:rsidRDefault="00B9316A" w:rsidP="00B9316A">
      <w:pPr>
        <w:spacing w:after="240"/>
      </w:pPr>
      <w:r>
        <w:t xml:space="preserve">The new strict liability offence will promote the right to life under section 9 (1) of the </w:t>
      </w:r>
      <w:r>
        <w:rPr>
          <w:i/>
          <w:iCs/>
        </w:rPr>
        <w:t>Human Rights Act 2004</w:t>
      </w:r>
      <w:r>
        <w:t xml:space="preserve"> </w:t>
      </w:r>
      <w:r w:rsidR="00992E01">
        <w:t xml:space="preserve">(the </w:t>
      </w:r>
      <w:r w:rsidR="00992E01" w:rsidRPr="008C77FA">
        <w:rPr>
          <w:b/>
          <w:bCs/>
        </w:rPr>
        <w:t>HR Act</w:t>
      </w:r>
      <w:r w:rsidR="00992E01">
        <w:t>)</w:t>
      </w:r>
      <w:r w:rsidR="00823A04">
        <w:t>.</w:t>
      </w:r>
      <w:r w:rsidR="00992E01">
        <w:t xml:space="preserve"> </w:t>
      </w:r>
      <w:r w:rsidR="00823A04">
        <w:t>I</w:t>
      </w:r>
      <w:r>
        <w:t>t protects the general conditions of society such as environmental degradation that are of sufficient seriousness as to impact on the right to life.</w:t>
      </w:r>
    </w:p>
    <w:p w14:paraId="3D44DEBA" w14:textId="77777777" w:rsidR="00B9316A" w:rsidRPr="008E539F" w:rsidRDefault="00B9316A" w:rsidP="00B9316A">
      <w:pPr>
        <w:pStyle w:val="ListParagraph"/>
        <w:numPr>
          <w:ilvl w:val="0"/>
          <w:numId w:val="24"/>
        </w:numPr>
        <w:spacing w:after="240"/>
        <w:rPr>
          <w:szCs w:val="24"/>
        </w:rPr>
      </w:pPr>
      <w:r w:rsidRPr="008C39ED">
        <w:t xml:space="preserve"> </w:t>
      </w:r>
      <w:r>
        <w:rPr>
          <w:i/>
          <w:szCs w:val="24"/>
        </w:rPr>
        <w:t>Right to a healthy environment</w:t>
      </w:r>
    </w:p>
    <w:p w14:paraId="162161E3" w14:textId="61402E79" w:rsidR="00B9316A" w:rsidRDefault="00B9316A" w:rsidP="00D320C2">
      <w:r>
        <w:t xml:space="preserve">The new strict liability offence will promote the right to a healthy environment under section 27C (1) of the </w:t>
      </w:r>
      <w:r w:rsidR="00992E01" w:rsidRPr="00992E01">
        <w:t>HR Act</w:t>
      </w:r>
      <w:r w:rsidR="00823A04">
        <w:t>.</w:t>
      </w:r>
      <w:r>
        <w:t xml:space="preserve"> </w:t>
      </w:r>
      <w:r w:rsidR="00823A04">
        <w:t>I</w:t>
      </w:r>
      <w:r>
        <w:t xml:space="preserve">t prevents </w:t>
      </w:r>
      <w:r w:rsidRPr="00B9316A">
        <w:t>environmental harm</w:t>
      </w:r>
      <w:r>
        <w:t>,</w:t>
      </w:r>
      <w:r w:rsidRPr="00B9316A">
        <w:t xml:space="preserve"> including adverse impacts on ecosystems and biodiversit</w:t>
      </w:r>
      <w:r>
        <w:t>y, which could i</w:t>
      </w:r>
      <w:r w:rsidRPr="00B9316A">
        <w:t xml:space="preserve">nterfere with the </w:t>
      </w:r>
      <w:r>
        <w:t xml:space="preserve">right to </w:t>
      </w:r>
      <w:r w:rsidRPr="008E539F">
        <w:t>a clean, healthy and sustainable environment.</w:t>
      </w:r>
    </w:p>
    <w:p w14:paraId="04E390B4" w14:textId="77777777" w:rsidR="003E4AFB" w:rsidRPr="00B9316A" w:rsidRDefault="003E4AFB" w:rsidP="00550E95">
      <w:pPr>
        <w:pStyle w:val="Heading2"/>
        <w:rPr>
          <w:rFonts w:ascii="Times New Roman" w:hAnsi="Times New Roman" w:cs="Times New Roman"/>
        </w:rPr>
      </w:pPr>
      <w:r w:rsidRPr="00B9316A">
        <w:rPr>
          <w:rFonts w:ascii="Times New Roman" w:hAnsi="Times New Roman" w:cs="Times New Roman"/>
        </w:rPr>
        <w:t>Rights Limited</w:t>
      </w:r>
    </w:p>
    <w:p w14:paraId="234D816D" w14:textId="3EE11912" w:rsidR="003E4AFB" w:rsidRPr="00B72669" w:rsidRDefault="003E4AFB" w:rsidP="008E539F">
      <w:pPr>
        <w:pStyle w:val="ListParagraph"/>
        <w:numPr>
          <w:ilvl w:val="0"/>
          <w:numId w:val="26"/>
        </w:numPr>
        <w:spacing w:after="240"/>
        <w:rPr>
          <w:szCs w:val="24"/>
        </w:rPr>
      </w:pPr>
      <w:r w:rsidRPr="00B72669">
        <w:rPr>
          <w:i/>
          <w:szCs w:val="24"/>
        </w:rPr>
        <w:t>Nature of the right and the limitation (s28</w:t>
      </w:r>
      <w:r w:rsidR="008714D2" w:rsidRPr="00B72669">
        <w:rPr>
          <w:i/>
          <w:szCs w:val="24"/>
        </w:rPr>
        <w:t> </w:t>
      </w:r>
      <w:r w:rsidRPr="00B72669">
        <w:rPr>
          <w:i/>
          <w:szCs w:val="24"/>
        </w:rPr>
        <w:t>(a) and (c))</w:t>
      </w:r>
    </w:p>
    <w:p w14:paraId="54EBE196" w14:textId="116C3554" w:rsidR="003E4AFB" w:rsidRDefault="00FA3723" w:rsidP="00FA3723">
      <w:pPr>
        <w:spacing w:after="240"/>
      </w:pPr>
      <w:r>
        <w:t xml:space="preserve">The </w:t>
      </w:r>
      <w:r w:rsidR="003E4AFB">
        <w:t xml:space="preserve">new </w:t>
      </w:r>
      <w:r>
        <w:t>strict liability</w:t>
      </w:r>
      <w:r w:rsidR="003E4AFB">
        <w:t xml:space="preserve"> offence will</w:t>
      </w:r>
      <w:r>
        <w:t xml:space="preserve"> limit the presumption of innocence under section 22 (1) of the </w:t>
      </w:r>
      <w:r w:rsidR="00992E01" w:rsidRPr="00992E01">
        <w:t>HR</w:t>
      </w:r>
      <w:r w:rsidRPr="00992E01">
        <w:t xml:space="preserve"> Act</w:t>
      </w:r>
      <w:r>
        <w:t xml:space="preserve"> because it allows for </w:t>
      </w:r>
      <w:r w:rsidR="003E4AFB">
        <w:t>the imposition of criminal liability</w:t>
      </w:r>
      <w:r>
        <w:t xml:space="preserve"> without the need to prove fault.</w:t>
      </w:r>
      <w:r w:rsidRPr="008C39ED">
        <w:t xml:space="preserve"> </w:t>
      </w:r>
    </w:p>
    <w:p w14:paraId="54423D5C" w14:textId="441EBA05" w:rsidR="00345BC7" w:rsidRDefault="00345BC7" w:rsidP="00D320C2">
      <w:pPr>
        <w:spacing w:after="240"/>
      </w:pPr>
      <w:r>
        <w:t>P</w:t>
      </w:r>
      <w:r w:rsidRPr="00345BC7">
        <w:t xml:space="preserve">ublic authorities </w:t>
      </w:r>
      <w:r>
        <w:t xml:space="preserve">are </w:t>
      </w:r>
      <w:r w:rsidRPr="00345BC7">
        <w:t xml:space="preserve">taking reasonable steps to protect people </w:t>
      </w:r>
      <w:r>
        <w:t xml:space="preserve">by regulating </w:t>
      </w:r>
      <w:r w:rsidRPr="00345BC7">
        <w:t>the manufacture</w:t>
      </w:r>
      <w:r>
        <w:t xml:space="preserve"> and the </w:t>
      </w:r>
      <w:r w:rsidRPr="00345BC7">
        <w:t xml:space="preserve">use </w:t>
      </w:r>
      <w:r>
        <w:t>of</w:t>
      </w:r>
      <w:r w:rsidRPr="00345BC7">
        <w:t xml:space="preserve"> industrial chemical</w:t>
      </w:r>
      <w:r>
        <w:t>s</w:t>
      </w:r>
      <w:r w:rsidRPr="00345BC7">
        <w:t xml:space="preserve"> </w:t>
      </w:r>
      <w:r>
        <w:t>or</w:t>
      </w:r>
      <w:r w:rsidRPr="00345BC7">
        <w:t xml:space="preserve"> an article or product containing an industrial chemical</w:t>
      </w:r>
      <w:r>
        <w:t xml:space="preserve">. </w:t>
      </w:r>
    </w:p>
    <w:p w14:paraId="6DC9985F" w14:textId="6C5E1C8C" w:rsidR="003E4AFB" w:rsidRPr="00B72669" w:rsidRDefault="003E4AFB" w:rsidP="008E539F">
      <w:pPr>
        <w:pStyle w:val="ListParagraph"/>
        <w:numPr>
          <w:ilvl w:val="0"/>
          <w:numId w:val="26"/>
        </w:numPr>
        <w:spacing w:after="240"/>
        <w:rPr>
          <w:i/>
          <w:szCs w:val="24"/>
        </w:rPr>
      </w:pPr>
      <w:r w:rsidRPr="00B72669">
        <w:rPr>
          <w:i/>
          <w:szCs w:val="24"/>
        </w:rPr>
        <w:t>Legitimate purpose (s28</w:t>
      </w:r>
      <w:r w:rsidR="008714D2" w:rsidRPr="00B72669">
        <w:rPr>
          <w:i/>
          <w:szCs w:val="24"/>
        </w:rPr>
        <w:t> </w:t>
      </w:r>
      <w:r w:rsidRPr="00B72669">
        <w:rPr>
          <w:i/>
          <w:szCs w:val="24"/>
        </w:rPr>
        <w:t>(b))</w:t>
      </w:r>
    </w:p>
    <w:p w14:paraId="1C6A7237" w14:textId="7324A346" w:rsidR="00FA3723" w:rsidRDefault="00FA3723" w:rsidP="00FA3723">
      <w:pPr>
        <w:spacing w:after="240"/>
      </w:pPr>
      <w:r>
        <w:t xml:space="preserve">The new strict liability offence is intended to deter people from failing to comply with scheduling decisions for industrial chemicals. The </w:t>
      </w:r>
      <w:r w:rsidR="00493985" w:rsidRPr="00493985">
        <w:t>IChEMS</w:t>
      </w:r>
      <w:r>
        <w:t xml:space="preserve"> are central</w:t>
      </w:r>
      <w:r w:rsidRPr="002249A3">
        <w:t xml:space="preserve"> </w:t>
      </w:r>
      <w:r>
        <w:t>in supporting</w:t>
      </w:r>
      <w:r w:rsidRPr="004D6DF3">
        <w:t xml:space="preserve"> the prevention of serious detriment to </w:t>
      </w:r>
      <w:r>
        <w:t>human health and the environment</w:t>
      </w:r>
      <w:r w:rsidR="003E4AFB">
        <w:t>, in turn supporting the right to a healthy environment</w:t>
      </w:r>
      <w:r w:rsidRPr="004D6DF3">
        <w:t>.</w:t>
      </w:r>
    </w:p>
    <w:p w14:paraId="28ECA966" w14:textId="4A30C25E" w:rsidR="003E4AFB" w:rsidRPr="00B72669" w:rsidRDefault="003E4AFB" w:rsidP="008E539F">
      <w:pPr>
        <w:pStyle w:val="ListParagraph"/>
        <w:numPr>
          <w:ilvl w:val="0"/>
          <w:numId w:val="26"/>
        </w:numPr>
        <w:spacing w:after="240"/>
        <w:rPr>
          <w:i/>
          <w:szCs w:val="24"/>
        </w:rPr>
      </w:pPr>
      <w:r w:rsidRPr="00B72669">
        <w:rPr>
          <w:i/>
          <w:szCs w:val="24"/>
        </w:rPr>
        <w:t>Rational connection between the limitation and the purpose (s28</w:t>
      </w:r>
      <w:r w:rsidR="00301D96" w:rsidRPr="00B72669">
        <w:rPr>
          <w:i/>
          <w:szCs w:val="24"/>
        </w:rPr>
        <w:t> </w:t>
      </w:r>
      <w:r w:rsidRPr="00B72669">
        <w:rPr>
          <w:i/>
          <w:szCs w:val="24"/>
        </w:rPr>
        <w:t>(d))</w:t>
      </w:r>
    </w:p>
    <w:p w14:paraId="3AAC7682" w14:textId="3E2A8E47" w:rsidR="00FA3723" w:rsidRDefault="00FA3723" w:rsidP="00FA3723">
      <w:pPr>
        <w:spacing w:after="240"/>
      </w:pPr>
      <w:r w:rsidRPr="004D6DF3">
        <w:t xml:space="preserve">The use of </w:t>
      </w:r>
      <w:r>
        <w:t xml:space="preserve">a </w:t>
      </w:r>
      <w:r w:rsidRPr="004D6DF3">
        <w:t>strict liability offence is appropriate</w:t>
      </w:r>
      <w:r>
        <w:t xml:space="preserve"> in this case</w:t>
      </w:r>
      <w:r w:rsidRPr="004D6DF3">
        <w:t xml:space="preserve"> because the offence</w:t>
      </w:r>
      <w:r>
        <w:t xml:space="preserve"> only</w:t>
      </w:r>
      <w:r w:rsidRPr="004D6DF3">
        <w:t xml:space="preserve"> appl</w:t>
      </w:r>
      <w:r>
        <w:t>ies</w:t>
      </w:r>
      <w:r w:rsidRPr="004D6DF3">
        <w:t xml:space="preserve"> to </w:t>
      </w:r>
      <w:r>
        <w:t xml:space="preserve">the industrial use of scheduled industrial chemicals or articles or products containing an industrial chemical. It is expected that persons or entities who deal with </w:t>
      </w:r>
      <w:r>
        <w:lastRenderedPageBreak/>
        <w:t>industrial chemicals for industrial purposes, and to which this offence applies, know or ought to know their legal obligations.</w:t>
      </w:r>
      <w:r w:rsidRPr="004D6DF3">
        <w:t xml:space="preserve"> </w:t>
      </w:r>
      <w:r w:rsidR="00345BC7">
        <w:t>There is an assumption of responsibility by the regulated industry.</w:t>
      </w:r>
    </w:p>
    <w:p w14:paraId="253D3539" w14:textId="0FDA5407" w:rsidR="003E4AFB" w:rsidRDefault="003E4AFB" w:rsidP="00FA3723">
      <w:pPr>
        <w:spacing w:after="240"/>
      </w:pPr>
      <w:r w:rsidRPr="00F76F38">
        <w:t xml:space="preserve">The use of strict liability offences in the amendments is consistent with similar existing offences in the </w:t>
      </w:r>
      <w:r>
        <w:t xml:space="preserve">EP </w:t>
      </w:r>
      <w:r w:rsidRPr="00F76F38">
        <w:t>Regulation</w:t>
      </w:r>
      <w:r>
        <w:t xml:space="preserve"> (e.g. agvet chemical products, s55 and s55A of the EP Regulation)</w:t>
      </w:r>
      <w:r w:rsidRPr="00F76F38">
        <w:t xml:space="preserve"> and in comparable regulatory schemes in other jurisdictions.</w:t>
      </w:r>
    </w:p>
    <w:p w14:paraId="24469CE0" w14:textId="3C5B8DDA" w:rsidR="003E4AFB" w:rsidRDefault="003E4AFB" w:rsidP="008E539F">
      <w:pPr>
        <w:pStyle w:val="ListParagraph"/>
        <w:numPr>
          <w:ilvl w:val="0"/>
          <w:numId w:val="26"/>
        </w:numPr>
        <w:spacing w:after="240"/>
      </w:pPr>
      <w:r w:rsidRPr="00B72669">
        <w:rPr>
          <w:i/>
          <w:szCs w:val="24"/>
        </w:rPr>
        <w:t>Proportionality (s28 (e))</w:t>
      </w:r>
    </w:p>
    <w:p w14:paraId="054B1A7E" w14:textId="7EB88F38" w:rsidR="00FA3723" w:rsidRDefault="00FA3723" w:rsidP="00FA3723">
      <w:pPr>
        <w:spacing w:after="240"/>
      </w:pPr>
      <w:r>
        <w:t xml:space="preserve">The strict liability offence </w:t>
      </w:r>
      <w:r w:rsidR="006778C0">
        <w:t xml:space="preserve">is relatively narrow in scope. It </w:t>
      </w:r>
      <w:r>
        <w:t xml:space="preserve">does not apply to a person or an entity contravening </w:t>
      </w:r>
      <w:r w:rsidRPr="00EA13B7">
        <w:t xml:space="preserve">a risk management measure applying the </w:t>
      </w:r>
      <w:r w:rsidR="00493985" w:rsidRPr="00493985">
        <w:t>IChEMS</w:t>
      </w:r>
      <w:r w:rsidRPr="00EA13B7">
        <w:t xml:space="preserve"> Minimum Standards</w:t>
      </w:r>
      <w:r>
        <w:t>. Exceptions also apply to the manufacture and use of an industrial chemical</w:t>
      </w:r>
      <w:r w:rsidRPr="00E42248">
        <w:t xml:space="preserve"> </w:t>
      </w:r>
      <w:r>
        <w:t xml:space="preserve">or an article or product containing an industrial chemical </w:t>
      </w:r>
      <w:r w:rsidRPr="00F76F38">
        <w:t>for purposes that do not include an industrial use by any person</w:t>
      </w:r>
      <w:r>
        <w:t xml:space="preserve">. </w:t>
      </w:r>
    </w:p>
    <w:p w14:paraId="1B623400" w14:textId="236E3D28" w:rsidR="003E4AFB" w:rsidRDefault="003E4AFB" w:rsidP="00FA3723">
      <w:pPr>
        <w:spacing w:after="240"/>
      </w:pPr>
      <w:r>
        <w:t>The penalties are proportionate and reasonable for offences of a regulatory nature.</w:t>
      </w:r>
      <w:r w:rsidRPr="004F4227">
        <w:t xml:space="preserve"> </w:t>
      </w:r>
      <w:r>
        <w:t xml:space="preserve">It </w:t>
      </w:r>
      <w:r w:rsidRPr="00FC70A7">
        <w:t>aligns with the Guide to Framing Offences’ recommendation that offences in subordinate instruments (such as a Regulation) should be no more than 20 penalty units (or 30 penalty units in exceptional cases).</w:t>
      </w:r>
    </w:p>
    <w:p w14:paraId="270A8616" w14:textId="77777777" w:rsidR="00FA3723" w:rsidRDefault="00FA3723" w:rsidP="00FA3723">
      <w:pPr>
        <w:spacing w:after="240"/>
      </w:pPr>
      <w:r w:rsidRPr="00251265">
        <w:t xml:space="preserve">In addition, Section 23 (1) (b) of the </w:t>
      </w:r>
      <w:r w:rsidRPr="00550E95">
        <w:rPr>
          <w:i/>
          <w:iCs/>
        </w:rPr>
        <w:t>Criminal Code 2002</w:t>
      </w:r>
      <w:r w:rsidRPr="00EA13B7">
        <w:t xml:space="preserve"> </w:t>
      </w:r>
      <w:r w:rsidRPr="00251265">
        <w:t xml:space="preserve">(the </w:t>
      </w:r>
      <w:r w:rsidRPr="008C77FA">
        <w:rPr>
          <w:b/>
          <w:bCs/>
        </w:rPr>
        <w:t>Criminal Code</w:t>
      </w:r>
      <w:r w:rsidRPr="00251265">
        <w:t xml:space="preserve">) </w:t>
      </w:r>
      <w:r w:rsidRPr="004F4227">
        <w:t>provides a specific defence to strict liability offences of mistake of fact. Section 23 (3) of the Criminal Code provides that other defences may also be available for strict liability offences, which includes the defence of intervening conduct or event, as provided by section 39 of the</w:t>
      </w:r>
      <w:r w:rsidRPr="00251265">
        <w:t xml:space="preserve"> </w:t>
      </w:r>
      <w:r w:rsidRPr="004F4227">
        <w:t>Criminal</w:t>
      </w:r>
      <w:r w:rsidRPr="00251265">
        <w:t xml:space="preserve"> </w:t>
      </w:r>
      <w:r w:rsidRPr="004F4227">
        <w:t>Code</w:t>
      </w:r>
      <w:r>
        <w:t>.</w:t>
      </w:r>
    </w:p>
    <w:p w14:paraId="3DC36039" w14:textId="1E240C34" w:rsidR="00011D8E" w:rsidRPr="008714D2" w:rsidRDefault="00301D96" w:rsidP="008714D2">
      <w:pPr>
        <w:spacing w:after="240"/>
        <w:rPr>
          <w:b/>
          <w:bCs/>
        </w:rPr>
      </w:pPr>
      <w:r>
        <w:rPr>
          <w:b/>
          <w:bCs/>
        </w:rPr>
        <w:t>SCRUTINY COMMITTEE PRINCIPLES</w:t>
      </w:r>
    </w:p>
    <w:p w14:paraId="6B748DBB" w14:textId="42F7AAB1" w:rsidR="00011D8E" w:rsidRPr="00011D8E" w:rsidRDefault="00011D8E" w:rsidP="008714D2">
      <w:pPr>
        <w:spacing w:after="240"/>
      </w:pPr>
      <w:r>
        <w:t xml:space="preserve">The Amendment Regulation and explanatory statement has been developed in accordance with the </w:t>
      </w:r>
      <w:r w:rsidR="008714D2">
        <w:t xml:space="preserve">Standing </w:t>
      </w:r>
      <w:r>
        <w:t xml:space="preserve">Committee </w:t>
      </w:r>
      <w:r w:rsidR="008714D2">
        <w:t xml:space="preserve">on Legal Affairs (Legislative Scrutiny Role) </w:t>
      </w:r>
      <w:r>
        <w:t>principles and technical and stylistic standards expected by the Assembly.</w:t>
      </w:r>
    </w:p>
    <w:p w14:paraId="0D05B086" w14:textId="77777777" w:rsidR="00B72669" w:rsidRDefault="00B72669" w:rsidP="00B107E8">
      <w:pPr>
        <w:keepNext/>
        <w:keepLines/>
        <w:spacing w:after="240"/>
        <w:rPr>
          <w:b/>
          <w:bCs/>
        </w:rPr>
      </w:pPr>
      <w:r>
        <w:rPr>
          <w:b/>
          <w:bCs/>
        </w:rPr>
        <w:br w:type="page"/>
      </w:r>
    </w:p>
    <w:p w14:paraId="1A663D28" w14:textId="27589981" w:rsidR="00603241" w:rsidRPr="004F4227" w:rsidRDefault="008714D2" w:rsidP="00B107E8">
      <w:pPr>
        <w:keepNext/>
        <w:keepLines/>
        <w:spacing w:after="240"/>
        <w:rPr>
          <w:b/>
          <w:bCs/>
        </w:rPr>
      </w:pPr>
      <w:r w:rsidRPr="004F4227">
        <w:rPr>
          <w:b/>
          <w:bCs/>
        </w:rPr>
        <w:lastRenderedPageBreak/>
        <w:t xml:space="preserve">CLAUSE </w:t>
      </w:r>
      <w:r>
        <w:rPr>
          <w:b/>
          <w:bCs/>
        </w:rPr>
        <w:t>N</w:t>
      </w:r>
      <w:r w:rsidRPr="004F4227">
        <w:rPr>
          <w:b/>
          <w:bCs/>
        </w:rPr>
        <w:t>OTES</w:t>
      </w:r>
    </w:p>
    <w:p w14:paraId="6F22F4B0" w14:textId="5DAD65B7" w:rsidR="00BF6762" w:rsidRPr="006A19E1" w:rsidRDefault="00BF6762" w:rsidP="00B107E8">
      <w:pPr>
        <w:keepNext/>
        <w:keepLines/>
        <w:spacing w:after="240"/>
        <w:rPr>
          <w:b/>
          <w:bCs/>
        </w:rPr>
      </w:pPr>
      <w:r w:rsidRPr="006A19E1">
        <w:rPr>
          <w:b/>
          <w:bCs/>
        </w:rPr>
        <w:t>Clause 1</w:t>
      </w:r>
      <w:r w:rsidRPr="006A19E1">
        <w:rPr>
          <w:b/>
          <w:bCs/>
        </w:rPr>
        <w:tab/>
        <w:t>Name of regulation</w:t>
      </w:r>
    </w:p>
    <w:p w14:paraId="2B11F289" w14:textId="22F24744" w:rsidR="00BF6762" w:rsidRDefault="00BF6762" w:rsidP="00B107E8">
      <w:pPr>
        <w:keepNext/>
        <w:keepLines/>
        <w:spacing w:after="240"/>
      </w:pPr>
      <w:r>
        <w:t xml:space="preserve">This clause names the </w:t>
      </w:r>
      <w:r w:rsidR="00004DB7">
        <w:t>Amendment R</w:t>
      </w:r>
      <w:r>
        <w:t xml:space="preserve">egulation as the </w:t>
      </w:r>
      <w:r w:rsidR="00580E17" w:rsidRPr="00580E17">
        <w:rPr>
          <w:i/>
          <w:iCs/>
        </w:rPr>
        <w:t>Environment Protection (Industrial Chemicals) Amendment Regulation 2025</w:t>
      </w:r>
      <w:r w:rsidR="00D13F40">
        <w:rPr>
          <w:i/>
          <w:iCs/>
        </w:rPr>
        <w:t xml:space="preserve"> (No 1)</w:t>
      </w:r>
      <w:r w:rsidR="00580E17" w:rsidRPr="002800AF">
        <w:rPr>
          <w:i/>
          <w:iCs/>
        </w:rPr>
        <w:t>.</w:t>
      </w:r>
    </w:p>
    <w:p w14:paraId="6A922924" w14:textId="29A5C9E2" w:rsidR="00BF6762" w:rsidRPr="006A19E1" w:rsidRDefault="00BF6762" w:rsidP="00BF6762">
      <w:pPr>
        <w:spacing w:after="240"/>
        <w:rPr>
          <w:b/>
          <w:bCs/>
        </w:rPr>
      </w:pPr>
      <w:r w:rsidRPr="006A19E1">
        <w:rPr>
          <w:b/>
          <w:bCs/>
        </w:rPr>
        <w:t>Clause 2</w:t>
      </w:r>
      <w:r w:rsidRPr="006A19E1">
        <w:rPr>
          <w:b/>
          <w:bCs/>
        </w:rPr>
        <w:tab/>
        <w:t>Commencement</w:t>
      </w:r>
    </w:p>
    <w:p w14:paraId="5361D0A7" w14:textId="49FD3A02" w:rsidR="00BF6762" w:rsidRDefault="00BF6762" w:rsidP="00D430E1">
      <w:pPr>
        <w:spacing w:after="240"/>
      </w:pPr>
      <w:r>
        <w:t xml:space="preserve">This </w:t>
      </w:r>
      <w:r w:rsidR="006A19E1">
        <w:t xml:space="preserve">clause </w:t>
      </w:r>
      <w:r w:rsidR="00875D7D">
        <w:t>provides</w:t>
      </w:r>
      <w:r w:rsidR="006A19E1">
        <w:t xml:space="preserve"> that the </w:t>
      </w:r>
      <w:r w:rsidR="00017C2D">
        <w:t xml:space="preserve">Amendment Regulation </w:t>
      </w:r>
      <w:r>
        <w:t>commences 6 months after its notification day.</w:t>
      </w:r>
    </w:p>
    <w:p w14:paraId="6A8E785F" w14:textId="1F04BC60" w:rsidR="00BF6762" w:rsidRPr="006A19E1" w:rsidRDefault="00875D7D" w:rsidP="00BF6762">
      <w:pPr>
        <w:spacing w:after="240"/>
        <w:rPr>
          <w:b/>
          <w:bCs/>
        </w:rPr>
      </w:pPr>
      <w:r>
        <w:rPr>
          <w:b/>
          <w:bCs/>
        </w:rPr>
        <w:t xml:space="preserve">Clause </w:t>
      </w:r>
      <w:r w:rsidR="00BF6762" w:rsidRPr="006A19E1">
        <w:rPr>
          <w:b/>
          <w:bCs/>
        </w:rPr>
        <w:t>3</w:t>
      </w:r>
      <w:r w:rsidR="00BF6762" w:rsidRPr="006A19E1">
        <w:rPr>
          <w:b/>
          <w:bCs/>
        </w:rPr>
        <w:tab/>
        <w:t>Legislation amended</w:t>
      </w:r>
    </w:p>
    <w:p w14:paraId="5E9A4B76" w14:textId="37451957" w:rsidR="00BF6762" w:rsidRDefault="00BF6762" w:rsidP="00BF6762">
      <w:pPr>
        <w:spacing w:after="240"/>
      </w:pPr>
      <w:r>
        <w:t xml:space="preserve">This </w:t>
      </w:r>
      <w:r w:rsidR="00875D7D">
        <w:t xml:space="preserve">clause provides that the </w:t>
      </w:r>
      <w:r w:rsidR="00017C2D">
        <w:t xml:space="preserve">Amendment Regulation </w:t>
      </w:r>
      <w:r>
        <w:t xml:space="preserve">amends the </w:t>
      </w:r>
      <w:r w:rsidRPr="00875D7D">
        <w:rPr>
          <w:i/>
          <w:iCs/>
        </w:rPr>
        <w:t>Environment Protection Regulation 2005</w:t>
      </w:r>
      <w:r w:rsidR="00B107E8">
        <w:t>.</w:t>
      </w:r>
    </w:p>
    <w:p w14:paraId="26B3DA51" w14:textId="37DDE519" w:rsidR="00BF6762" w:rsidRDefault="00875D7D" w:rsidP="00BF6762">
      <w:pPr>
        <w:spacing w:after="240"/>
        <w:rPr>
          <w:b/>
          <w:bCs/>
        </w:rPr>
      </w:pPr>
      <w:r>
        <w:rPr>
          <w:b/>
          <w:bCs/>
        </w:rPr>
        <w:t xml:space="preserve">Clause </w:t>
      </w:r>
      <w:r w:rsidR="00BF6762" w:rsidRPr="006A19E1">
        <w:rPr>
          <w:b/>
          <w:bCs/>
        </w:rPr>
        <w:t>4</w:t>
      </w:r>
      <w:r w:rsidR="00BF6762" w:rsidRPr="006A19E1">
        <w:rPr>
          <w:b/>
          <w:bCs/>
        </w:rPr>
        <w:tab/>
      </w:r>
      <w:r w:rsidR="004E2E41">
        <w:rPr>
          <w:b/>
          <w:bCs/>
        </w:rPr>
        <w:t>New p</w:t>
      </w:r>
      <w:r w:rsidR="00BF6762" w:rsidRPr="006A19E1">
        <w:rPr>
          <w:b/>
          <w:bCs/>
        </w:rPr>
        <w:t xml:space="preserve">art </w:t>
      </w:r>
      <w:r w:rsidR="00580E17">
        <w:rPr>
          <w:b/>
          <w:bCs/>
        </w:rPr>
        <w:t>5A</w:t>
      </w:r>
    </w:p>
    <w:p w14:paraId="5CCB1590" w14:textId="55DF63AA" w:rsidR="00BF6762" w:rsidRDefault="00875D7D" w:rsidP="00BF6762">
      <w:pPr>
        <w:spacing w:after="240"/>
      </w:pPr>
      <w:r>
        <w:t xml:space="preserve">This clause </w:t>
      </w:r>
      <w:r w:rsidR="00580E17">
        <w:t>inserts</w:t>
      </w:r>
      <w:r>
        <w:t xml:space="preserve"> </w:t>
      </w:r>
      <w:r w:rsidR="00B702DE">
        <w:t xml:space="preserve">a </w:t>
      </w:r>
      <w:r w:rsidR="00083240">
        <w:t xml:space="preserve">new </w:t>
      </w:r>
      <w:r>
        <w:t xml:space="preserve">Part </w:t>
      </w:r>
      <w:r w:rsidR="00580E17">
        <w:t>5A</w:t>
      </w:r>
      <w:r w:rsidR="001B6069">
        <w:t>.</w:t>
      </w:r>
    </w:p>
    <w:p w14:paraId="6CC6F5AC" w14:textId="1770E740" w:rsidR="00AA79CD" w:rsidRDefault="00AB5BF4" w:rsidP="00BF6762">
      <w:pPr>
        <w:spacing w:after="240"/>
      </w:pPr>
      <w:r>
        <w:t>New s</w:t>
      </w:r>
      <w:r w:rsidR="00911F00">
        <w:t>ection 5</w:t>
      </w:r>
      <w:r w:rsidR="00580E17">
        <w:t>2A</w:t>
      </w:r>
      <w:r w:rsidR="00911F00">
        <w:t xml:space="preserve"> </w:t>
      </w:r>
      <w:r w:rsidR="00AA79CD">
        <w:t xml:space="preserve">provides </w:t>
      </w:r>
      <w:r w:rsidR="001B6069">
        <w:t>new</w:t>
      </w:r>
      <w:r w:rsidR="00A66FF0">
        <w:t xml:space="preserve"> </w:t>
      </w:r>
      <w:r w:rsidR="00AA79CD">
        <w:t>definition</w:t>
      </w:r>
      <w:r w:rsidR="00A66FF0">
        <w:t xml:space="preserve">s for </w:t>
      </w:r>
      <w:r w:rsidR="00B702DE">
        <w:t xml:space="preserve">Part 5A as </w:t>
      </w:r>
      <w:r w:rsidR="001B6069">
        <w:t>follow</w:t>
      </w:r>
      <w:r w:rsidR="00B702DE">
        <w:t>s</w:t>
      </w:r>
      <w:r w:rsidR="00AA79CD">
        <w:t>:</w:t>
      </w:r>
    </w:p>
    <w:p w14:paraId="7AC28F80" w14:textId="61CBA629" w:rsidR="00AA79CD" w:rsidRDefault="00580E17" w:rsidP="00AA79CD">
      <w:pPr>
        <w:pStyle w:val="ListParagraph"/>
        <w:numPr>
          <w:ilvl w:val="0"/>
          <w:numId w:val="13"/>
        </w:numPr>
        <w:spacing w:after="240"/>
      </w:pPr>
      <w:r>
        <w:t>end use</w:t>
      </w:r>
    </w:p>
    <w:p w14:paraId="2E40B116" w14:textId="77777777" w:rsidR="00580E17" w:rsidRDefault="00580E17" w:rsidP="00AA79CD">
      <w:pPr>
        <w:pStyle w:val="ListParagraph"/>
        <w:numPr>
          <w:ilvl w:val="0"/>
          <w:numId w:val="13"/>
        </w:numPr>
        <w:spacing w:after="240"/>
      </w:pPr>
      <w:r w:rsidRPr="00580E17">
        <w:t>IChEMS register</w:t>
      </w:r>
    </w:p>
    <w:p w14:paraId="369C32FA" w14:textId="77777777" w:rsidR="00580E17" w:rsidRPr="00580E17" w:rsidRDefault="00580E17" w:rsidP="00AA79CD">
      <w:pPr>
        <w:pStyle w:val="ListParagraph"/>
        <w:numPr>
          <w:ilvl w:val="0"/>
          <w:numId w:val="13"/>
        </w:numPr>
        <w:spacing w:after="240"/>
      </w:pPr>
      <w:r w:rsidRPr="00580E17">
        <w:t xml:space="preserve">IChEMS scheduling decision </w:t>
      </w:r>
    </w:p>
    <w:p w14:paraId="72A54FA2" w14:textId="77777777" w:rsidR="00580E17" w:rsidRPr="00580E17" w:rsidRDefault="00580E17" w:rsidP="00AA79CD">
      <w:pPr>
        <w:pStyle w:val="ListParagraph"/>
        <w:numPr>
          <w:ilvl w:val="0"/>
          <w:numId w:val="13"/>
        </w:numPr>
        <w:spacing w:after="240"/>
      </w:pPr>
      <w:r w:rsidRPr="00580E17">
        <w:t>industrial chemical</w:t>
      </w:r>
    </w:p>
    <w:p w14:paraId="70C1429F" w14:textId="77777777" w:rsidR="00580E17" w:rsidRPr="00580E17" w:rsidRDefault="00580E17" w:rsidP="00D430E1">
      <w:pPr>
        <w:pStyle w:val="ListParagraph"/>
        <w:numPr>
          <w:ilvl w:val="0"/>
          <w:numId w:val="13"/>
        </w:numPr>
        <w:spacing w:after="240"/>
      </w:pPr>
      <w:r w:rsidRPr="00580E17">
        <w:t>industrial use</w:t>
      </w:r>
    </w:p>
    <w:p w14:paraId="50518DCA" w14:textId="77777777" w:rsidR="00F76D06" w:rsidRDefault="00AB5BF4" w:rsidP="00D86485">
      <w:pPr>
        <w:spacing w:after="240"/>
      </w:pPr>
      <w:r>
        <w:t>New s</w:t>
      </w:r>
      <w:r w:rsidR="00D86485">
        <w:t>ection 5</w:t>
      </w:r>
      <w:r w:rsidR="00580E17">
        <w:t>2B</w:t>
      </w:r>
      <w:r w:rsidR="00AA79CD">
        <w:t xml:space="preserve"> </w:t>
      </w:r>
      <w:r w:rsidR="00365FE1">
        <w:t xml:space="preserve">provides </w:t>
      </w:r>
      <w:r w:rsidR="00580E17">
        <w:t xml:space="preserve">that an industrial chemical </w:t>
      </w:r>
      <w:r w:rsidR="00083240">
        <w:t xml:space="preserve">or an </w:t>
      </w:r>
      <w:r w:rsidR="00083240" w:rsidRPr="00083240">
        <w:t xml:space="preserve">article or product containing an industrial chemical </w:t>
      </w:r>
      <w:r w:rsidR="00580E17" w:rsidRPr="00580E17">
        <w:t>listed in the IChEMS register</w:t>
      </w:r>
      <w:r w:rsidR="00083240">
        <w:t>, schedules 6 and 7,</w:t>
      </w:r>
      <w:r w:rsidR="00580E17">
        <w:t xml:space="preserve"> is taken to cause environmental harm if it enters the environment</w:t>
      </w:r>
      <w:r w:rsidR="00083240">
        <w:t xml:space="preserve">, unless it is manufactured or used in </w:t>
      </w:r>
      <w:r w:rsidR="00083240" w:rsidRPr="00083240">
        <w:t>accordance with all applicable IChEMS scheduling decisions for the industrial chemical in the IChEMS register, schedules 6 and 7.</w:t>
      </w:r>
      <w:r w:rsidR="00083240">
        <w:t xml:space="preserve"> </w:t>
      </w:r>
    </w:p>
    <w:p w14:paraId="12754401" w14:textId="68D82589" w:rsidR="00BF6762" w:rsidRDefault="00083240" w:rsidP="00D86485">
      <w:pPr>
        <w:spacing w:after="240"/>
      </w:pPr>
      <w:r>
        <w:t>T</w:t>
      </w:r>
      <w:r w:rsidR="00C1099B">
        <w:t xml:space="preserve">his provision is relevant for determining when certain offences may apply under </w:t>
      </w:r>
      <w:r w:rsidR="00B702DE">
        <w:t xml:space="preserve">new </w:t>
      </w:r>
      <w:r w:rsidR="00C1099B">
        <w:t>section</w:t>
      </w:r>
      <w:r w:rsidR="00580E17">
        <w:t xml:space="preserve"> 52C</w:t>
      </w:r>
      <w:r w:rsidR="00C1099B">
        <w:t xml:space="preserve">. </w:t>
      </w:r>
    </w:p>
    <w:p w14:paraId="0722A005" w14:textId="77777777" w:rsidR="00580E17" w:rsidRDefault="00580E17" w:rsidP="00580E17">
      <w:pPr>
        <w:spacing w:after="240"/>
      </w:pPr>
      <w:r>
        <w:t xml:space="preserve">This section is relevant to provisions under the </w:t>
      </w:r>
      <w:r>
        <w:rPr>
          <w:i/>
          <w:iCs/>
        </w:rPr>
        <w:t>Environment Protection Act 1997</w:t>
      </w:r>
      <w:r>
        <w:t xml:space="preserve"> which make it an offence for a person to pollute the environment causing environmental harm. </w:t>
      </w:r>
    </w:p>
    <w:p w14:paraId="0AFD9BD3" w14:textId="53EAFEDC" w:rsidR="00580E17" w:rsidRDefault="00125230" w:rsidP="00F76D06">
      <w:pPr>
        <w:spacing w:after="240"/>
      </w:pPr>
      <w:r>
        <w:t xml:space="preserve">New section 52C provides for compliance with </w:t>
      </w:r>
      <w:r w:rsidRPr="00125230">
        <w:t>scheduling decisions for industrial chemicals</w:t>
      </w:r>
      <w:r>
        <w:t>.</w:t>
      </w:r>
      <w:r w:rsidR="00977C3B">
        <w:t xml:space="preserve"> It </w:t>
      </w:r>
      <w:r w:rsidR="00F76D06">
        <w:t>provides that a person must comply with an IChEMS scheduling decision that specifies that the manufacture of an industrial chemical or an article or product containing an industrial chemical is prohibited or restricted; or that an end use for an industrial chemical or</w:t>
      </w:r>
      <w:r w:rsidR="00F76D06" w:rsidRPr="00F76D06">
        <w:t xml:space="preserve"> </w:t>
      </w:r>
      <w:r w:rsidR="00F76D06">
        <w:t>of an article or product containing an industrial chemical is prohibited or restricted; or a risk management measure for an industrial chemical or end use of an industrial chemical; or a risk management measure for an article or product containing an industrial chemical.</w:t>
      </w:r>
    </w:p>
    <w:p w14:paraId="0132D12E" w14:textId="2BBEE8B7" w:rsidR="00875F0A" w:rsidRDefault="00875F0A" w:rsidP="00F76D06">
      <w:pPr>
        <w:spacing w:after="240"/>
      </w:pPr>
      <w:r>
        <w:lastRenderedPageBreak/>
        <w:t>T</w:t>
      </w:r>
      <w:r w:rsidRPr="00875F0A">
        <w:t>he </w:t>
      </w:r>
      <w:r w:rsidRPr="00345BC7">
        <w:t>Industrial Chemicals Environmental Management (Register) Instrument 2022</w:t>
      </w:r>
      <w:r w:rsidRPr="00875F0A">
        <w:t> (IChEMS Register)</w:t>
      </w:r>
      <w:r>
        <w:t xml:space="preserve"> establishes a register of scheduling decisions for relevant industrial chemicals under the </w:t>
      </w:r>
      <w:r w:rsidRPr="00345BC7">
        <w:rPr>
          <w:i/>
          <w:iCs/>
        </w:rPr>
        <w:t>Industrial Chemicals Environmental Management (Register) Act 2021</w:t>
      </w:r>
      <w:r>
        <w:t xml:space="preserve">. </w:t>
      </w:r>
    </w:p>
    <w:p w14:paraId="05D4530F" w14:textId="3C230BBF" w:rsidR="00EB066D" w:rsidRDefault="00EB066D" w:rsidP="00EB066D">
      <w:pPr>
        <w:spacing w:after="240"/>
      </w:pPr>
      <w:r>
        <w:t>The Register has 7 Schedules as follows, noting no industrial chemicals have been listed for schedules 4 and 5 at this stage.</w:t>
      </w:r>
    </w:p>
    <w:p w14:paraId="66D1A9EF" w14:textId="6676DC06" w:rsidR="00EB066D" w:rsidRDefault="00EB066D" w:rsidP="00EB066D">
      <w:pPr>
        <w:pStyle w:val="ListParagraph"/>
        <w:numPr>
          <w:ilvl w:val="0"/>
          <w:numId w:val="13"/>
        </w:numPr>
        <w:spacing w:after="240"/>
      </w:pPr>
      <w:r>
        <w:t>Schedule 1—Relevant industrial chemicals that are not appropriate for listing in the other Schedules.</w:t>
      </w:r>
    </w:p>
    <w:p w14:paraId="557D645D" w14:textId="51BE0851" w:rsidR="00EB066D" w:rsidRDefault="00EB066D" w:rsidP="00EB066D">
      <w:pPr>
        <w:pStyle w:val="ListParagraph"/>
        <w:numPr>
          <w:ilvl w:val="0"/>
          <w:numId w:val="13"/>
        </w:numPr>
        <w:spacing w:after="240"/>
      </w:pPr>
      <w:r>
        <w:t>Schedule 2—Relevant industrial chemicals that are unlikely to cause harm to the environment.</w:t>
      </w:r>
    </w:p>
    <w:p w14:paraId="3A9604F7" w14:textId="1914C78D" w:rsidR="00EB066D" w:rsidRDefault="00EB066D" w:rsidP="00EB066D">
      <w:pPr>
        <w:pStyle w:val="ListParagraph"/>
        <w:numPr>
          <w:ilvl w:val="0"/>
          <w:numId w:val="13"/>
        </w:numPr>
        <w:spacing w:after="240"/>
      </w:pPr>
      <w:r>
        <w:t>Schedule 3—Relevant industrial chemicals that have the potential to cause harm to the environment.</w:t>
      </w:r>
    </w:p>
    <w:p w14:paraId="1C6FA662" w14:textId="016F0D4E" w:rsidR="00EB066D" w:rsidRDefault="00EB066D" w:rsidP="00EB066D">
      <w:pPr>
        <w:pStyle w:val="ListParagraph"/>
        <w:numPr>
          <w:ilvl w:val="0"/>
          <w:numId w:val="13"/>
        </w:numPr>
        <w:spacing w:after="240"/>
      </w:pPr>
      <w:r>
        <w:t>Schedule 4—Relevant industrial chemicals that may cause harm to the environment.</w:t>
      </w:r>
    </w:p>
    <w:p w14:paraId="208A36D4" w14:textId="5FE35BFC" w:rsidR="00EB066D" w:rsidRDefault="00EB066D" w:rsidP="00EB066D">
      <w:pPr>
        <w:pStyle w:val="ListParagraph"/>
        <w:numPr>
          <w:ilvl w:val="0"/>
          <w:numId w:val="13"/>
        </w:numPr>
        <w:spacing w:after="240"/>
      </w:pPr>
      <w:r>
        <w:t>Schedule 5—Relevant industrial chemicals that are likely to cause harm to the environment.</w:t>
      </w:r>
    </w:p>
    <w:p w14:paraId="7E27CBA6" w14:textId="77777777" w:rsidR="00EB066D" w:rsidRDefault="00EB066D" w:rsidP="00EB066D">
      <w:pPr>
        <w:pStyle w:val="ListParagraph"/>
        <w:numPr>
          <w:ilvl w:val="0"/>
          <w:numId w:val="13"/>
        </w:numPr>
        <w:spacing w:after="240"/>
      </w:pPr>
      <w:r>
        <w:t>Schedule 6—Relevant industrial chemicals that are likely to cause serious or irreversible harm to the environment with essential uses.</w:t>
      </w:r>
    </w:p>
    <w:p w14:paraId="285AEE25" w14:textId="57BCA8CC" w:rsidR="00EB066D" w:rsidRDefault="00EB066D" w:rsidP="00EB066D">
      <w:pPr>
        <w:pStyle w:val="ListParagraph"/>
        <w:numPr>
          <w:ilvl w:val="0"/>
          <w:numId w:val="13"/>
        </w:numPr>
        <w:spacing w:after="240"/>
      </w:pPr>
      <w:r>
        <w:t>Schedule 7—Relevant industrial chemicals that are likely to cause serious or irreversible harm to the environment with no essential uses.</w:t>
      </w:r>
    </w:p>
    <w:p w14:paraId="011F4640" w14:textId="745DDC87" w:rsidR="00F76D06" w:rsidRDefault="00EB066D" w:rsidP="00F76D06">
      <w:pPr>
        <w:spacing w:after="240"/>
      </w:pPr>
      <w:r w:rsidRPr="00EB066D">
        <w:t xml:space="preserve">IChEMS Minimum Standards </w:t>
      </w:r>
      <w:r>
        <w:t>are part of all schedules and were</w:t>
      </w:r>
      <w:r w:rsidRPr="00EB066D">
        <w:t xml:space="preserve"> agreed to by Commonwealth, State and Territory environmental regulators as published by the </w:t>
      </w:r>
      <w:r w:rsidR="00F6469C">
        <w:t xml:space="preserve">Australian Government’s </w:t>
      </w:r>
      <w:r w:rsidRPr="00EB066D">
        <w:t>Department of Climate Change, Energy, the Environment and Water and as existing from time to time</w:t>
      </w:r>
      <w:r>
        <w:t>.</w:t>
      </w:r>
      <w:r w:rsidR="00875F0A">
        <w:t xml:space="preserve"> </w:t>
      </w:r>
    </w:p>
    <w:p w14:paraId="5CCAA020" w14:textId="457FDF41" w:rsidR="002C0653" w:rsidRDefault="00EB066D" w:rsidP="00F76D06">
      <w:pPr>
        <w:spacing w:after="240"/>
      </w:pPr>
      <w:r>
        <w:t>This provision is relevant for determining when certain offences may apply under section</w:t>
      </w:r>
      <w:r w:rsidR="00977C3B">
        <w:t>s</w:t>
      </w:r>
      <w:r>
        <w:t xml:space="preserve"> 52</w:t>
      </w:r>
      <w:r w:rsidR="00977C3B">
        <w:t>D and 52E</w:t>
      </w:r>
      <w:r>
        <w:t xml:space="preserve"> of the regulation. </w:t>
      </w:r>
    </w:p>
    <w:p w14:paraId="6AE6A480" w14:textId="44D5E54D" w:rsidR="00EB066D" w:rsidRDefault="00EB066D" w:rsidP="00F76D06">
      <w:pPr>
        <w:spacing w:after="240"/>
      </w:pPr>
      <w:r>
        <w:t xml:space="preserve">New </w:t>
      </w:r>
      <w:r w:rsidR="00125230">
        <w:t>sub</w:t>
      </w:r>
      <w:r>
        <w:t>section 52</w:t>
      </w:r>
      <w:r w:rsidR="00977C3B">
        <w:t>D</w:t>
      </w:r>
      <w:r w:rsidR="002C0653">
        <w:t>(1)</w:t>
      </w:r>
      <w:r>
        <w:t xml:space="preserve"> provides that it is a strict liability offence for a person to engage in conduct that contravenes an IChEMS scheduling decision</w:t>
      </w:r>
      <w:r w:rsidR="00977C3B">
        <w:t xml:space="preserve"> mentioned in Section 52C, </w:t>
      </w:r>
      <w:r w:rsidR="00977C3B" w:rsidRPr="00977C3B">
        <w:t>other than a risk management measure applying the IChEMS Minimum Standards</w:t>
      </w:r>
      <w:r>
        <w:t>.</w:t>
      </w:r>
      <w:r w:rsidR="00125230">
        <w:t xml:space="preserve"> It determines tiering penalties according to the schedule the industrial chemical is listed under, accounting for the likelihood and severity of the environmental harm the industrial chemical can cause.</w:t>
      </w:r>
    </w:p>
    <w:p w14:paraId="286E43C3" w14:textId="6CD0EAF6" w:rsidR="00125230" w:rsidRDefault="00125230" w:rsidP="00F76D06">
      <w:pPr>
        <w:spacing w:after="240"/>
      </w:pPr>
      <w:r>
        <w:t>New sections 52</w:t>
      </w:r>
      <w:r w:rsidR="002C0653">
        <w:t>D</w:t>
      </w:r>
      <w:r>
        <w:t>(</w:t>
      </w:r>
      <w:r w:rsidR="002C0653">
        <w:t>2</w:t>
      </w:r>
      <w:r>
        <w:t xml:space="preserve">) provides that an </w:t>
      </w:r>
      <w:r w:rsidRPr="00125230">
        <w:t>exception provided in an IChEMS scheduling decision is taken to be an exception to an offence against subsection</w:t>
      </w:r>
      <w:r>
        <w:t xml:space="preserve"> 52</w:t>
      </w:r>
      <w:r w:rsidR="002C0653">
        <w:t>D(1)</w:t>
      </w:r>
      <w:r>
        <w:t>.</w:t>
      </w:r>
      <w:r w:rsidR="001656A5">
        <w:t xml:space="preserve"> For example, some scheduling decisions include exceptions to the import, export, manufacture and use of certain industrial chemicals for research or laboratory purposes.</w:t>
      </w:r>
    </w:p>
    <w:p w14:paraId="4F15291C" w14:textId="75AAB9FA" w:rsidR="00125230" w:rsidRDefault="00125230" w:rsidP="00F76D06">
      <w:pPr>
        <w:spacing w:after="240"/>
      </w:pPr>
      <w:r>
        <w:t>New subsection 52</w:t>
      </w:r>
      <w:r w:rsidR="002C0653">
        <w:t>D</w:t>
      </w:r>
      <w:r>
        <w:t>(</w:t>
      </w:r>
      <w:r w:rsidR="002C0653">
        <w:t>3</w:t>
      </w:r>
      <w:r>
        <w:t>) provides additional exceptions against subsection 52</w:t>
      </w:r>
      <w:r w:rsidR="002C0653">
        <w:t>C(1)</w:t>
      </w:r>
      <w:r>
        <w:t xml:space="preserve">, more specifically to the manufacture and use of an industrial chemical or an article or product containing an industrial chemical for </w:t>
      </w:r>
      <w:r w:rsidRPr="00125230">
        <w:t>purposes that do not include an industrial use</w:t>
      </w:r>
      <w:r>
        <w:t>.</w:t>
      </w:r>
    </w:p>
    <w:p w14:paraId="0BD0DF01" w14:textId="436C4706" w:rsidR="002C13F5" w:rsidRDefault="002C13F5" w:rsidP="002C13F5">
      <w:pPr>
        <w:spacing w:after="240"/>
      </w:pPr>
      <w:r>
        <w:t>This provision is relevant to ensure the strict liability offence under subsection 52C</w:t>
      </w:r>
      <w:r w:rsidR="002C0653">
        <w:t>(1)</w:t>
      </w:r>
      <w:r>
        <w:t xml:space="preserve"> only applies </w:t>
      </w:r>
      <w:r w:rsidRPr="002C13F5">
        <w:t xml:space="preserve">to the industrial use of scheduled industrial chemicals or articles or </w:t>
      </w:r>
      <w:r w:rsidRPr="002C13F5">
        <w:lastRenderedPageBreak/>
        <w:t>products containing an industrial chemical</w:t>
      </w:r>
      <w:r w:rsidR="002C0653">
        <w:t xml:space="preserve"> i.e., to </w:t>
      </w:r>
      <w:r w:rsidR="002C0653" w:rsidRPr="002C0653">
        <w:t xml:space="preserve">persons or entities </w:t>
      </w:r>
      <w:r w:rsidR="002C0653">
        <w:t>who</w:t>
      </w:r>
      <w:r w:rsidR="002C0653" w:rsidRPr="002C0653">
        <w:t xml:space="preserve"> know or ought to know of their legal obligations</w:t>
      </w:r>
      <w:r>
        <w:t xml:space="preserve">. </w:t>
      </w:r>
    </w:p>
    <w:p w14:paraId="13237D84" w14:textId="75A0479C" w:rsidR="002C0653" w:rsidRDefault="002C0653" w:rsidP="002C0653">
      <w:pPr>
        <w:spacing w:after="240"/>
      </w:pPr>
      <w:r>
        <w:t>New subsection 52E</w:t>
      </w:r>
      <w:r w:rsidR="00992E01">
        <w:t> </w:t>
      </w:r>
      <w:r>
        <w:t>(1) provides that it is an offence for a person to engage in conduct that contravenes an IChEMS scheduling decision mentioned in Section 52C that is</w:t>
      </w:r>
      <w:r w:rsidRPr="00977C3B">
        <w:t xml:space="preserve"> a risk management measure applying the IChEMS Minimum Standards</w:t>
      </w:r>
      <w:r>
        <w:t>. It determines tiering penalties according to the schedule the industrial chemical is listed under, accounting for the likelihood and severity of the environmental harm the industrial chemical can cause.</w:t>
      </w:r>
    </w:p>
    <w:p w14:paraId="05D1A14A" w14:textId="61A2C2A1" w:rsidR="002C0653" w:rsidRDefault="002C0653" w:rsidP="002C0653">
      <w:pPr>
        <w:spacing w:after="240"/>
      </w:pPr>
      <w:r>
        <w:t>New subsection 52E</w:t>
      </w:r>
      <w:r w:rsidR="00992E01">
        <w:t> </w:t>
      </w:r>
      <w:r>
        <w:t>(2) provides exceptions against subsection 52E</w:t>
      </w:r>
      <w:r w:rsidR="00992E01">
        <w:t> </w:t>
      </w:r>
      <w:r>
        <w:t xml:space="preserve">(1), more specifically to the manufacture and use of an industrial chemical or an article or product containing an industrial chemical for </w:t>
      </w:r>
      <w:r w:rsidRPr="00125230">
        <w:t>purposes that do not include an industrial use</w:t>
      </w:r>
      <w:r>
        <w:t>.</w:t>
      </w:r>
    </w:p>
    <w:p w14:paraId="13F77E1E" w14:textId="6B38B426" w:rsidR="00BF6762" w:rsidRPr="008058BE" w:rsidRDefault="008058BE" w:rsidP="00BF6762">
      <w:pPr>
        <w:spacing w:after="240"/>
        <w:rPr>
          <w:b/>
          <w:bCs/>
        </w:rPr>
      </w:pPr>
      <w:r>
        <w:rPr>
          <w:b/>
          <w:bCs/>
        </w:rPr>
        <w:t xml:space="preserve">Clause </w:t>
      </w:r>
      <w:r w:rsidR="00083240">
        <w:rPr>
          <w:b/>
          <w:bCs/>
        </w:rPr>
        <w:t>5</w:t>
      </w:r>
      <w:r w:rsidR="00BF6762" w:rsidRPr="008058BE">
        <w:rPr>
          <w:b/>
          <w:bCs/>
        </w:rPr>
        <w:tab/>
        <w:t>Dictionary, new definition</w:t>
      </w:r>
      <w:r w:rsidR="004D6DF3">
        <w:rPr>
          <w:b/>
          <w:bCs/>
        </w:rPr>
        <w:t>s</w:t>
      </w:r>
    </w:p>
    <w:p w14:paraId="730EDA38" w14:textId="778F4164" w:rsidR="00C7181E" w:rsidRDefault="001B601E" w:rsidP="001B601E">
      <w:pPr>
        <w:spacing w:after="240"/>
      </w:pPr>
      <w:r>
        <w:t xml:space="preserve">This clause </w:t>
      </w:r>
      <w:r w:rsidR="00C7181E">
        <w:t xml:space="preserve">provides </w:t>
      </w:r>
      <w:r w:rsidR="00B702DE">
        <w:t xml:space="preserve">the cross referencing for the new </w:t>
      </w:r>
      <w:r>
        <w:t>definition</w:t>
      </w:r>
      <w:r w:rsidR="00C7181E">
        <w:t>s</w:t>
      </w:r>
      <w:r w:rsidR="00AC38D2">
        <w:t xml:space="preserve"> </w:t>
      </w:r>
      <w:r w:rsidR="00B702DE">
        <w:t>for Part 5A.</w:t>
      </w:r>
      <w:r>
        <w:t xml:space="preserve"> </w:t>
      </w:r>
    </w:p>
    <w:bookmarkEnd w:id="1"/>
    <w:p w14:paraId="5EC36A7A" w14:textId="3B389DBE" w:rsidR="00580763" w:rsidRPr="00580763" w:rsidRDefault="00580763" w:rsidP="0021673B">
      <w:pPr>
        <w:spacing w:after="240"/>
      </w:pPr>
    </w:p>
    <w:sectPr w:rsidR="00580763" w:rsidRPr="00580763" w:rsidSect="004C4A40">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D0C7" w14:textId="77777777" w:rsidR="00227841" w:rsidRDefault="00227841">
      <w:r>
        <w:separator/>
      </w:r>
    </w:p>
  </w:endnote>
  <w:endnote w:type="continuationSeparator" w:id="0">
    <w:p w14:paraId="0FBDCAB8" w14:textId="77777777" w:rsidR="00227841" w:rsidRDefault="0022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E91C" w14:textId="77777777" w:rsidR="008C39ED" w:rsidRDefault="008C3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A702" w14:textId="76DE6555" w:rsidR="008C39ED" w:rsidRPr="00214641" w:rsidRDefault="00214641" w:rsidP="00214641">
    <w:pPr>
      <w:pStyle w:val="Footer"/>
      <w:spacing w:before="0" w:after="0" w:line="240" w:lineRule="auto"/>
      <w:jc w:val="center"/>
      <w:rPr>
        <w:rFonts w:cs="Arial"/>
        <w:sz w:val="14"/>
      </w:rPr>
    </w:pPr>
    <w:r w:rsidRPr="0021464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B2B9" w14:textId="77777777" w:rsidR="008C39ED" w:rsidRDefault="008C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E34B" w14:textId="77777777" w:rsidR="00227841" w:rsidRDefault="00227841">
      <w:r>
        <w:separator/>
      </w:r>
    </w:p>
  </w:footnote>
  <w:footnote w:type="continuationSeparator" w:id="0">
    <w:p w14:paraId="398548E0" w14:textId="77777777" w:rsidR="00227841" w:rsidRDefault="00227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1E36" w14:textId="77777777" w:rsidR="008C39ED" w:rsidRDefault="008C3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13B2" w14:textId="3EB12BAA" w:rsidR="008C39ED" w:rsidRDefault="008C3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F42B" w14:textId="77777777" w:rsidR="008C39ED" w:rsidRDefault="008C3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4D1EB3"/>
    <w:multiLevelType w:val="multilevel"/>
    <w:tmpl w:val="BB66AC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27CB4EC9"/>
    <w:multiLevelType w:val="hybridMultilevel"/>
    <w:tmpl w:val="6578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87704C"/>
    <w:multiLevelType w:val="hybridMultilevel"/>
    <w:tmpl w:val="B7C44E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9193DED"/>
    <w:multiLevelType w:val="hybridMultilevel"/>
    <w:tmpl w:val="CC4C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2F5655"/>
    <w:multiLevelType w:val="hybridMultilevel"/>
    <w:tmpl w:val="B3F09062"/>
    <w:lvl w:ilvl="0" w:tplc="910CEAEC">
      <w:start w:val="1"/>
      <w:numFmt w:val="decimal"/>
      <w:lvlText w:val="%1."/>
      <w:lvlJc w:val="left"/>
      <w:pPr>
        <w:ind w:left="720" w:hanging="360"/>
      </w:pPr>
      <w:rPr>
        <w:rFonts w:ascii="Arial" w:hAnsi="Arial" w:cs="Arial" w:hint="default"/>
        <w:b w:val="0"/>
        <w:bCs/>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D7644D"/>
    <w:multiLevelType w:val="hybridMultilevel"/>
    <w:tmpl w:val="18A4ACA4"/>
    <w:lvl w:ilvl="0" w:tplc="FFFFFFFF">
      <w:start w:val="1"/>
      <w:numFmt w:val="decimal"/>
      <w:lvlText w:val="%1."/>
      <w:lvlJc w:val="left"/>
      <w:pPr>
        <w:ind w:left="720" w:hanging="360"/>
      </w:pPr>
      <w:rPr>
        <w:rFonts w:ascii="Arial" w:hAnsi="Arial" w:cs="Arial"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4D03BD"/>
    <w:multiLevelType w:val="hybridMultilevel"/>
    <w:tmpl w:val="A6929A7A"/>
    <w:lvl w:ilvl="0" w:tplc="D54A1F0A">
      <w:start w:val="1"/>
      <w:numFmt w:val="decimal"/>
      <w:lvlText w:val="%1."/>
      <w:lvlJc w:val="left"/>
      <w:pPr>
        <w:ind w:left="720" w:hanging="360"/>
      </w:pPr>
      <w:rPr>
        <w:rFonts w:ascii="Arial" w:hAnsi="Arial" w:cs="Arial" w:hint="default"/>
        <w:b w:val="0"/>
        <w:bCs/>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373AD3"/>
    <w:multiLevelType w:val="hybridMultilevel"/>
    <w:tmpl w:val="CAE66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275BD3"/>
    <w:multiLevelType w:val="hybridMultilevel"/>
    <w:tmpl w:val="01E4D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6720AE"/>
    <w:multiLevelType w:val="hybridMultilevel"/>
    <w:tmpl w:val="F84E8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E3408C"/>
    <w:multiLevelType w:val="hybridMultilevel"/>
    <w:tmpl w:val="EFCE3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415FA"/>
    <w:multiLevelType w:val="hybridMultilevel"/>
    <w:tmpl w:val="7F60E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9E6EB3"/>
    <w:multiLevelType w:val="hybridMultilevel"/>
    <w:tmpl w:val="44142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2E09BD"/>
    <w:multiLevelType w:val="hybridMultilevel"/>
    <w:tmpl w:val="0F929330"/>
    <w:lvl w:ilvl="0" w:tplc="77F8D45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3037F4"/>
    <w:multiLevelType w:val="hybridMultilevel"/>
    <w:tmpl w:val="79F8B8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6DDF56A9"/>
    <w:multiLevelType w:val="hybridMultilevel"/>
    <w:tmpl w:val="B4083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656348429">
    <w:abstractNumId w:val="3"/>
  </w:num>
  <w:num w:numId="2" w16cid:durableId="1899054037">
    <w:abstractNumId w:val="0"/>
  </w:num>
  <w:num w:numId="3" w16cid:durableId="902375702">
    <w:abstractNumId w:val="4"/>
  </w:num>
  <w:num w:numId="4" w16cid:durableId="1411542428">
    <w:abstractNumId w:val="11"/>
  </w:num>
  <w:num w:numId="5" w16cid:durableId="22676858">
    <w:abstractNumId w:val="25"/>
  </w:num>
  <w:num w:numId="6" w16cid:durableId="1612277999">
    <w:abstractNumId w:val="2"/>
  </w:num>
  <w:num w:numId="7" w16cid:durableId="935485164">
    <w:abstractNumId w:val="9"/>
  </w:num>
  <w:num w:numId="8" w16cid:durableId="1488090066">
    <w:abstractNumId w:val="10"/>
  </w:num>
  <w:num w:numId="9" w16cid:durableId="824471258">
    <w:abstractNumId w:val="18"/>
  </w:num>
  <w:num w:numId="10" w16cid:durableId="557282043">
    <w:abstractNumId w:val="5"/>
  </w:num>
  <w:num w:numId="11" w16cid:durableId="2141530331">
    <w:abstractNumId w:val="19"/>
  </w:num>
  <w:num w:numId="12" w16cid:durableId="1285652415">
    <w:abstractNumId w:val="22"/>
  </w:num>
  <w:num w:numId="13" w16cid:durableId="1417894812">
    <w:abstractNumId w:val="6"/>
  </w:num>
  <w:num w:numId="14" w16cid:durableId="1503205762">
    <w:abstractNumId w:val="7"/>
  </w:num>
  <w:num w:numId="15" w16cid:durableId="997810479">
    <w:abstractNumId w:val="23"/>
  </w:num>
  <w:num w:numId="16" w16cid:durableId="563757030">
    <w:abstractNumId w:val="24"/>
  </w:num>
  <w:num w:numId="17" w16cid:durableId="1336110454">
    <w:abstractNumId w:val="17"/>
  </w:num>
  <w:num w:numId="18" w16cid:durableId="1361591098">
    <w:abstractNumId w:val="12"/>
  </w:num>
  <w:num w:numId="19" w16cid:durableId="2042243420">
    <w:abstractNumId w:val="20"/>
  </w:num>
  <w:num w:numId="20" w16cid:durableId="680201534">
    <w:abstractNumId w:val="8"/>
  </w:num>
  <w:num w:numId="21" w16cid:durableId="1861312310">
    <w:abstractNumId w:val="21"/>
  </w:num>
  <w:num w:numId="22" w16cid:durableId="1442327">
    <w:abstractNumId w:val="16"/>
  </w:num>
  <w:num w:numId="23" w16cid:durableId="485321631">
    <w:abstractNumId w:val="1"/>
  </w:num>
  <w:num w:numId="24" w16cid:durableId="754588937">
    <w:abstractNumId w:val="15"/>
  </w:num>
  <w:num w:numId="25" w16cid:durableId="931469206">
    <w:abstractNumId w:val="14"/>
  </w:num>
  <w:num w:numId="26" w16cid:durableId="1348024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2BAB"/>
    <w:rsid w:val="00004DB7"/>
    <w:rsid w:val="00011D8E"/>
    <w:rsid w:val="00017C2D"/>
    <w:rsid w:val="00020C23"/>
    <w:rsid w:val="0003383C"/>
    <w:rsid w:val="00035459"/>
    <w:rsid w:val="0004739C"/>
    <w:rsid w:val="00057BA3"/>
    <w:rsid w:val="000620B1"/>
    <w:rsid w:val="00081CA7"/>
    <w:rsid w:val="00083240"/>
    <w:rsid w:val="000A0521"/>
    <w:rsid w:val="000B1BA3"/>
    <w:rsid w:val="000B45D3"/>
    <w:rsid w:val="000E2F92"/>
    <w:rsid w:val="000E393D"/>
    <w:rsid w:val="000E6D2E"/>
    <w:rsid w:val="000F501B"/>
    <w:rsid w:val="00101D25"/>
    <w:rsid w:val="00101EBC"/>
    <w:rsid w:val="00105619"/>
    <w:rsid w:val="0011314E"/>
    <w:rsid w:val="00113BAA"/>
    <w:rsid w:val="001208AC"/>
    <w:rsid w:val="00125230"/>
    <w:rsid w:val="00132EF6"/>
    <w:rsid w:val="00143CAE"/>
    <w:rsid w:val="001465BF"/>
    <w:rsid w:val="00150DCC"/>
    <w:rsid w:val="00161939"/>
    <w:rsid w:val="001656A5"/>
    <w:rsid w:val="00166557"/>
    <w:rsid w:val="001773D9"/>
    <w:rsid w:val="00193A0A"/>
    <w:rsid w:val="00196AB5"/>
    <w:rsid w:val="001A09CE"/>
    <w:rsid w:val="001B601E"/>
    <w:rsid w:val="001B6069"/>
    <w:rsid w:val="001E5D8D"/>
    <w:rsid w:val="00202BF0"/>
    <w:rsid w:val="002030CB"/>
    <w:rsid w:val="0020656B"/>
    <w:rsid w:val="002113BC"/>
    <w:rsid w:val="00214641"/>
    <w:rsid w:val="0021673B"/>
    <w:rsid w:val="00217435"/>
    <w:rsid w:val="002178B6"/>
    <w:rsid w:val="00217E69"/>
    <w:rsid w:val="002249A3"/>
    <w:rsid w:val="00227841"/>
    <w:rsid w:val="00227AEF"/>
    <w:rsid w:val="00227D32"/>
    <w:rsid w:val="00234AC9"/>
    <w:rsid w:val="00235432"/>
    <w:rsid w:val="00251265"/>
    <w:rsid w:val="002533D6"/>
    <w:rsid w:val="002672CB"/>
    <w:rsid w:val="002674BF"/>
    <w:rsid w:val="00275A89"/>
    <w:rsid w:val="002779EE"/>
    <w:rsid w:val="002800AF"/>
    <w:rsid w:val="0028129F"/>
    <w:rsid w:val="0028649F"/>
    <w:rsid w:val="00290133"/>
    <w:rsid w:val="002A012B"/>
    <w:rsid w:val="002A2437"/>
    <w:rsid w:val="002B14A6"/>
    <w:rsid w:val="002B51A4"/>
    <w:rsid w:val="002C0653"/>
    <w:rsid w:val="002C13F5"/>
    <w:rsid w:val="002C451A"/>
    <w:rsid w:val="002C6E9B"/>
    <w:rsid w:val="002C7C60"/>
    <w:rsid w:val="002E29E0"/>
    <w:rsid w:val="002F1A2A"/>
    <w:rsid w:val="002F27F9"/>
    <w:rsid w:val="002F2896"/>
    <w:rsid w:val="00301D96"/>
    <w:rsid w:val="003037D6"/>
    <w:rsid w:val="003100B2"/>
    <w:rsid w:val="00315FAB"/>
    <w:rsid w:val="00316F1F"/>
    <w:rsid w:val="00345BC7"/>
    <w:rsid w:val="00355ECF"/>
    <w:rsid w:val="00356B7A"/>
    <w:rsid w:val="00357BFD"/>
    <w:rsid w:val="00357E8F"/>
    <w:rsid w:val="00365FE1"/>
    <w:rsid w:val="0037121B"/>
    <w:rsid w:val="00373009"/>
    <w:rsid w:val="00382CF5"/>
    <w:rsid w:val="00392B8B"/>
    <w:rsid w:val="003A0128"/>
    <w:rsid w:val="003A5E09"/>
    <w:rsid w:val="003B7B8D"/>
    <w:rsid w:val="003B7DF9"/>
    <w:rsid w:val="003D0E3A"/>
    <w:rsid w:val="003D1978"/>
    <w:rsid w:val="003E1039"/>
    <w:rsid w:val="003E4895"/>
    <w:rsid w:val="003E4AFB"/>
    <w:rsid w:val="003F381E"/>
    <w:rsid w:val="003F5E92"/>
    <w:rsid w:val="003F68B8"/>
    <w:rsid w:val="00404721"/>
    <w:rsid w:val="00454E11"/>
    <w:rsid w:val="00455984"/>
    <w:rsid w:val="00461F05"/>
    <w:rsid w:val="00471C05"/>
    <w:rsid w:val="00472B57"/>
    <w:rsid w:val="004734DA"/>
    <w:rsid w:val="00486F08"/>
    <w:rsid w:val="00493985"/>
    <w:rsid w:val="00494A4C"/>
    <w:rsid w:val="004A10C8"/>
    <w:rsid w:val="004B1087"/>
    <w:rsid w:val="004B745C"/>
    <w:rsid w:val="004B7C80"/>
    <w:rsid w:val="004C28D3"/>
    <w:rsid w:val="004C4A40"/>
    <w:rsid w:val="004D5023"/>
    <w:rsid w:val="004D6DF3"/>
    <w:rsid w:val="004D7BDB"/>
    <w:rsid w:val="004E2E41"/>
    <w:rsid w:val="004E68D5"/>
    <w:rsid w:val="004F4227"/>
    <w:rsid w:val="004F68AF"/>
    <w:rsid w:val="004F73F1"/>
    <w:rsid w:val="004F751D"/>
    <w:rsid w:val="00510113"/>
    <w:rsid w:val="005113C3"/>
    <w:rsid w:val="005237EC"/>
    <w:rsid w:val="005242A5"/>
    <w:rsid w:val="00524B25"/>
    <w:rsid w:val="005272D7"/>
    <w:rsid w:val="005348DF"/>
    <w:rsid w:val="005352B7"/>
    <w:rsid w:val="00550787"/>
    <w:rsid w:val="00550D00"/>
    <w:rsid w:val="00550E95"/>
    <w:rsid w:val="00551B37"/>
    <w:rsid w:val="00553248"/>
    <w:rsid w:val="00562DF6"/>
    <w:rsid w:val="00571D84"/>
    <w:rsid w:val="00580763"/>
    <w:rsid w:val="00580E17"/>
    <w:rsid w:val="0058113D"/>
    <w:rsid w:val="00583645"/>
    <w:rsid w:val="005A4215"/>
    <w:rsid w:val="005A4A3F"/>
    <w:rsid w:val="005A7A56"/>
    <w:rsid w:val="005D16C8"/>
    <w:rsid w:val="005D1A48"/>
    <w:rsid w:val="005D70F1"/>
    <w:rsid w:val="005E2879"/>
    <w:rsid w:val="005F5B6D"/>
    <w:rsid w:val="005F6C14"/>
    <w:rsid w:val="00603241"/>
    <w:rsid w:val="006079AB"/>
    <w:rsid w:val="00610881"/>
    <w:rsid w:val="006161D6"/>
    <w:rsid w:val="0061745B"/>
    <w:rsid w:val="00621A63"/>
    <w:rsid w:val="00633C3A"/>
    <w:rsid w:val="006364C8"/>
    <w:rsid w:val="00644B40"/>
    <w:rsid w:val="00650E17"/>
    <w:rsid w:val="00653588"/>
    <w:rsid w:val="006601F3"/>
    <w:rsid w:val="00673380"/>
    <w:rsid w:val="006778C0"/>
    <w:rsid w:val="00684C84"/>
    <w:rsid w:val="00692A97"/>
    <w:rsid w:val="006A187F"/>
    <w:rsid w:val="006A19E1"/>
    <w:rsid w:val="006A493A"/>
    <w:rsid w:val="006C15B0"/>
    <w:rsid w:val="006C4821"/>
    <w:rsid w:val="006C63CC"/>
    <w:rsid w:val="006E6A08"/>
    <w:rsid w:val="006E7915"/>
    <w:rsid w:val="006E7EE0"/>
    <w:rsid w:val="007027FC"/>
    <w:rsid w:val="00707008"/>
    <w:rsid w:val="00711489"/>
    <w:rsid w:val="00721CA1"/>
    <w:rsid w:val="00731A98"/>
    <w:rsid w:val="00733BD9"/>
    <w:rsid w:val="00737F89"/>
    <w:rsid w:val="0074589A"/>
    <w:rsid w:val="00746453"/>
    <w:rsid w:val="0076732F"/>
    <w:rsid w:val="00773E80"/>
    <w:rsid w:val="00777FC4"/>
    <w:rsid w:val="00786A9C"/>
    <w:rsid w:val="007923F3"/>
    <w:rsid w:val="00796717"/>
    <w:rsid w:val="007A1B29"/>
    <w:rsid w:val="007A622E"/>
    <w:rsid w:val="007B6B5F"/>
    <w:rsid w:val="007C4305"/>
    <w:rsid w:val="007C6050"/>
    <w:rsid w:val="007E3A34"/>
    <w:rsid w:val="007E4F1D"/>
    <w:rsid w:val="007E62E8"/>
    <w:rsid w:val="007F5ADF"/>
    <w:rsid w:val="00804D03"/>
    <w:rsid w:val="008058BE"/>
    <w:rsid w:val="00813A86"/>
    <w:rsid w:val="00817121"/>
    <w:rsid w:val="008206B7"/>
    <w:rsid w:val="00820EAC"/>
    <w:rsid w:val="008231CB"/>
    <w:rsid w:val="00823A04"/>
    <w:rsid w:val="00826B13"/>
    <w:rsid w:val="00835A16"/>
    <w:rsid w:val="00836D90"/>
    <w:rsid w:val="00836EFC"/>
    <w:rsid w:val="0085172A"/>
    <w:rsid w:val="008710EE"/>
    <w:rsid w:val="008714D2"/>
    <w:rsid w:val="00871680"/>
    <w:rsid w:val="00875D7D"/>
    <w:rsid w:val="00875F0A"/>
    <w:rsid w:val="00881C62"/>
    <w:rsid w:val="00884463"/>
    <w:rsid w:val="008A2070"/>
    <w:rsid w:val="008A7146"/>
    <w:rsid w:val="008C39ED"/>
    <w:rsid w:val="008C601F"/>
    <w:rsid w:val="008C6758"/>
    <w:rsid w:val="008C77FA"/>
    <w:rsid w:val="008D01C4"/>
    <w:rsid w:val="008E1F13"/>
    <w:rsid w:val="008E3007"/>
    <w:rsid w:val="008E539F"/>
    <w:rsid w:val="008E6716"/>
    <w:rsid w:val="009000F5"/>
    <w:rsid w:val="00900365"/>
    <w:rsid w:val="00902887"/>
    <w:rsid w:val="00910EAA"/>
    <w:rsid w:val="009114E5"/>
    <w:rsid w:val="00911F00"/>
    <w:rsid w:val="009208A4"/>
    <w:rsid w:val="0092199E"/>
    <w:rsid w:val="009364F8"/>
    <w:rsid w:val="00952C4A"/>
    <w:rsid w:val="00954376"/>
    <w:rsid w:val="00954750"/>
    <w:rsid w:val="0097661A"/>
    <w:rsid w:val="00977C3B"/>
    <w:rsid w:val="00983148"/>
    <w:rsid w:val="00985DA6"/>
    <w:rsid w:val="00992E01"/>
    <w:rsid w:val="0099393F"/>
    <w:rsid w:val="00993F85"/>
    <w:rsid w:val="00996B92"/>
    <w:rsid w:val="009C6A66"/>
    <w:rsid w:val="009D5E91"/>
    <w:rsid w:val="009E1051"/>
    <w:rsid w:val="009E15C9"/>
    <w:rsid w:val="009E288E"/>
    <w:rsid w:val="009F3F7F"/>
    <w:rsid w:val="00A02B40"/>
    <w:rsid w:val="00A044C3"/>
    <w:rsid w:val="00A112E3"/>
    <w:rsid w:val="00A11C85"/>
    <w:rsid w:val="00A11C92"/>
    <w:rsid w:val="00A142D4"/>
    <w:rsid w:val="00A34785"/>
    <w:rsid w:val="00A46F46"/>
    <w:rsid w:val="00A66FF0"/>
    <w:rsid w:val="00A7258B"/>
    <w:rsid w:val="00A83C89"/>
    <w:rsid w:val="00AA79CD"/>
    <w:rsid w:val="00AB5BF4"/>
    <w:rsid w:val="00AB777B"/>
    <w:rsid w:val="00AC2ECB"/>
    <w:rsid w:val="00AC38D2"/>
    <w:rsid w:val="00AC6B92"/>
    <w:rsid w:val="00AD17CA"/>
    <w:rsid w:val="00B02A9F"/>
    <w:rsid w:val="00B06EE5"/>
    <w:rsid w:val="00B074C7"/>
    <w:rsid w:val="00B107E8"/>
    <w:rsid w:val="00B23893"/>
    <w:rsid w:val="00B42027"/>
    <w:rsid w:val="00B45883"/>
    <w:rsid w:val="00B51E8A"/>
    <w:rsid w:val="00B52499"/>
    <w:rsid w:val="00B54842"/>
    <w:rsid w:val="00B643C7"/>
    <w:rsid w:val="00B702DE"/>
    <w:rsid w:val="00B718C6"/>
    <w:rsid w:val="00B72669"/>
    <w:rsid w:val="00B735B8"/>
    <w:rsid w:val="00B74B38"/>
    <w:rsid w:val="00B775DC"/>
    <w:rsid w:val="00B9316A"/>
    <w:rsid w:val="00B951C2"/>
    <w:rsid w:val="00BA7B23"/>
    <w:rsid w:val="00BC0B0A"/>
    <w:rsid w:val="00BD488E"/>
    <w:rsid w:val="00BF1ADC"/>
    <w:rsid w:val="00BF6762"/>
    <w:rsid w:val="00C01E65"/>
    <w:rsid w:val="00C04212"/>
    <w:rsid w:val="00C1099B"/>
    <w:rsid w:val="00C12ABE"/>
    <w:rsid w:val="00C12D4E"/>
    <w:rsid w:val="00C338EF"/>
    <w:rsid w:val="00C36774"/>
    <w:rsid w:val="00C42011"/>
    <w:rsid w:val="00C4252F"/>
    <w:rsid w:val="00C55DF1"/>
    <w:rsid w:val="00C6030D"/>
    <w:rsid w:val="00C668CD"/>
    <w:rsid w:val="00C70F4F"/>
    <w:rsid w:val="00C710AC"/>
    <w:rsid w:val="00C7181E"/>
    <w:rsid w:val="00C7464E"/>
    <w:rsid w:val="00C93155"/>
    <w:rsid w:val="00C949C5"/>
    <w:rsid w:val="00CA2210"/>
    <w:rsid w:val="00CB0375"/>
    <w:rsid w:val="00CE51B7"/>
    <w:rsid w:val="00CF0A4E"/>
    <w:rsid w:val="00D05DE7"/>
    <w:rsid w:val="00D11EBE"/>
    <w:rsid w:val="00D13F40"/>
    <w:rsid w:val="00D150C0"/>
    <w:rsid w:val="00D175FF"/>
    <w:rsid w:val="00D21766"/>
    <w:rsid w:val="00D22E50"/>
    <w:rsid w:val="00D26AFC"/>
    <w:rsid w:val="00D320C2"/>
    <w:rsid w:val="00D3573E"/>
    <w:rsid w:val="00D430E1"/>
    <w:rsid w:val="00D43A56"/>
    <w:rsid w:val="00D51F04"/>
    <w:rsid w:val="00D56E6D"/>
    <w:rsid w:val="00D61450"/>
    <w:rsid w:val="00D62CE9"/>
    <w:rsid w:val="00D635B2"/>
    <w:rsid w:val="00D63E65"/>
    <w:rsid w:val="00D745A6"/>
    <w:rsid w:val="00D86485"/>
    <w:rsid w:val="00D9164E"/>
    <w:rsid w:val="00DA6134"/>
    <w:rsid w:val="00DB17CB"/>
    <w:rsid w:val="00DC00C0"/>
    <w:rsid w:val="00DC341F"/>
    <w:rsid w:val="00DE28E9"/>
    <w:rsid w:val="00DE29CC"/>
    <w:rsid w:val="00E04CBD"/>
    <w:rsid w:val="00E16C25"/>
    <w:rsid w:val="00E17862"/>
    <w:rsid w:val="00E30BEF"/>
    <w:rsid w:val="00E42248"/>
    <w:rsid w:val="00E65DFB"/>
    <w:rsid w:val="00E83E4A"/>
    <w:rsid w:val="00E85287"/>
    <w:rsid w:val="00EA1290"/>
    <w:rsid w:val="00EA13B7"/>
    <w:rsid w:val="00EA3003"/>
    <w:rsid w:val="00EA3C03"/>
    <w:rsid w:val="00EA4683"/>
    <w:rsid w:val="00EB066D"/>
    <w:rsid w:val="00EB56BF"/>
    <w:rsid w:val="00EC3D8A"/>
    <w:rsid w:val="00EE664E"/>
    <w:rsid w:val="00F00F15"/>
    <w:rsid w:val="00F1358B"/>
    <w:rsid w:val="00F14EC7"/>
    <w:rsid w:val="00F24717"/>
    <w:rsid w:val="00F36E08"/>
    <w:rsid w:val="00F466DE"/>
    <w:rsid w:val="00F47145"/>
    <w:rsid w:val="00F504EC"/>
    <w:rsid w:val="00F6469C"/>
    <w:rsid w:val="00F67F4B"/>
    <w:rsid w:val="00F7031B"/>
    <w:rsid w:val="00F7215B"/>
    <w:rsid w:val="00F73D31"/>
    <w:rsid w:val="00F76D06"/>
    <w:rsid w:val="00F76F38"/>
    <w:rsid w:val="00F8017B"/>
    <w:rsid w:val="00F81FB4"/>
    <w:rsid w:val="00F8765E"/>
    <w:rsid w:val="00FA3723"/>
    <w:rsid w:val="00FB0B61"/>
    <w:rsid w:val="00FC0B88"/>
    <w:rsid w:val="00FC15F0"/>
    <w:rsid w:val="00FC3F3B"/>
    <w:rsid w:val="00FD0C5B"/>
    <w:rsid w:val="00FD3EE2"/>
    <w:rsid w:val="00FF1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D533A"/>
  <w15:chartTrackingRefBased/>
  <w15:docId w15:val="{0775FBD0-85AF-41C8-8CB3-BAD2B463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0"/>
      </w:numPr>
      <w:spacing w:before="80" w:after="60"/>
      <w:jc w:val="both"/>
      <w:outlineLvl w:val="6"/>
    </w:pPr>
  </w:style>
  <w:style w:type="paragraph" w:customStyle="1" w:styleId="Asubpara">
    <w:name w:val="A subpara"/>
    <w:basedOn w:val="Normal"/>
    <w:pPr>
      <w:numPr>
        <w:ilvl w:val="7"/>
        <w:numId w:val="10"/>
      </w:numPr>
      <w:spacing w:before="80" w:after="60"/>
      <w:jc w:val="both"/>
      <w:outlineLvl w:val="7"/>
    </w:pPr>
  </w:style>
  <w:style w:type="paragraph" w:customStyle="1" w:styleId="Asubsubpara">
    <w:name w:val="A subsubpara"/>
    <w:basedOn w:val="Normal"/>
    <w:pPr>
      <w:numPr>
        <w:ilvl w:val="8"/>
        <w:numId w:val="10"/>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character" w:styleId="UnresolvedMention">
    <w:name w:val="Unresolved Mention"/>
    <w:basedOn w:val="DefaultParagraphFont"/>
    <w:uiPriority w:val="99"/>
    <w:semiHidden/>
    <w:unhideWhenUsed/>
    <w:rsid w:val="002A012B"/>
    <w:rPr>
      <w:color w:val="605E5C"/>
      <w:shd w:val="clear" w:color="auto" w:fill="E1DFDD"/>
    </w:rPr>
  </w:style>
  <w:style w:type="paragraph" w:styleId="BalloonText">
    <w:name w:val="Balloon Text"/>
    <w:basedOn w:val="Normal"/>
    <w:link w:val="BalloonTextChar"/>
    <w:rsid w:val="00FC3F3B"/>
    <w:rPr>
      <w:rFonts w:ascii="Segoe UI" w:hAnsi="Segoe UI" w:cs="Segoe UI"/>
      <w:sz w:val="18"/>
      <w:szCs w:val="18"/>
    </w:rPr>
  </w:style>
  <w:style w:type="character" w:customStyle="1" w:styleId="BalloonTextChar">
    <w:name w:val="Balloon Text Char"/>
    <w:basedOn w:val="DefaultParagraphFont"/>
    <w:link w:val="BalloonText"/>
    <w:rsid w:val="00FC3F3B"/>
    <w:rPr>
      <w:rFonts w:ascii="Segoe UI" w:hAnsi="Segoe UI" w:cs="Segoe UI"/>
      <w:sz w:val="18"/>
      <w:szCs w:val="18"/>
      <w:lang w:eastAsia="en-US"/>
    </w:rPr>
  </w:style>
  <w:style w:type="character" w:styleId="CommentReference">
    <w:name w:val="annotation reference"/>
    <w:basedOn w:val="DefaultParagraphFont"/>
    <w:rsid w:val="007E3A34"/>
    <w:rPr>
      <w:sz w:val="16"/>
      <w:szCs w:val="16"/>
    </w:rPr>
  </w:style>
  <w:style w:type="paragraph" w:styleId="CommentText">
    <w:name w:val="annotation text"/>
    <w:basedOn w:val="Normal"/>
    <w:link w:val="CommentTextChar"/>
    <w:rsid w:val="007E3A34"/>
    <w:rPr>
      <w:sz w:val="20"/>
    </w:rPr>
  </w:style>
  <w:style w:type="character" w:customStyle="1" w:styleId="CommentTextChar">
    <w:name w:val="Comment Text Char"/>
    <w:basedOn w:val="DefaultParagraphFont"/>
    <w:link w:val="CommentText"/>
    <w:rsid w:val="007E3A34"/>
    <w:rPr>
      <w:lang w:eastAsia="en-US"/>
    </w:rPr>
  </w:style>
  <w:style w:type="paragraph" w:styleId="CommentSubject">
    <w:name w:val="annotation subject"/>
    <w:basedOn w:val="CommentText"/>
    <w:next w:val="CommentText"/>
    <w:link w:val="CommentSubjectChar"/>
    <w:rsid w:val="007E3A34"/>
    <w:rPr>
      <w:b/>
      <w:bCs/>
    </w:rPr>
  </w:style>
  <w:style w:type="character" w:customStyle="1" w:styleId="CommentSubjectChar">
    <w:name w:val="Comment Subject Char"/>
    <w:basedOn w:val="CommentTextChar"/>
    <w:link w:val="CommentSubject"/>
    <w:rsid w:val="007E3A34"/>
    <w:rPr>
      <w:b/>
      <w:bCs/>
      <w:lang w:eastAsia="en-US"/>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E6716"/>
    <w:pPr>
      <w:ind w:left="720"/>
      <w:contextualSpacing/>
    </w:pPr>
  </w:style>
  <w:style w:type="character" w:customStyle="1" w:styleId="highlight">
    <w:name w:val="highlight"/>
    <w:basedOn w:val="DefaultParagraphFont"/>
    <w:rsid w:val="004F4227"/>
  </w:style>
  <w:style w:type="paragraph" w:customStyle="1" w:styleId="CS-Paragraphnumbering">
    <w:name w:val="CS - Paragraph numbering"/>
    <w:basedOn w:val="Normal"/>
    <w:rsid w:val="004F68AF"/>
    <w:pPr>
      <w:numPr>
        <w:numId w:val="20"/>
      </w:numPr>
      <w:spacing w:after="120" w:line="276" w:lineRule="auto"/>
      <w:ind w:right="-45"/>
    </w:pPr>
    <w:rPr>
      <w:rFonts w:asciiTheme="minorHAnsi" w:eastAsiaTheme="minorHAnsi" w:hAnsiTheme="minorHAnsi" w:cstheme="minorBidi"/>
      <w:szCs w:val="24"/>
    </w:rPr>
  </w:style>
  <w:style w:type="character" w:customStyle="1" w:styleId="Calibri12">
    <w:name w:val="Calibri 12"/>
    <w:basedOn w:val="DefaultParagraphFont"/>
    <w:uiPriority w:val="1"/>
    <w:qFormat/>
    <w:rsid w:val="004F68AF"/>
    <w:rPr>
      <w:rFonts w:ascii="Calibri" w:hAnsi="Calibri"/>
      <w:sz w:val="24"/>
    </w:rPr>
  </w:style>
  <w:style w:type="paragraph" w:styleId="Revision">
    <w:name w:val="Revision"/>
    <w:hidden/>
    <w:uiPriority w:val="99"/>
    <w:semiHidden/>
    <w:rsid w:val="00454E11"/>
    <w:rPr>
      <w:sz w:val="24"/>
      <w:lang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3E4AF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76647">
      <w:bodyDiv w:val="1"/>
      <w:marLeft w:val="0"/>
      <w:marRight w:val="0"/>
      <w:marTop w:val="0"/>
      <w:marBottom w:val="0"/>
      <w:divBdr>
        <w:top w:val="none" w:sz="0" w:space="0" w:color="auto"/>
        <w:left w:val="none" w:sz="0" w:space="0" w:color="auto"/>
        <w:bottom w:val="none" w:sz="0" w:space="0" w:color="auto"/>
        <w:right w:val="none" w:sz="0" w:space="0" w:color="auto"/>
      </w:divBdr>
    </w:div>
    <w:div w:id="2129422696">
      <w:bodyDiv w:val="1"/>
      <w:marLeft w:val="0"/>
      <w:marRight w:val="0"/>
      <w:marTop w:val="0"/>
      <w:marBottom w:val="0"/>
      <w:divBdr>
        <w:top w:val="none" w:sz="0" w:space="0" w:color="auto"/>
        <w:left w:val="none" w:sz="0" w:space="0" w:color="auto"/>
        <w:bottom w:val="none" w:sz="0" w:space="0" w:color="auto"/>
        <w:right w:val="none" w:sz="0" w:space="0" w:color="auto"/>
      </w:divBdr>
      <w:divsChild>
        <w:div w:id="1688828543">
          <w:marLeft w:val="0"/>
          <w:marRight w:val="0"/>
          <w:marTop w:val="0"/>
          <w:marBottom w:val="0"/>
          <w:divBdr>
            <w:top w:val="none" w:sz="0" w:space="0" w:color="auto"/>
            <w:left w:val="none" w:sz="0" w:space="0" w:color="auto"/>
            <w:bottom w:val="none" w:sz="0" w:space="0" w:color="auto"/>
            <w:right w:val="none" w:sz="0" w:space="0" w:color="auto"/>
          </w:divBdr>
        </w:div>
        <w:div w:id="432747797">
          <w:marLeft w:val="0"/>
          <w:marRight w:val="0"/>
          <w:marTop w:val="0"/>
          <w:marBottom w:val="0"/>
          <w:divBdr>
            <w:top w:val="none" w:sz="0" w:space="0" w:color="auto"/>
            <w:left w:val="none" w:sz="0" w:space="0" w:color="auto"/>
            <w:bottom w:val="none" w:sz="0" w:space="0" w:color="auto"/>
            <w:right w:val="none" w:sz="0" w:space="0" w:color="auto"/>
          </w:divBdr>
        </w:div>
        <w:div w:id="2046128375">
          <w:marLeft w:val="0"/>
          <w:marRight w:val="0"/>
          <w:marTop w:val="0"/>
          <w:marBottom w:val="0"/>
          <w:divBdr>
            <w:top w:val="none" w:sz="0" w:space="0" w:color="auto"/>
            <w:left w:val="none" w:sz="0" w:space="0" w:color="auto"/>
            <w:bottom w:val="none" w:sz="0" w:space="0" w:color="auto"/>
            <w:right w:val="none" w:sz="0" w:space="0" w:color="auto"/>
          </w:divBdr>
        </w:div>
        <w:div w:id="1415012023">
          <w:marLeft w:val="0"/>
          <w:marRight w:val="0"/>
          <w:marTop w:val="0"/>
          <w:marBottom w:val="0"/>
          <w:divBdr>
            <w:top w:val="none" w:sz="0" w:space="0" w:color="auto"/>
            <w:left w:val="none" w:sz="0" w:space="0" w:color="auto"/>
            <w:bottom w:val="none" w:sz="0" w:space="0" w:color="auto"/>
            <w:right w:val="none" w:sz="0" w:space="0" w:color="auto"/>
          </w:divBdr>
        </w:div>
        <w:div w:id="660699422">
          <w:marLeft w:val="0"/>
          <w:marRight w:val="0"/>
          <w:marTop w:val="0"/>
          <w:marBottom w:val="0"/>
          <w:divBdr>
            <w:top w:val="none" w:sz="0" w:space="0" w:color="auto"/>
            <w:left w:val="none" w:sz="0" w:space="0" w:color="auto"/>
            <w:bottom w:val="none" w:sz="0" w:space="0" w:color="auto"/>
            <w:right w:val="none" w:sz="0" w:space="0" w:color="auto"/>
          </w:divBdr>
        </w:div>
        <w:div w:id="282078342">
          <w:marLeft w:val="0"/>
          <w:marRight w:val="0"/>
          <w:marTop w:val="0"/>
          <w:marBottom w:val="0"/>
          <w:divBdr>
            <w:top w:val="none" w:sz="0" w:space="0" w:color="auto"/>
            <w:left w:val="none" w:sz="0" w:space="0" w:color="auto"/>
            <w:bottom w:val="none" w:sz="0" w:space="0" w:color="auto"/>
            <w:right w:val="none" w:sz="0" w:space="0" w:color="auto"/>
          </w:divBdr>
        </w:div>
        <w:div w:id="703334262">
          <w:marLeft w:val="0"/>
          <w:marRight w:val="0"/>
          <w:marTop w:val="0"/>
          <w:marBottom w:val="0"/>
          <w:divBdr>
            <w:top w:val="none" w:sz="0" w:space="0" w:color="auto"/>
            <w:left w:val="none" w:sz="0" w:space="0" w:color="auto"/>
            <w:bottom w:val="none" w:sz="0" w:space="0" w:color="auto"/>
            <w:right w:val="none" w:sz="0" w:space="0" w:color="auto"/>
          </w:divBdr>
        </w:div>
        <w:div w:id="1423797294">
          <w:marLeft w:val="0"/>
          <w:marRight w:val="0"/>
          <w:marTop w:val="0"/>
          <w:marBottom w:val="0"/>
          <w:divBdr>
            <w:top w:val="none" w:sz="0" w:space="0" w:color="auto"/>
            <w:left w:val="none" w:sz="0" w:space="0" w:color="auto"/>
            <w:bottom w:val="none" w:sz="0" w:space="0" w:color="auto"/>
            <w:right w:val="none" w:sz="0" w:space="0" w:color="auto"/>
          </w:divBdr>
        </w:div>
        <w:div w:id="135280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083f8d0847ab16737f89be6deab6a5d1">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31246091b1c3b5b5d7ef9a506e6e182"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format="Dropdown" ma:internalName="Applies_x0020_to">
      <xsd:complexType>
        <xsd:complexContent>
          <xsd:extension base="dms:MultiChoice">
            <xsd:sequence>
              <xsd:element name="Value" maxOccurs="unbounded" minOccurs="0" nillable="true">
                <xsd:simpleType>
                  <xsd:restriction base="dms:Choice">
                    <xsd:enumeration value="City Renewal Authority"/>
                    <xsd:enumeration value="Environment, Planning and Sustainable Development Directorate"/>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etadata xmlns="http://www.objective.com/ecm/document/metadata/4FEB93B0D38B3BDFE05400144FFB2061" version="1.0.0">
  <systemFields>
    <field name="Objective-Id">
      <value order="0">A56234077</value>
    </field>
    <field name="Objective-Title">
      <value order="0">Att B - Explanatory Statement - Environment Protection (Industrial Chemicals) Amendment Regulation 2025</value>
    </field>
    <field name="Objective-Description">
      <value order="0"/>
    </field>
    <field name="Objective-CreationStamp">
      <value order="0">2025-08-12T02:11:03Z</value>
    </field>
    <field name="Objective-IsApproved">
      <value order="0">false</value>
    </field>
    <field name="Objective-IsPublished">
      <value order="0">true</value>
    </field>
    <field name="Objective-DatePublished">
      <value order="0">2025-08-24T23:08:37Z</value>
    </field>
    <field name="Objective-ModificationStamp">
      <value order="0">2025-08-24T23:08:37Z</value>
    </field>
    <field name="Objective-Owner">
      <value order="0">Diego Bastos</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Conservator):25/0223135 Ministerial Information Brief - Orr - IChems Environment Protection Amendment Regulation 2025</value>
    </field>
    <field name="Objective-Parent">
      <value order="0">25/0223135 Ministerial Information Brief - Orr - IChems Environment Protection Amendment Regulation 2025</value>
    </field>
    <field name="Objective-State">
      <value order="0">Published</value>
    </field>
    <field name="Objective-VersionId">
      <value order="0">vA72241390</value>
    </field>
    <field name="Objective-Version">
      <value order="0">7.0</value>
    </field>
    <field name="Objective-VersionNumber">
      <value order="0">8</value>
    </field>
    <field name="Objective-VersionComment">
      <value order="0"/>
    </field>
    <field name="Objective-FileNumber">
      <value order="0">1-2025/0223135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04ECE1D0-C551-4321-8E47-4A1E5F87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4F04C-9E2A-4C80-90AA-CAF792C0B5F3}">
  <ds:schemaRefs>
    <ds:schemaRef ds:uri="http://schemas.openxmlformats.org/officeDocument/2006/bibliography"/>
  </ds:schemaRefs>
</ds:datastoreItem>
</file>

<file path=customXml/itemProps3.xml><?xml version="1.0" encoding="utf-8"?>
<ds:datastoreItem xmlns:ds="http://schemas.openxmlformats.org/officeDocument/2006/customXml" ds:itemID="{AAD5B5AD-52CB-4D78-ADED-DC85C416959B}">
  <ds:schemaRefs>
    <ds:schemaRef ds:uri="http://schemas.microsoft.com/sharepoint/v3/contenttype/forms"/>
  </ds:schemaRefs>
</ds:datastoreItem>
</file>

<file path=customXml/itemProps4.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2505</Words>
  <Characters>14250</Characters>
  <Application>Microsoft Office Word</Application>
  <DocSecurity>0</DocSecurity>
  <Lines>273</Lines>
  <Paragraphs>107</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2</cp:keywords>
  <cp:lastModifiedBy>PCODCS</cp:lastModifiedBy>
  <cp:revision>4</cp:revision>
  <cp:lastPrinted>2006-03-31T03:28:00Z</cp:lastPrinted>
  <dcterms:created xsi:type="dcterms:W3CDTF">2025-09-09T05:28:00Z</dcterms:created>
  <dcterms:modified xsi:type="dcterms:W3CDTF">2025-09-09T05:28:00Z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oc Type">
    <vt:lpwstr>Template</vt:lpwstr>
  </property>
  <property fmtid="{D5CDD505-2E9C-101B-9397-08002B2CF9AE}" pid="5" name="display_urn:schemas-microsoft-com:office:office#Editor">
    <vt:lpwstr>McPhan, Nicola</vt:lpwstr>
  </property>
  <property fmtid="{D5CDD505-2E9C-101B-9397-08002B2CF9AE}" pid="6" name="display_urn:schemas-microsoft-com:office:office#Author">
    <vt:lpwstr>Kavanagh_A, Stephen</vt:lpwstr>
  </property>
  <property fmtid="{D5CDD505-2E9C-101B-9397-08002B2CF9AE}" pid="7" name="URL">
    <vt:lpwstr/>
  </property>
  <property fmtid="{D5CDD505-2E9C-101B-9397-08002B2CF9AE}" pid="8" name="Objective-Id">
    <vt:lpwstr>A56234077</vt:lpwstr>
  </property>
  <property fmtid="{D5CDD505-2E9C-101B-9397-08002B2CF9AE}" pid="9" name="Objective-Title">
    <vt:lpwstr>Att B - Explanatory Statement - Environment Protection (Industrial Chemicals) Amendment Regulation 2025</vt:lpwstr>
  </property>
  <property fmtid="{D5CDD505-2E9C-101B-9397-08002B2CF9AE}" pid="10" name="Objective-Comment">
    <vt:lpwstr/>
  </property>
  <property fmtid="{D5CDD505-2E9C-101B-9397-08002B2CF9AE}" pid="11" name="Objective-CreationStamp">
    <vt:filetime>2025-08-12T02:11:03Z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2025-08-24T23:08:37Z</vt:filetime>
  </property>
  <property fmtid="{D5CDD505-2E9C-101B-9397-08002B2CF9AE}" pid="15" name="Objective-ModificationStamp">
    <vt:filetime>2025-08-24T23:08:37Z</vt:filetime>
  </property>
  <property fmtid="{D5CDD505-2E9C-101B-9397-08002B2CF9AE}" pid="16" name="Objective-Owner">
    <vt:lpwstr>Diego Bastos</vt:lpwstr>
  </property>
  <property fmtid="{D5CDD505-2E9C-101B-9397-08002B2CF9AE}" pid="17" name="Objective-Path">
    <vt:lpwstr>Whole of ACT Government:EPSDD - Environment Planning and Sustainable Development Directorate:07. Ministerial, Cabinet and Government Relations:06. Ministerials:2025 - Ministerial Briefs and Correspondence:Environment, Heritage and Parks (And Conservator):25/0223135 Ministerial Information Brief - Orr - IChems Environment Protection Amendment Regulation 2025:</vt:lpwstr>
  </property>
  <property fmtid="{D5CDD505-2E9C-101B-9397-08002B2CF9AE}" pid="18" name="Objective-Parent">
    <vt:lpwstr>25/0223135 Ministerial Information Brief - Orr - IChems Environment Protection Amendment Regulation 2025</vt:lpwstr>
  </property>
  <property fmtid="{D5CDD505-2E9C-101B-9397-08002B2CF9AE}" pid="19" name="Objective-State">
    <vt:lpwstr>Published</vt:lpwstr>
  </property>
  <property fmtid="{D5CDD505-2E9C-101B-9397-08002B2CF9AE}" pid="20" name="Objective-Version">
    <vt:lpwstr>7.0</vt:lpwstr>
  </property>
  <property fmtid="{D5CDD505-2E9C-101B-9397-08002B2CF9AE}" pid="21" name="Objective-VersionNumber">
    <vt:r8>8</vt:r8>
  </property>
  <property fmtid="{D5CDD505-2E9C-101B-9397-08002B2CF9AE}" pid="22" name="Objective-VersionComment">
    <vt:lpwstr/>
  </property>
  <property fmtid="{D5CDD505-2E9C-101B-9397-08002B2CF9AE}" pid="23" name="Objective-FileNumber">
    <vt:lpwstr>1-2025/0223135</vt:lpwstr>
  </property>
  <property fmtid="{D5CDD505-2E9C-101B-9397-08002B2CF9AE}" pid="24" name="Objective-Classification">
    <vt:lpwstr>[Inherited - none]</vt:lpwstr>
  </property>
  <property fmtid="{D5CDD505-2E9C-101B-9397-08002B2CF9AE}" pid="25" name="Objective-Caveats">
    <vt:lpwstr/>
  </property>
  <property fmtid="{D5CDD505-2E9C-101B-9397-08002B2CF9AE}" pid="26" name="Objective-Owner Agency [system]">
    <vt:lpwstr>EPSDD</vt:lpwstr>
  </property>
  <property fmtid="{D5CDD505-2E9C-101B-9397-08002B2CF9AE}" pid="27" name="Objective-Document Type [system]">
    <vt:lpwstr>0-Document</vt:lpwstr>
  </property>
  <property fmtid="{D5CDD505-2E9C-101B-9397-08002B2CF9AE}" pid="28" name="Objective-Language [system]">
    <vt:lpwstr>English (en)</vt:lpwstr>
  </property>
  <property fmtid="{D5CDD505-2E9C-101B-9397-08002B2CF9AE}" pid="29" name="Objective-Jurisdiction [system]">
    <vt:lpwstr>ACT</vt:lpwstr>
  </property>
  <property fmtid="{D5CDD505-2E9C-101B-9397-08002B2CF9AE}" pid="30" name="Objective-Customers [system]">
    <vt:lpwstr/>
  </property>
  <property fmtid="{D5CDD505-2E9C-101B-9397-08002B2CF9AE}" pid="31" name="Objective-Places [system]">
    <vt:lpwstr/>
  </property>
  <property fmtid="{D5CDD505-2E9C-101B-9397-08002B2CF9AE}" pid="32" name="Objective-Transaction Reference [system]">
    <vt:lpwstr/>
  </property>
  <property fmtid="{D5CDD505-2E9C-101B-9397-08002B2CF9AE}" pid="33" name="Objective-Document Created By [system]">
    <vt:lpwstr/>
  </property>
  <property fmtid="{D5CDD505-2E9C-101B-9397-08002B2CF9AE}" pid="34" name="Objective-Document Created On [system]">
    <vt:lpwstr/>
  </property>
  <property fmtid="{D5CDD505-2E9C-101B-9397-08002B2CF9AE}" pid="35" name="Objective-Covers Period From [system]">
    <vt:lpwstr/>
  </property>
  <property fmtid="{D5CDD505-2E9C-101B-9397-08002B2CF9AE}" pid="36" name="Objective-Covers Period To [system]">
    <vt:lpwstr/>
  </property>
  <property fmtid="{D5CDD505-2E9C-101B-9397-08002B2CF9AE}" pid="37" name="Objective-Owner Agency">
    <vt:lpwstr>EPSDD</vt:lpwstr>
  </property>
  <property fmtid="{D5CDD505-2E9C-101B-9397-08002B2CF9AE}" pid="38" name="Objective-Document Type">
    <vt:lpwstr>0-Document</vt:lpwstr>
  </property>
  <property fmtid="{D5CDD505-2E9C-101B-9397-08002B2CF9AE}" pid="39" name="Objective-Language">
    <vt:lpwstr>English (en)</vt:lpwstr>
  </property>
  <property fmtid="{D5CDD505-2E9C-101B-9397-08002B2CF9AE}" pid="40" name="Objective-Jurisdiction">
    <vt:lpwstr>ACT</vt:lpwstr>
  </property>
  <property fmtid="{D5CDD505-2E9C-101B-9397-08002B2CF9AE}" pid="41" name="Objective-Customers">
    <vt:lpwstr/>
  </property>
  <property fmtid="{D5CDD505-2E9C-101B-9397-08002B2CF9AE}" pid="42" name="Objective-Places">
    <vt:lpwstr/>
  </property>
  <property fmtid="{D5CDD505-2E9C-101B-9397-08002B2CF9AE}" pid="43" name="Objective-Transaction Reference">
    <vt:lpwstr/>
  </property>
  <property fmtid="{D5CDD505-2E9C-101B-9397-08002B2CF9AE}" pid="44" name="Objective-Document Created By">
    <vt:lpwstr/>
  </property>
  <property fmtid="{D5CDD505-2E9C-101B-9397-08002B2CF9AE}" pid="45" name="Objective-Document Created On">
    <vt:lpwstr/>
  </property>
  <property fmtid="{D5CDD505-2E9C-101B-9397-08002B2CF9AE}" pid="46" name="Objective-Covers Period From">
    <vt:lpwstr/>
  </property>
  <property fmtid="{D5CDD505-2E9C-101B-9397-08002B2CF9AE}" pid="47" name="Objective-Covers Period To">
    <vt:lpwstr/>
  </property>
  <property fmtid="{D5CDD505-2E9C-101B-9397-08002B2CF9AE}" pid="48" name="Objective-Description">
    <vt:lpwstr/>
  </property>
  <property fmtid="{D5CDD505-2E9C-101B-9397-08002B2CF9AE}" pid="49" name="Objective-VersionId">
    <vt:lpwstr>vA72241390</vt:lpwstr>
  </property>
  <property fmtid="{D5CDD505-2E9C-101B-9397-08002B2CF9AE}" pid="50" name="Objective-Status">
    <vt:lpwstr/>
  </property>
  <property fmtid="{D5CDD505-2E9C-101B-9397-08002B2CF9AE}" pid="51" name="MSIP_Label_69af8531-eb46-4968-8cb3-105d2f5ea87e_Enabled">
    <vt:lpwstr>true</vt:lpwstr>
  </property>
  <property fmtid="{D5CDD505-2E9C-101B-9397-08002B2CF9AE}" pid="52" name="MSIP_Label_69af8531-eb46-4968-8cb3-105d2f5ea87e_SetDate">
    <vt:lpwstr>2025-05-02T04:03:59Z</vt:lpwstr>
  </property>
  <property fmtid="{D5CDD505-2E9C-101B-9397-08002B2CF9AE}" pid="53" name="MSIP_Label_69af8531-eb46-4968-8cb3-105d2f5ea87e_Method">
    <vt:lpwstr>Standard</vt:lpwstr>
  </property>
  <property fmtid="{D5CDD505-2E9C-101B-9397-08002B2CF9AE}" pid="54" name="MSIP_Label_69af8531-eb46-4968-8cb3-105d2f5ea87e_Name">
    <vt:lpwstr>Official - No Marking</vt:lpwstr>
  </property>
  <property fmtid="{D5CDD505-2E9C-101B-9397-08002B2CF9AE}" pid="55" name="MSIP_Label_69af8531-eb46-4968-8cb3-105d2f5ea87e_SiteId">
    <vt:lpwstr>b46c1908-0334-4236-b978-585ee88e4199</vt:lpwstr>
  </property>
  <property fmtid="{D5CDD505-2E9C-101B-9397-08002B2CF9AE}" pid="56" name="MSIP_Label_69af8531-eb46-4968-8cb3-105d2f5ea87e_ActionId">
    <vt:lpwstr>711e33ef-2c6f-4e67-a67b-4ff9a0d077f1</vt:lpwstr>
  </property>
  <property fmtid="{D5CDD505-2E9C-101B-9397-08002B2CF9AE}" pid="57" name="MSIP_Label_69af8531-eb46-4968-8cb3-105d2f5ea87e_ContentBits">
    <vt:lpwstr>0</vt:lpwstr>
  </property>
  <property fmtid="{D5CDD505-2E9C-101B-9397-08002B2CF9AE}" pid="58" name="MSIP_Label_69af8531-eb46-4968-8cb3-105d2f5ea87e_Tag">
    <vt:lpwstr>10, 3, 0, 1</vt:lpwstr>
  </property>
  <property fmtid="{D5CDD505-2E9C-101B-9397-08002B2CF9AE}" pid="59" name="Objective-S28 Exemption Number">
    <vt:lpwstr/>
  </property>
  <property fmtid="{D5CDD505-2E9C-101B-9397-08002B2CF9AE}" pid="60" name="Objective-S28 Exemption">
    <vt:lpwstr/>
  </property>
  <property fmtid="{D5CDD505-2E9C-101B-9397-08002B2CF9AE}" pid="61" name="Objective-S28 Exemption Reason">
    <vt:lpwstr/>
  </property>
  <property fmtid="{D5CDD505-2E9C-101B-9397-08002B2CF9AE}" pid="62" name="Objective-S28 Comments if partial exemption">
    <vt:lpwstr/>
  </property>
  <property fmtid="{D5CDD505-2E9C-101B-9397-08002B2CF9AE}" pid="63" name="Objective-S28 Date Approved">
    <vt:lpwstr/>
  </property>
  <property fmtid="{D5CDD505-2E9C-101B-9397-08002B2CF9AE}" pid="64" name="CHECKEDOUTFROMJMS">
    <vt:lpwstr/>
  </property>
  <property fmtid="{D5CDD505-2E9C-101B-9397-08002B2CF9AE}" pid="65" name="DMSID">
    <vt:lpwstr>14749983</vt:lpwstr>
  </property>
  <property fmtid="{D5CDD505-2E9C-101B-9397-08002B2CF9AE}" pid="66" name="JMSREQUIREDCHECKIN">
    <vt:lpwstr/>
  </property>
</Properties>
</file>