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7648"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1D955DF5" w14:textId="041B050D" w:rsidR="006815C9" w:rsidRDefault="00335543">
      <w:pPr>
        <w:pStyle w:val="Billname"/>
        <w:spacing w:before="700"/>
      </w:pPr>
      <w:r>
        <w:t xml:space="preserve">Civil </w:t>
      </w:r>
      <w:r w:rsidR="00312FF7">
        <w:t>Law (Sale of Residential Property)</w:t>
      </w:r>
      <w:r>
        <w:t xml:space="preserve"> Amendment Regulation</w:t>
      </w:r>
      <w:r w:rsidR="003950F7">
        <w:t xml:space="preserve"> </w:t>
      </w:r>
      <w:r w:rsidR="006F193D">
        <w:t>2025</w:t>
      </w:r>
      <w:r w:rsidR="00217CE6">
        <w:t xml:space="preserve"> (No 1)</w:t>
      </w:r>
    </w:p>
    <w:p w14:paraId="06424385" w14:textId="6FE78DB2" w:rsidR="006815C9" w:rsidRDefault="00F5371D" w:rsidP="00091D34">
      <w:pPr>
        <w:spacing w:before="340"/>
        <w:rPr>
          <w:rFonts w:ascii="Arial" w:hAnsi="Arial" w:cs="Arial"/>
          <w:b/>
          <w:bCs/>
        </w:rPr>
      </w:pPr>
      <w:r>
        <w:rPr>
          <w:rFonts w:ascii="Arial" w:hAnsi="Arial" w:cs="Arial"/>
          <w:b/>
          <w:bCs/>
        </w:rPr>
        <w:t>Subordinate law SL</w:t>
      </w:r>
      <w:r w:rsidR="00C63C59">
        <w:rPr>
          <w:rFonts w:ascii="Arial" w:hAnsi="Arial" w:cs="Arial"/>
          <w:b/>
          <w:bCs/>
        </w:rPr>
        <w:t>202</w:t>
      </w:r>
      <w:r w:rsidR="00A051B7">
        <w:rPr>
          <w:rFonts w:ascii="Arial" w:hAnsi="Arial" w:cs="Arial"/>
          <w:b/>
          <w:bCs/>
        </w:rPr>
        <w:t>5</w:t>
      </w:r>
      <w:r w:rsidR="006815C9">
        <w:rPr>
          <w:rFonts w:ascii="Arial" w:hAnsi="Arial" w:cs="Arial"/>
          <w:b/>
          <w:bCs/>
        </w:rPr>
        <w:t>–</w:t>
      </w:r>
      <w:r w:rsidR="00217CE6">
        <w:rPr>
          <w:rFonts w:ascii="Arial" w:hAnsi="Arial" w:cs="Arial"/>
          <w:b/>
          <w:bCs/>
        </w:rPr>
        <w:t>22</w:t>
      </w:r>
    </w:p>
    <w:p w14:paraId="3724EBAE" w14:textId="77777777" w:rsidR="006815C9" w:rsidRDefault="006815C9" w:rsidP="00091D34">
      <w:pPr>
        <w:pStyle w:val="madeunder"/>
        <w:spacing w:before="300" w:after="0"/>
      </w:pPr>
      <w:r>
        <w:t xml:space="preserve">made under the  </w:t>
      </w:r>
    </w:p>
    <w:p w14:paraId="1E724C0D" w14:textId="7D3BD7A8" w:rsidR="006815C9" w:rsidRDefault="00B673C3" w:rsidP="00091D34">
      <w:pPr>
        <w:pStyle w:val="CoverActName"/>
        <w:spacing w:before="320" w:after="0"/>
        <w:rPr>
          <w:rFonts w:cs="Arial"/>
          <w:sz w:val="20"/>
        </w:rPr>
      </w:pPr>
      <w:r>
        <w:rPr>
          <w:rFonts w:cs="Arial"/>
          <w:sz w:val="20"/>
        </w:rPr>
        <w:t>Civil Law (Sale of Residential Property) Act 2003</w:t>
      </w:r>
      <w:r w:rsidR="00E37709">
        <w:rPr>
          <w:rFonts w:cs="Arial"/>
          <w:sz w:val="20"/>
        </w:rPr>
        <w:t>, s 40 (Regulation-making power)</w:t>
      </w:r>
    </w:p>
    <w:p w14:paraId="21DC6066"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E6ADC15" w14:textId="77777777" w:rsidR="006815C9" w:rsidRDefault="006815C9">
      <w:pPr>
        <w:pStyle w:val="N-line3"/>
        <w:pBdr>
          <w:bottom w:val="none" w:sz="0" w:space="0" w:color="auto"/>
        </w:pBdr>
      </w:pPr>
    </w:p>
    <w:p w14:paraId="0489DFDC" w14:textId="77777777" w:rsidR="006815C9" w:rsidRDefault="006815C9">
      <w:pPr>
        <w:pStyle w:val="N-line3"/>
        <w:pBdr>
          <w:top w:val="single" w:sz="12" w:space="1" w:color="auto"/>
          <w:bottom w:val="none" w:sz="0" w:space="0" w:color="auto"/>
        </w:pBdr>
      </w:pPr>
    </w:p>
    <w:bookmarkEnd w:id="0"/>
    <w:p w14:paraId="42A71127" w14:textId="388031A8" w:rsidR="00AD6A09" w:rsidRDefault="00AD6A09" w:rsidP="00AD6A09">
      <w:r>
        <w:t xml:space="preserve">This </w:t>
      </w:r>
      <w:r w:rsidR="008A4208">
        <w:t>explanatory s</w:t>
      </w:r>
      <w:r w:rsidR="000539F6">
        <w:t xml:space="preserve">tatement </w:t>
      </w:r>
      <w:r>
        <w:t xml:space="preserve">relates to the </w:t>
      </w:r>
      <w:r w:rsidR="00312FF7">
        <w:rPr>
          <w:i/>
        </w:rPr>
        <w:t xml:space="preserve">Civil Law (Sale of Residential Property) </w:t>
      </w:r>
      <w:r w:rsidR="00335543">
        <w:rPr>
          <w:i/>
        </w:rPr>
        <w:t xml:space="preserve">Amendment Regulation </w:t>
      </w:r>
      <w:r w:rsidR="00312FF7">
        <w:rPr>
          <w:i/>
        </w:rPr>
        <w:t>2025</w:t>
      </w:r>
      <w:r w:rsidR="00217CE6">
        <w:rPr>
          <w:i/>
        </w:rPr>
        <w:t xml:space="preserve"> (No 1)</w:t>
      </w:r>
      <w:r w:rsidR="00312FF7">
        <w:rPr>
          <w:i/>
        </w:rPr>
        <w:t xml:space="preserve"> </w:t>
      </w:r>
      <w:r w:rsidR="00AC1019">
        <w:rPr>
          <w:iCs/>
        </w:rPr>
        <w:t xml:space="preserve">(the </w:t>
      </w:r>
      <w:r w:rsidR="008A4208">
        <w:rPr>
          <w:b/>
          <w:bCs/>
          <w:i/>
        </w:rPr>
        <w:t>r</w:t>
      </w:r>
      <w:r w:rsidR="00AC1019" w:rsidRPr="00E37709">
        <w:rPr>
          <w:b/>
          <w:bCs/>
          <w:i/>
        </w:rPr>
        <w:t>egulation</w:t>
      </w:r>
      <w:r w:rsidR="00AC1019">
        <w:rPr>
          <w:iCs/>
        </w:rPr>
        <w:t>)</w:t>
      </w:r>
      <w:r w:rsidR="008A4208">
        <w:rPr>
          <w:iCs/>
        </w:rPr>
        <w:t xml:space="preserve"> as made by the Executive</w:t>
      </w:r>
      <w:r w:rsidR="0013770F">
        <w:rPr>
          <w:iCs/>
        </w:rPr>
        <w:t xml:space="preserve">. </w:t>
      </w:r>
      <w:r w:rsidR="00C7642F">
        <w:rPr>
          <w:iCs/>
        </w:rPr>
        <w:t xml:space="preserve">It </w:t>
      </w:r>
      <w:r w:rsidR="00CB50BA">
        <w:rPr>
          <w:iCs/>
        </w:rPr>
        <w:t>has been</w:t>
      </w:r>
      <w:r w:rsidR="00C7642F">
        <w:rPr>
          <w:iCs/>
        </w:rPr>
        <w:t xml:space="preserve"> prepared to assist the reader </w:t>
      </w:r>
      <w:r w:rsidR="008A4208">
        <w:rPr>
          <w:iCs/>
        </w:rPr>
        <w:t xml:space="preserve">of the </w:t>
      </w:r>
      <w:r w:rsidR="001C2014">
        <w:rPr>
          <w:iCs/>
        </w:rPr>
        <w:t>r</w:t>
      </w:r>
      <w:r w:rsidR="008A4208">
        <w:rPr>
          <w:iCs/>
        </w:rPr>
        <w:t xml:space="preserve">egulation. </w:t>
      </w:r>
      <w:r w:rsidR="006E713F">
        <w:rPr>
          <w:iCs/>
        </w:rPr>
        <w:t xml:space="preserve">It does not form part of the </w:t>
      </w:r>
      <w:r w:rsidR="007F6AE4">
        <w:rPr>
          <w:iCs/>
        </w:rPr>
        <w:t>r</w:t>
      </w:r>
      <w:r w:rsidR="006E713F">
        <w:rPr>
          <w:iCs/>
        </w:rPr>
        <w:t xml:space="preserve">egulation and has not been endorsed by the Legislative Assembly. </w:t>
      </w:r>
    </w:p>
    <w:p w14:paraId="1E49EE12" w14:textId="77777777" w:rsidR="00AD6A09" w:rsidRDefault="00AD6A09" w:rsidP="00AD6A09"/>
    <w:p w14:paraId="153EE768" w14:textId="5C6B6806" w:rsidR="00AD6A09" w:rsidRDefault="00AD6A09" w:rsidP="00AD6A09">
      <w:pPr>
        <w:rPr>
          <w:sz w:val="22"/>
        </w:rPr>
      </w:pPr>
      <w:r>
        <w:rPr>
          <w:rStyle w:val="ui-provider"/>
        </w:rPr>
        <w:t>Th</w:t>
      </w:r>
      <w:r w:rsidR="008A4208">
        <w:rPr>
          <w:rStyle w:val="ui-provider"/>
        </w:rPr>
        <w:t>is</w:t>
      </w:r>
      <w:r w:rsidR="003A487F">
        <w:rPr>
          <w:rStyle w:val="ui-provider"/>
        </w:rPr>
        <w:t xml:space="preserve"> </w:t>
      </w:r>
      <w:r w:rsidR="008A4208">
        <w:rPr>
          <w:rStyle w:val="ui-provider"/>
        </w:rPr>
        <w:t>s</w:t>
      </w:r>
      <w:r w:rsidR="003A487F">
        <w:rPr>
          <w:rStyle w:val="ui-provider"/>
        </w:rPr>
        <w:t xml:space="preserve">tatement must be read in conjunction with the </w:t>
      </w:r>
      <w:r w:rsidR="008A4208">
        <w:rPr>
          <w:rStyle w:val="ui-provider"/>
        </w:rPr>
        <w:t>r</w:t>
      </w:r>
      <w:r w:rsidR="003A487F" w:rsidRPr="00E37709">
        <w:rPr>
          <w:rStyle w:val="ui-provider"/>
        </w:rPr>
        <w:t>egulation</w:t>
      </w:r>
      <w:r w:rsidR="003A487F">
        <w:rPr>
          <w:rStyle w:val="ui-provider"/>
        </w:rPr>
        <w:t xml:space="preserve">. It is not, and is not meant to be, a </w:t>
      </w:r>
      <w:r w:rsidR="00670B21">
        <w:rPr>
          <w:rStyle w:val="ui-provider"/>
        </w:rPr>
        <w:t xml:space="preserve">comprehensive description of the </w:t>
      </w:r>
      <w:r w:rsidR="008A4208" w:rsidRPr="00E37709">
        <w:rPr>
          <w:rStyle w:val="ui-provider"/>
        </w:rPr>
        <w:t>r</w:t>
      </w:r>
      <w:r w:rsidR="00670B21" w:rsidRPr="00E37709">
        <w:rPr>
          <w:rStyle w:val="ui-provider"/>
        </w:rPr>
        <w:t>egulation</w:t>
      </w:r>
      <w:r w:rsidR="00670B21">
        <w:rPr>
          <w:rStyle w:val="ui-provider"/>
        </w:rPr>
        <w:t>.</w:t>
      </w:r>
      <w:r>
        <w:rPr>
          <w:rStyle w:val="ui-provider"/>
        </w:rPr>
        <w:t xml:space="preserve"> What is said about a provision is not to be taken as an authoritative guide to the meaning of a provision, this being a task for the courts.</w:t>
      </w:r>
    </w:p>
    <w:p w14:paraId="431C07B4" w14:textId="77777777" w:rsidR="00A7362A" w:rsidRDefault="00A7362A" w:rsidP="00C63C59">
      <w:pPr>
        <w:rPr>
          <w:b/>
        </w:rPr>
      </w:pPr>
    </w:p>
    <w:p w14:paraId="7A59EE24" w14:textId="1F829AE7" w:rsidR="00A7362A" w:rsidRDefault="008A4208" w:rsidP="00C63C59">
      <w:pPr>
        <w:rPr>
          <w:b/>
        </w:rPr>
      </w:pPr>
      <w:r>
        <w:rPr>
          <w:b/>
        </w:rPr>
        <w:t>Overview</w:t>
      </w:r>
    </w:p>
    <w:p w14:paraId="55518FEE" w14:textId="77777777" w:rsidR="00E37709" w:rsidRDefault="00E37709" w:rsidP="00C63C59">
      <w:pPr>
        <w:rPr>
          <w:bCs/>
        </w:rPr>
      </w:pPr>
    </w:p>
    <w:p w14:paraId="3B1D8625" w14:textId="045A0976" w:rsidR="00E37709" w:rsidRDefault="007F6AE4" w:rsidP="00C63C59">
      <w:pPr>
        <w:rPr>
          <w:color w:val="000000"/>
          <w:shd w:val="clear" w:color="auto" w:fill="FFFFFF"/>
        </w:rPr>
      </w:pPr>
      <w:r>
        <w:rPr>
          <w:bCs/>
        </w:rPr>
        <w:t xml:space="preserve">This regulation amends the </w:t>
      </w:r>
      <w:r>
        <w:rPr>
          <w:i/>
          <w:iCs/>
        </w:rPr>
        <w:t>Civil Law (Sale of Residential Property) Regulation</w:t>
      </w:r>
      <w:r w:rsidR="003B1F4C">
        <w:rPr>
          <w:i/>
          <w:iCs/>
        </w:rPr>
        <w:t xml:space="preserve"> </w:t>
      </w:r>
      <w:r w:rsidRPr="007F6AE4">
        <w:rPr>
          <w:i/>
          <w:iCs/>
        </w:rPr>
        <w:t>2004</w:t>
      </w:r>
      <w:r>
        <w:t>.</w:t>
      </w:r>
      <w:r w:rsidR="00E37709">
        <w:t xml:space="preserve"> It </w:t>
      </w:r>
      <w:r w:rsidR="001A64C8">
        <w:rPr>
          <w:bCs/>
        </w:rPr>
        <w:t xml:space="preserve">supports implementation of the </w:t>
      </w:r>
      <w:r w:rsidR="00E37709">
        <w:rPr>
          <w:i/>
          <w:iCs/>
          <w:color w:val="000000"/>
        </w:rPr>
        <w:t xml:space="preserve">Property Developers Act 2024. </w:t>
      </w:r>
      <w:r w:rsidR="00E37709">
        <w:rPr>
          <w:color w:val="000000"/>
        </w:rPr>
        <w:t xml:space="preserve">The </w:t>
      </w:r>
      <w:r w:rsidR="00E37709">
        <w:rPr>
          <w:i/>
          <w:iCs/>
          <w:color w:val="000000"/>
        </w:rPr>
        <w:t xml:space="preserve">Property Developers Act 2024 </w:t>
      </w:r>
      <w:r w:rsidR="00E37709" w:rsidRPr="008A059D">
        <w:rPr>
          <w:color w:val="000000"/>
          <w:shd w:val="clear" w:color="auto" w:fill="FFFFFF"/>
        </w:rPr>
        <w:t>establishes a framework for licensing certain residential property developers, and a regulatory scheme to bring these property developers into the regulatory chain of accountability for building work they are involved in</w:t>
      </w:r>
      <w:r w:rsidR="00E37709">
        <w:rPr>
          <w:color w:val="000000"/>
          <w:shd w:val="clear" w:color="auto" w:fill="FFFFFF"/>
        </w:rPr>
        <w:t>.</w:t>
      </w:r>
    </w:p>
    <w:p w14:paraId="3B06C9AE" w14:textId="77777777" w:rsidR="00A049D4" w:rsidRDefault="00A049D4" w:rsidP="00C63C59">
      <w:pPr>
        <w:rPr>
          <w:color w:val="000000"/>
          <w:shd w:val="clear" w:color="auto" w:fill="FFFFFF"/>
        </w:rPr>
      </w:pPr>
    </w:p>
    <w:p w14:paraId="1075D5C5" w14:textId="4A5A19DB" w:rsidR="00A049D4" w:rsidRPr="00A049D4" w:rsidRDefault="00A049D4" w:rsidP="00C63C59">
      <w:pPr>
        <w:rPr>
          <w:bCs/>
          <w:i/>
          <w:iCs/>
        </w:rPr>
      </w:pPr>
      <w:r>
        <w:rPr>
          <w:color w:val="000000"/>
          <w:shd w:val="clear" w:color="auto" w:fill="FFFFFF"/>
        </w:rPr>
        <w:t xml:space="preserve">The regulation is made under section 40 of the </w:t>
      </w:r>
      <w:r>
        <w:rPr>
          <w:i/>
          <w:iCs/>
          <w:color w:val="000000"/>
          <w:shd w:val="clear" w:color="auto" w:fill="FFFFFF"/>
        </w:rPr>
        <w:t>Civil Law (Sale of Residential Property) Act 2003.</w:t>
      </w:r>
    </w:p>
    <w:p w14:paraId="5916D304" w14:textId="77777777" w:rsidR="00E37709" w:rsidRDefault="00E37709" w:rsidP="00C63C59">
      <w:pPr>
        <w:rPr>
          <w:bCs/>
        </w:rPr>
      </w:pPr>
    </w:p>
    <w:p w14:paraId="2B0C5C31" w14:textId="3E608F13" w:rsidR="00EE3A30" w:rsidRDefault="00EE3A30" w:rsidP="00AD6A09">
      <w:r>
        <w:t>The purpose of th</w:t>
      </w:r>
      <w:r w:rsidR="00EB2C61">
        <w:t>is</w:t>
      </w:r>
      <w:r>
        <w:t xml:space="preserve"> </w:t>
      </w:r>
      <w:r w:rsidR="001A64C8" w:rsidRPr="00E37709">
        <w:t>r</w:t>
      </w:r>
      <w:r w:rsidRPr="00E37709">
        <w:t>egulation</w:t>
      </w:r>
      <w:r>
        <w:rPr>
          <w:b/>
          <w:bCs/>
        </w:rPr>
        <w:t xml:space="preserve"> </w:t>
      </w:r>
      <w:r>
        <w:t xml:space="preserve">is to create specific exemptions from the property developer licensing requirements for individuals or entities who are on-selling an off-the-plan property </w:t>
      </w:r>
      <w:r w:rsidR="00335CB3">
        <w:t xml:space="preserve">that </w:t>
      </w:r>
      <w:r w:rsidR="001A64C8">
        <w:t xml:space="preserve">was </w:t>
      </w:r>
      <w:r w:rsidR="00335CB3">
        <w:t>previously purchased.</w:t>
      </w:r>
      <w:r w:rsidR="006B62DB">
        <w:t xml:space="preserve"> This typically refers to buyers that purchase a property from a developer before it is </w:t>
      </w:r>
      <w:r w:rsidR="001A64C8">
        <w:t>built and</w:t>
      </w:r>
      <w:r w:rsidR="006B62DB">
        <w:t xml:space="preserve"> </w:t>
      </w:r>
      <w:r w:rsidR="00080D5F">
        <w:t xml:space="preserve">then </w:t>
      </w:r>
      <w:r w:rsidR="003E4F0E">
        <w:t xml:space="preserve">on </w:t>
      </w:r>
      <w:r w:rsidR="00080D5F">
        <w:t xml:space="preserve">sold to another buyer before </w:t>
      </w:r>
      <w:r w:rsidR="001A64C8">
        <w:t>(</w:t>
      </w:r>
      <w:r w:rsidR="00080D5F">
        <w:t>or after</w:t>
      </w:r>
      <w:r w:rsidR="001A64C8">
        <w:t>)</w:t>
      </w:r>
      <w:r w:rsidR="00080D5F">
        <w:t xml:space="preserve"> settlement</w:t>
      </w:r>
      <w:r w:rsidR="001A64C8">
        <w:t>,</w:t>
      </w:r>
      <w:r w:rsidR="00080D5F">
        <w:t xml:space="preserve"> without ever occupying it.</w:t>
      </w:r>
    </w:p>
    <w:p w14:paraId="59FAA11D" w14:textId="77777777" w:rsidR="00BF6075" w:rsidRDefault="00BF6075" w:rsidP="00AD6A09"/>
    <w:p w14:paraId="4B7D06C5" w14:textId="1D5F1EFD" w:rsidR="00BF6075" w:rsidRDefault="00F56BE9" w:rsidP="00AD6A09">
      <w:r>
        <w:t xml:space="preserve">This </w:t>
      </w:r>
      <w:r w:rsidR="001A64C8" w:rsidRPr="00E37709">
        <w:t>r</w:t>
      </w:r>
      <w:r w:rsidRPr="00E37709">
        <w:t>egulation</w:t>
      </w:r>
      <w:r>
        <w:rPr>
          <w:b/>
          <w:bCs/>
        </w:rPr>
        <w:t xml:space="preserve"> </w:t>
      </w:r>
      <w:r>
        <w:t>ensures that subsequent</w:t>
      </w:r>
      <w:r w:rsidR="003E4F0E">
        <w:t>,</w:t>
      </w:r>
      <w:r>
        <w:t xml:space="preserve"> or </w:t>
      </w:r>
      <w:r w:rsidR="003E4F0E">
        <w:t>‘</w:t>
      </w:r>
      <w:r>
        <w:t>second-hand sellers</w:t>
      </w:r>
      <w:r w:rsidR="003E4F0E">
        <w:t>’</w:t>
      </w:r>
      <w:r>
        <w:t xml:space="preserve"> are not captured by the </w:t>
      </w:r>
      <w:r w:rsidR="002B6F0D">
        <w:t xml:space="preserve">requirements </w:t>
      </w:r>
      <w:r w:rsidR="00262503">
        <w:t xml:space="preserve">of the </w:t>
      </w:r>
      <w:r w:rsidR="003E4F0E">
        <w:t>s</w:t>
      </w:r>
      <w:r w:rsidR="00262503" w:rsidRPr="00E37709">
        <w:t>cheme</w:t>
      </w:r>
      <w:r w:rsidR="003E4F0E">
        <w:rPr>
          <w:b/>
          <w:bCs/>
        </w:rPr>
        <w:t>,</w:t>
      </w:r>
      <w:r w:rsidR="00262503">
        <w:rPr>
          <w:b/>
          <w:bCs/>
          <w:i/>
          <w:iCs/>
        </w:rPr>
        <w:t xml:space="preserve"> </w:t>
      </w:r>
      <w:r w:rsidR="00B729A6">
        <w:t>which were intended for the original property developer</w:t>
      </w:r>
      <w:r w:rsidR="00E10DB5">
        <w:t>,</w:t>
      </w:r>
      <w:r w:rsidR="0042708A">
        <w:t xml:space="preserve"> provided</w:t>
      </w:r>
      <w:r w:rsidR="00E10DB5">
        <w:t xml:space="preserve"> they are not property developers themselves.</w:t>
      </w:r>
      <w:r w:rsidR="00197C57">
        <w:t xml:space="preserve"> To maintain transparency</w:t>
      </w:r>
      <w:r w:rsidR="00B67DEA">
        <w:t xml:space="preserve">, the </w:t>
      </w:r>
      <w:r w:rsidR="001F32E1" w:rsidRPr="00E37709">
        <w:t>r</w:t>
      </w:r>
      <w:r w:rsidR="00B67DEA" w:rsidRPr="00E37709">
        <w:t>egulation</w:t>
      </w:r>
      <w:r w:rsidR="00B67DEA">
        <w:rPr>
          <w:b/>
          <w:bCs/>
        </w:rPr>
        <w:t xml:space="preserve"> </w:t>
      </w:r>
      <w:r w:rsidR="00B67DEA">
        <w:t>imposes disclosure requirements on exempt sellers to ensure that the</w:t>
      </w:r>
      <w:r w:rsidR="007E6C1C">
        <w:t xml:space="preserve"> next purchaser is aware of the original licensed developer. </w:t>
      </w:r>
    </w:p>
    <w:p w14:paraId="62B93A55" w14:textId="77777777" w:rsidR="00A049D4" w:rsidRDefault="00A049D4" w:rsidP="00AD6A09"/>
    <w:p w14:paraId="033C8EE3" w14:textId="13F41666" w:rsidR="00A049D4" w:rsidRDefault="00A049D4" w:rsidP="00A049D4">
      <w:r>
        <w:rPr>
          <w:rFonts w:cstheme="minorHAnsi"/>
          <w:szCs w:val="24"/>
          <w:lang w:eastAsia="en-AU"/>
        </w:rPr>
        <w:t>Applications</w:t>
      </w:r>
      <w:r>
        <w:t xml:space="preserve"> for property developer licenses will be accepted from 1 October 2025. From 1 October</w:t>
      </w:r>
      <w:r w:rsidR="003B1F4C">
        <w:t> </w:t>
      </w:r>
      <w:r>
        <w:t xml:space="preserve">2026 it will be mandatory for certain residential property developers to hold a licence. This regulation provides clarity regarding what types of people </w:t>
      </w:r>
      <w:r w:rsidR="00D87BA5">
        <w:t xml:space="preserve">the </w:t>
      </w:r>
      <w:r>
        <w:t xml:space="preserve">various provisions in the </w:t>
      </w:r>
      <w:r>
        <w:rPr>
          <w:i/>
          <w:iCs/>
          <w:color w:val="000000"/>
        </w:rPr>
        <w:t xml:space="preserve">Property Developers Act 2024 </w:t>
      </w:r>
      <w:r>
        <w:t>will apply to, and those who will be exempted from th</w:t>
      </w:r>
      <w:r w:rsidR="00B11CBA">
        <w:t>at</w:t>
      </w:r>
      <w:r>
        <w:t xml:space="preserve"> Act or particular provisions in it.</w:t>
      </w:r>
    </w:p>
    <w:p w14:paraId="4B683074" w14:textId="77777777" w:rsidR="00A049D4" w:rsidRDefault="00A049D4" w:rsidP="00AD6A09"/>
    <w:p w14:paraId="4ECD1913" w14:textId="453C50DA" w:rsidR="0031124F" w:rsidRPr="0031124F" w:rsidRDefault="00E82532" w:rsidP="0031124F">
      <w:pPr>
        <w:rPr>
          <w:b/>
        </w:rPr>
      </w:pPr>
      <w:r>
        <w:rPr>
          <w:b/>
        </w:rPr>
        <w:t>Regulatory Impact Statement</w:t>
      </w:r>
      <w:r w:rsidR="001F32E1">
        <w:rPr>
          <w:b/>
        </w:rPr>
        <w:t xml:space="preserve"> (RIS)</w:t>
      </w:r>
    </w:p>
    <w:p w14:paraId="2B78CE40" w14:textId="77777777" w:rsidR="00A049D4" w:rsidRDefault="00A049D4">
      <w:pPr>
        <w:rPr>
          <w:color w:val="000000"/>
          <w:shd w:val="clear" w:color="auto" w:fill="FFFFFF"/>
        </w:rPr>
      </w:pPr>
    </w:p>
    <w:p w14:paraId="57385AA9" w14:textId="77777777" w:rsidR="00A049D4" w:rsidRPr="00182BCB" w:rsidRDefault="00A049D4" w:rsidP="00A049D4">
      <w:pPr>
        <w:pStyle w:val="NormalWeb"/>
        <w:shd w:val="clear" w:color="auto" w:fill="FFFFFF"/>
        <w:spacing w:before="0" w:beforeAutospacing="0" w:after="0" w:afterAutospacing="0"/>
      </w:pPr>
      <w:r w:rsidRPr="00182BCB">
        <w:t xml:space="preserve">Section 34 of the </w:t>
      </w:r>
      <w:r w:rsidRPr="00304917">
        <w:rPr>
          <w:i/>
          <w:iCs/>
        </w:rPr>
        <w:t>Legislation Act 2001</w:t>
      </w:r>
      <w:r>
        <w:t xml:space="preserve"> (the </w:t>
      </w:r>
      <w:r w:rsidRPr="00304917">
        <w:rPr>
          <w:b/>
          <w:bCs/>
          <w:i/>
          <w:iCs/>
        </w:rPr>
        <w:t>Legislation Act</w:t>
      </w:r>
      <w:r>
        <w:t>)</w:t>
      </w:r>
      <w:r w:rsidRPr="00182BCB">
        <w:t xml:space="preserve"> provides that if a proposed subordinate law or disallowable instrument (the </w:t>
      </w:r>
      <w:r w:rsidRPr="000060D2">
        <w:rPr>
          <w:b/>
          <w:bCs/>
          <w:i/>
          <w:iCs/>
        </w:rPr>
        <w:t>proposed law</w:t>
      </w:r>
      <w:r w:rsidRPr="00182BCB">
        <w:t xml:space="preserve">) is likely to impose appreciable costs on the community, or a part of the community, then, before the proposed law is made, the Minister administering the authorising law must arrange for a </w:t>
      </w:r>
      <w:r>
        <w:t>Regulatory Impact Statement (</w:t>
      </w:r>
      <w:r w:rsidRPr="00304917">
        <w:rPr>
          <w:b/>
          <w:bCs/>
          <w:i/>
          <w:iCs/>
        </w:rPr>
        <w:t>RIS</w:t>
      </w:r>
      <w:r>
        <w:t>)</w:t>
      </w:r>
      <w:r w:rsidRPr="00182BCB">
        <w:t xml:space="preserve"> to be prepared for the proposed law.</w:t>
      </w:r>
    </w:p>
    <w:p w14:paraId="27FAF8C9" w14:textId="77777777" w:rsidR="00A049D4" w:rsidRDefault="00A049D4" w:rsidP="00A049D4">
      <w:pPr>
        <w:pStyle w:val="NormalWeb"/>
        <w:shd w:val="clear" w:color="auto" w:fill="FFFFFF"/>
        <w:spacing w:before="0" w:beforeAutospacing="0" w:after="0" w:afterAutospacing="0"/>
      </w:pPr>
    </w:p>
    <w:p w14:paraId="6227065E" w14:textId="687EB117" w:rsidR="00A049D4" w:rsidRDefault="00A049D4" w:rsidP="00A049D4">
      <w:pPr>
        <w:pStyle w:val="NormalWeb"/>
        <w:shd w:val="clear" w:color="auto" w:fill="FFFFFF"/>
        <w:spacing w:before="0" w:beforeAutospacing="0" w:after="0" w:afterAutospacing="0"/>
      </w:pPr>
      <w:r>
        <w:t>R</w:t>
      </w:r>
      <w:r w:rsidRPr="00182BCB">
        <w:t>egulatory impact was considered by government as part of the policy approval for the Act</w:t>
      </w:r>
      <w:r>
        <w:t>, including advice on exemptions</w:t>
      </w:r>
      <w:r w:rsidRPr="00182BCB">
        <w:t xml:space="preserve">. </w:t>
      </w:r>
      <w:r w:rsidRPr="008C2EB9">
        <w:t>The</w:t>
      </w:r>
      <w:r w:rsidRPr="00182BCB">
        <w:t xml:space="preserve"> </w:t>
      </w:r>
      <w:r w:rsidR="00B11CBA">
        <w:rPr>
          <w:i/>
          <w:iCs/>
          <w:color w:val="000000"/>
        </w:rPr>
        <w:t xml:space="preserve">Property Developers Act 2024 </w:t>
      </w:r>
      <w:r w:rsidRPr="008C2EB9">
        <w:t xml:space="preserve">establishes the ACT’s </w:t>
      </w:r>
      <w:r w:rsidRPr="00182BCB">
        <w:t xml:space="preserve">developer licensing and regulation </w:t>
      </w:r>
      <w:r w:rsidRPr="008C2EB9">
        <w:t>scheme, the requirement to be</w:t>
      </w:r>
      <w:r w:rsidRPr="00182BCB">
        <w:t xml:space="preserve"> licensed</w:t>
      </w:r>
      <w:r>
        <w:t>, and</w:t>
      </w:r>
      <w:r w:rsidRPr="008C2EB9">
        <w:t xml:space="preserve"> the obligations on </w:t>
      </w:r>
      <w:r w:rsidRPr="00182BCB">
        <w:t>relevant property developers</w:t>
      </w:r>
      <w:r>
        <w:t xml:space="preserve"> including payment of licensing fees</w:t>
      </w:r>
      <w:r w:rsidRPr="008C2EB9">
        <w:t>.</w:t>
      </w:r>
    </w:p>
    <w:p w14:paraId="0E2C2BB4" w14:textId="77777777" w:rsidR="00A049D4" w:rsidRDefault="00A049D4" w:rsidP="00A049D4"/>
    <w:p w14:paraId="4F954CEA" w14:textId="5F5C9DD7" w:rsidR="00A049D4" w:rsidRDefault="00A049D4" w:rsidP="00A049D4">
      <w:r>
        <w:t xml:space="preserve">This regulation does not impose an additional regulatory burden on people that the </w:t>
      </w:r>
      <w:r w:rsidR="00B11CBA">
        <w:rPr>
          <w:i/>
          <w:iCs/>
          <w:color w:val="000000"/>
        </w:rPr>
        <w:t xml:space="preserve">Property Developers Act 2024 </w:t>
      </w:r>
      <w:r>
        <w:t>applies to. As such, a RIS is not required to support this regulation.</w:t>
      </w:r>
    </w:p>
    <w:p w14:paraId="4A8B536D" w14:textId="77777777" w:rsidR="00A049D4" w:rsidRDefault="00A049D4">
      <w:pPr>
        <w:rPr>
          <w:color w:val="000000"/>
          <w:shd w:val="clear" w:color="auto" w:fill="FFFFFF"/>
        </w:rPr>
      </w:pPr>
    </w:p>
    <w:p w14:paraId="5F1B46D6" w14:textId="77777777" w:rsidR="00A049D4" w:rsidRDefault="00A049D4" w:rsidP="00A049D4">
      <w:pPr>
        <w:rPr>
          <w:b/>
        </w:rPr>
      </w:pPr>
      <w:r>
        <w:rPr>
          <w:b/>
        </w:rPr>
        <w:t>Consistency with Human Rights</w:t>
      </w:r>
    </w:p>
    <w:p w14:paraId="0630C8EB" w14:textId="77777777" w:rsidR="00A049D4" w:rsidRDefault="00A049D4" w:rsidP="00A049D4">
      <w:pPr>
        <w:pStyle w:val="NormalWeb"/>
        <w:shd w:val="clear" w:color="auto" w:fill="FFFFFF"/>
        <w:spacing w:before="0" w:beforeAutospacing="0" w:after="0" w:afterAutospacing="0"/>
        <w:rPr>
          <w:rFonts w:ascii="TimesNewRomanPSMT" w:hAnsi="TimesNewRomanPSMT"/>
          <w:color w:val="000000"/>
        </w:rPr>
      </w:pPr>
    </w:p>
    <w:p w14:paraId="432FCBDA" w14:textId="77777777" w:rsidR="00A049D4" w:rsidRPr="00716448" w:rsidRDefault="00A049D4" w:rsidP="00A049D4">
      <w:pPr>
        <w:pStyle w:val="NormalWeb"/>
        <w:shd w:val="clear" w:color="auto" w:fill="FFFFFF"/>
        <w:spacing w:before="0" w:beforeAutospacing="0" w:after="0" w:afterAutospacing="0"/>
        <w:rPr>
          <w:color w:val="000000"/>
        </w:rPr>
      </w:pPr>
      <w:r>
        <w:rPr>
          <w:rFonts w:ascii="TimesNewRomanPSMT" w:hAnsi="TimesNewRomanPSMT"/>
          <w:color w:val="000000"/>
        </w:rPr>
        <w:t xml:space="preserve">The Standing Committee on Legal Affairs (Legislative Scrutiny Role) (the </w:t>
      </w:r>
      <w:r w:rsidRPr="00304917">
        <w:rPr>
          <w:rFonts w:ascii="TimesNewRomanPSMT" w:hAnsi="TimesNewRomanPSMT"/>
          <w:b/>
          <w:bCs/>
          <w:i/>
          <w:iCs/>
          <w:color w:val="000000"/>
        </w:rPr>
        <w:t>Scrutiny Committee</w:t>
      </w:r>
      <w:r>
        <w:rPr>
          <w:rFonts w:ascii="TimesNewRomanPSMT" w:hAnsi="TimesNewRomanPSMT"/>
          <w:color w:val="000000"/>
        </w:rPr>
        <w:t xml:space="preserve">) terms of reference require consideration of human rights impacts of subordinate legislation, among other matters, to be assessed for its compatibility with the </w:t>
      </w:r>
      <w:r>
        <w:rPr>
          <w:rFonts w:ascii="TimesNewRomanPSMT" w:hAnsi="TimesNewRomanPSMT"/>
          <w:i/>
          <w:iCs/>
          <w:color w:val="000000"/>
        </w:rPr>
        <w:t xml:space="preserve">Human Rights Act 2004 </w:t>
      </w:r>
      <w:r>
        <w:rPr>
          <w:rFonts w:ascii="TimesNewRomanPSMT" w:hAnsi="TimesNewRomanPSMT"/>
          <w:color w:val="000000"/>
        </w:rPr>
        <w:t xml:space="preserve">(the </w:t>
      </w:r>
      <w:r w:rsidRPr="00645711">
        <w:rPr>
          <w:rFonts w:ascii="TimesNewRomanPSMT" w:hAnsi="TimesNewRomanPSMT"/>
          <w:b/>
          <w:bCs/>
          <w:i/>
          <w:iCs/>
          <w:color w:val="000000"/>
        </w:rPr>
        <w:t>HRA</w:t>
      </w:r>
      <w:r>
        <w:rPr>
          <w:rFonts w:ascii="TimesNewRomanPSMT" w:hAnsi="TimesNewRomanPSMT"/>
          <w:color w:val="000000"/>
        </w:rPr>
        <w:t xml:space="preserve">). </w:t>
      </w:r>
    </w:p>
    <w:p w14:paraId="1BAC3161" w14:textId="77777777" w:rsidR="00A049D4" w:rsidRDefault="00A049D4" w:rsidP="00A049D4">
      <w:pPr>
        <w:rPr>
          <w:rFonts w:ascii="Arial" w:hAnsi="Arial" w:cs="Arial"/>
          <w:iCs/>
          <w:szCs w:val="24"/>
        </w:rPr>
      </w:pPr>
    </w:p>
    <w:p w14:paraId="37EF1F25" w14:textId="77777777" w:rsidR="00A049D4" w:rsidRDefault="00A049D4" w:rsidP="00A049D4">
      <w:r>
        <w:t>A detailed human rights assessment is in the e</w:t>
      </w:r>
      <w:r w:rsidRPr="00304917">
        <w:t xml:space="preserve">xplanatory </w:t>
      </w:r>
      <w:r>
        <w:t>s</w:t>
      </w:r>
      <w:r w:rsidRPr="00304917">
        <w:t>tatement</w:t>
      </w:r>
      <w:r>
        <w:t xml:space="preserve"> to </w:t>
      </w:r>
      <w:r w:rsidRPr="003B4288">
        <w:t>the</w:t>
      </w:r>
      <w:r>
        <w:t xml:space="preserve"> Property Developers Bill 2023, including consideration of the impact of introducing a property developer licensing scheme in the Territory.</w:t>
      </w:r>
    </w:p>
    <w:p w14:paraId="6B8A9E2A" w14:textId="77777777" w:rsidR="00A049D4" w:rsidRPr="0089786C" w:rsidRDefault="00A049D4" w:rsidP="00A049D4">
      <w:pPr>
        <w:rPr>
          <w:rFonts w:ascii="Arial" w:hAnsi="Arial" w:cs="Arial"/>
          <w:iCs/>
          <w:szCs w:val="24"/>
        </w:rPr>
      </w:pPr>
    </w:p>
    <w:p w14:paraId="585E292E" w14:textId="4259DA82" w:rsidR="00A049D4" w:rsidRDefault="00A049D4" w:rsidP="00A049D4">
      <w:pPr>
        <w:rPr>
          <w:szCs w:val="24"/>
        </w:rPr>
      </w:pPr>
      <w:r>
        <w:rPr>
          <w:szCs w:val="24"/>
        </w:rPr>
        <w:t>This regulation could be seen to promote the right to privacy and reputation under section 12 of the HRA by exempting certain people from the property developer licensing process, which requires the provision and publishing of information on a property developer.</w:t>
      </w:r>
    </w:p>
    <w:p w14:paraId="60A62AE3" w14:textId="77777777" w:rsidR="00A049D4" w:rsidRDefault="00A049D4" w:rsidP="00A049D4">
      <w:pPr>
        <w:rPr>
          <w:szCs w:val="24"/>
        </w:rPr>
      </w:pPr>
    </w:p>
    <w:p w14:paraId="5674F788" w14:textId="4E587F9F" w:rsidR="00A049D4" w:rsidRPr="00A049D4" w:rsidRDefault="00A049D4" w:rsidP="00A049D4">
      <w:pPr>
        <w:rPr>
          <w:szCs w:val="24"/>
        </w:rPr>
      </w:pPr>
      <w:r>
        <w:rPr>
          <w:szCs w:val="24"/>
        </w:rPr>
        <w:t xml:space="preserve">The disclosure requirements set out in the </w:t>
      </w:r>
      <w:r w:rsidR="002B25FA">
        <w:rPr>
          <w:szCs w:val="24"/>
        </w:rPr>
        <w:t xml:space="preserve">(uncommenced) </w:t>
      </w:r>
      <w:r>
        <w:rPr>
          <w:szCs w:val="24"/>
        </w:rPr>
        <w:t xml:space="preserve">section 19AD of the </w:t>
      </w:r>
      <w:r>
        <w:rPr>
          <w:i/>
          <w:iCs/>
          <w:color w:val="000000"/>
          <w:shd w:val="clear" w:color="auto" w:fill="FFFFFF"/>
        </w:rPr>
        <w:t xml:space="preserve">Civil Law (Sale of Residential Property) Act 2003 </w:t>
      </w:r>
      <w:r>
        <w:rPr>
          <w:color w:val="000000"/>
          <w:shd w:val="clear" w:color="auto" w:fill="FFFFFF"/>
        </w:rPr>
        <w:t>are maintained if a seller is exempted from licence requirements</w:t>
      </w:r>
      <w:r w:rsidR="008310C1">
        <w:rPr>
          <w:color w:val="000000"/>
          <w:shd w:val="clear" w:color="auto" w:fill="FFFFFF"/>
        </w:rPr>
        <w:t xml:space="preserve">. This does not further impact the right to privacy and reputation under section 12 of the HRA, as these details have already been disclosed by the original seller. The disclosure requirements established in the regulation are considered justified to achieve the objectives of the </w:t>
      </w:r>
      <w:r w:rsidR="008310C1">
        <w:rPr>
          <w:i/>
          <w:iCs/>
          <w:color w:val="000000"/>
        </w:rPr>
        <w:t>Property Developers Act 2024.</w:t>
      </w:r>
    </w:p>
    <w:p w14:paraId="7118CA71" w14:textId="77777777" w:rsidR="00A049D4" w:rsidRDefault="00A049D4" w:rsidP="00577FE5">
      <w:pPr>
        <w:rPr>
          <w:b/>
        </w:rPr>
      </w:pPr>
    </w:p>
    <w:p w14:paraId="318365E2" w14:textId="15024F43" w:rsidR="00577FE5" w:rsidRPr="00577FE5" w:rsidRDefault="00EE322E" w:rsidP="00577FE5">
      <w:pPr>
        <w:rPr>
          <w:b/>
        </w:rPr>
      </w:pPr>
      <w:r>
        <w:rPr>
          <w:b/>
        </w:rPr>
        <w:br w:type="page"/>
      </w:r>
      <w:r w:rsidR="00D304C9" w:rsidRPr="00577FE5">
        <w:rPr>
          <w:b/>
        </w:rPr>
        <w:lastRenderedPageBreak/>
        <w:t>Scrutiny Committee Principles</w:t>
      </w:r>
    </w:p>
    <w:p w14:paraId="380D179C" w14:textId="77777777" w:rsidR="008310C1" w:rsidRDefault="008310C1" w:rsidP="00577FE5">
      <w:pPr>
        <w:pStyle w:val="NormalWeb"/>
        <w:shd w:val="clear" w:color="auto" w:fill="FFFFFF"/>
        <w:spacing w:before="0" w:beforeAutospacing="0" w:after="0" w:afterAutospacing="0"/>
        <w:rPr>
          <w:rFonts w:ascii="TimesNewRomanPSMT" w:hAnsi="TimesNewRomanPSMT"/>
          <w:color w:val="000000"/>
        </w:rPr>
      </w:pPr>
    </w:p>
    <w:p w14:paraId="075A0337" w14:textId="77777777" w:rsidR="008310C1" w:rsidRDefault="008310C1" w:rsidP="008310C1">
      <w:pPr>
        <w:pStyle w:val="NormalWeb"/>
        <w:shd w:val="clear" w:color="auto" w:fill="FFFFFF"/>
        <w:spacing w:before="0" w:beforeAutospacing="0" w:after="0" w:afterAutospacing="0"/>
        <w:rPr>
          <w:color w:val="000000"/>
        </w:rPr>
      </w:pPr>
      <w:r>
        <w:rPr>
          <w:rFonts w:ascii="TimesNewRomanPSMT" w:hAnsi="TimesNewRomanPSMT"/>
          <w:color w:val="000000"/>
        </w:rPr>
        <w:t>The regulation has been developed in accordance with the Scrutiny Committee’s terms of reference, principles and technical and stylistic standards expected by the Assembly.</w:t>
      </w:r>
    </w:p>
    <w:p w14:paraId="6D00232C" w14:textId="77777777" w:rsidR="00577FE5" w:rsidRDefault="00577FE5" w:rsidP="0089786C"/>
    <w:p w14:paraId="63031E1D" w14:textId="77777777" w:rsidR="005C0BB1" w:rsidRPr="00E37709" w:rsidRDefault="005C0BB1" w:rsidP="005C0BB1">
      <w:pPr>
        <w:rPr>
          <w:b/>
        </w:rPr>
      </w:pPr>
      <w:r w:rsidRPr="00E37709">
        <w:rPr>
          <w:b/>
        </w:rPr>
        <w:t>Consultation on the proposed approach</w:t>
      </w:r>
    </w:p>
    <w:p w14:paraId="0F6E7C3C" w14:textId="77777777" w:rsidR="008310C1" w:rsidRDefault="008310C1" w:rsidP="008310C1"/>
    <w:p w14:paraId="0A31021F" w14:textId="3AFA0E7B" w:rsidR="008310C1" w:rsidRDefault="008310C1" w:rsidP="008310C1">
      <w:r>
        <w:t>T</w:t>
      </w:r>
      <w:r w:rsidRPr="008310C1">
        <w:t>he Government consulted extensively with the public, industry, key stakeholders, and other jurisdictions</w:t>
      </w:r>
      <w:r>
        <w:t xml:space="preserve"> on the </w:t>
      </w:r>
      <w:r>
        <w:rPr>
          <w:i/>
          <w:iCs/>
          <w:color w:val="000000"/>
        </w:rPr>
        <w:t xml:space="preserve">Property Developers Act 2024. </w:t>
      </w:r>
      <w:r>
        <w:rPr>
          <w:color w:val="000000"/>
        </w:rPr>
        <w:t xml:space="preserve">This includes public consultation via YourSay, discussion paper, written submissions, online feedback, surveys and polls. </w:t>
      </w:r>
      <w:r w:rsidRPr="008310C1">
        <w:t>A Listening Report is available on the Your</w:t>
      </w:r>
      <w:r>
        <w:t>Sa</w:t>
      </w:r>
      <w:r w:rsidRPr="008310C1">
        <w:t>y website.</w:t>
      </w:r>
    </w:p>
    <w:p w14:paraId="2211088E" w14:textId="77777777" w:rsidR="008310C1" w:rsidRDefault="008310C1" w:rsidP="008310C1"/>
    <w:p w14:paraId="6664E1AC" w14:textId="30557BAA" w:rsidR="008310C1" w:rsidRDefault="008310C1" w:rsidP="008310C1">
      <w:r w:rsidRPr="008310C1">
        <w:t>Extensive consultation has also been undertaken with</w:t>
      </w:r>
      <w:r>
        <w:t xml:space="preserve"> </w:t>
      </w:r>
      <w:r w:rsidRPr="008310C1">
        <w:t>key</w:t>
      </w:r>
      <w:r>
        <w:t xml:space="preserve"> </w:t>
      </w:r>
      <w:r w:rsidRPr="008310C1">
        <w:t>ACT</w:t>
      </w:r>
      <w:r>
        <w:t xml:space="preserve"> </w:t>
      </w:r>
      <w:r w:rsidRPr="008310C1">
        <w:t>industry representative bodies including the Construction Forestry Maritime Mining Energy Union, Housing Industry Association, Master Builders Association, Owners</w:t>
      </w:r>
      <w:r>
        <w:t xml:space="preserve"> </w:t>
      </w:r>
      <w:r w:rsidRPr="008310C1">
        <w:t>Corporation Network, Property Council of Australia, and Strata Community Association.</w:t>
      </w:r>
      <w:r>
        <w:t xml:space="preserve"> This consultation included stakeholder workshops as well as individual meetings and correspondence.</w:t>
      </w:r>
    </w:p>
    <w:p w14:paraId="7480504F" w14:textId="77777777" w:rsidR="008310C1" w:rsidRDefault="008310C1" w:rsidP="008310C1"/>
    <w:p w14:paraId="22A53BED" w14:textId="49899B0F" w:rsidR="008310C1" w:rsidRPr="008310C1" w:rsidRDefault="008310C1" w:rsidP="008310C1">
      <w:r w:rsidRPr="008310C1">
        <w:t xml:space="preserve">This consultation has informed this </w:t>
      </w:r>
      <w:r>
        <w:t>regulation</w:t>
      </w:r>
      <w:r w:rsidRPr="008310C1">
        <w:t xml:space="preserve">, including </w:t>
      </w:r>
      <w:r>
        <w:t>refining</w:t>
      </w:r>
      <w:r w:rsidRPr="008310C1">
        <w:t xml:space="preserve"> who the </w:t>
      </w:r>
      <w:r>
        <w:rPr>
          <w:i/>
          <w:iCs/>
          <w:color w:val="000000"/>
        </w:rPr>
        <w:t>Property Developers Act 2024</w:t>
      </w:r>
      <w:r w:rsidR="00EE322E">
        <w:rPr>
          <w:i/>
          <w:iCs/>
          <w:color w:val="000000"/>
        </w:rPr>
        <w:t xml:space="preserve"> </w:t>
      </w:r>
      <w:r w:rsidRPr="008310C1">
        <w:t>applies to</w:t>
      </w:r>
      <w:r w:rsidR="00EE322E">
        <w:t xml:space="preserve">. </w:t>
      </w:r>
      <w:r w:rsidRPr="008310C1">
        <w:t>The Government will continue to consult closely with these stakeholders on implementation of the scheme.</w:t>
      </w:r>
    </w:p>
    <w:p w14:paraId="7D3F7CAF" w14:textId="77777777" w:rsidR="008310C1" w:rsidRDefault="008310C1" w:rsidP="0089786C"/>
    <w:p w14:paraId="04429004" w14:textId="77777777" w:rsidR="008310C1" w:rsidRPr="00A049D4" w:rsidRDefault="008310C1" w:rsidP="008310C1">
      <w:pPr>
        <w:rPr>
          <w:b/>
          <w:bCs/>
        </w:rPr>
      </w:pPr>
      <w:r w:rsidRPr="00A049D4">
        <w:rPr>
          <w:b/>
          <w:bCs/>
        </w:rPr>
        <w:t>Climate Impact</w:t>
      </w:r>
    </w:p>
    <w:p w14:paraId="089B9703" w14:textId="77777777" w:rsidR="008310C1" w:rsidRDefault="008310C1" w:rsidP="008310C1"/>
    <w:p w14:paraId="53FD1259" w14:textId="77777777" w:rsidR="008310C1" w:rsidRPr="00A049D4" w:rsidRDefault="008310C1" w:rsidP="008310C1">
      <w:r w:rsidRPr="00A049D4">
        <w:t>There are no climate change impacts arising from the regulation.</w:t>
      </w:r>
    </w:p>
    <w:p w14:paraId="3827F9CB" w14:textId="77777777" w:rsidR="005C0BB1" w:rsidRDefault="005C0BB1" w:rsidP="00EE322E"/>
    <w:p w14:paraId="32607E19" w14:textId="58C257B1" w:rsidR="0089786C" w:rsidRPr="00B5176F" w:rsidRDefault="00AA0DFD" w:rsidP="00EE322E">
      <w:pPr>
        <w:rPr>
          <w:rFonts w:eastAsiaTheme="majorEastAsia"/>
          <w:b/>
          <w:bCs/>
          <w:color w:val="000000" w:themeColor="text1"/>
          <w:szCs w:val="24"/>
        </w:rPr>
      </w:pPr>
      <w:r>
        <w:rPr>
          <w:rFonts w:eastAsiaTheme="majorEastAsia"/>
          <w:b/>
          <w:bCs/>
          <w:color w:val="000000" w:themeColor="text1"/>
          <w:szCs w:val="24"/>
        </w:rPr>
        <w:t>Clause Notes</w:t>
      </w:r>
    </w:p>
    <w:p w14:paraId="10012109" w14:textId="77777777" w:rsidR="00EE322E" w:rsidRDefault="00EE322E" w:rsidP="00EE322E">
      <w:pPr>
        <w:pStyle w:val="NormalWeb"/>
        <w:shd w:val="clear" w:color="auto" w:fill="FFFFFF"/>
        <w:spacing w:before="0" w:beforeAutospacing="0" w:after="0" w:afterAutospacing="0"/>
        <w:rPr>
          <w:b/>
          <w:bCs/>
          <w:color w:val="000000"/>
        </w:rPr>
      </w:pPr>
    </w:p>
    <w:p w14:paraId="3AD24AB1" w14:textId="0679F6E3" w:rsidR="0089786C" w:rsidRPr="00B5176F" w:rsidRDefault="0089786C" w:rsidP="00EE322E">
      <w:pPr>
        <w:pStyle w:val="NormalWeb"/>
        <w:shd w:val="clear" w:color="auto" w:fill="FFFFFF"/>
        <w:spacing w:before="0" w:beforeAutospacing="0" w:after="0" w:afterAutospacing="0"/>
        <w:rPr>
          <w:b/>
          <w:bCs/>
          <w:color w:val="000000"/>
        </w:rPr>
      </w:pPr>
      <w:r w:rsidRPr="00B5176F">
        <w:rPr>
          <w:b/>
          <w:bCs/>
          <w:color w:val="000000"/>
        </w:rPr>
        <w:t>Clause 1</w:t>
      </w:r>
      <w:r w:rsidRPr="00B5176F">
        <w:rPr>
          <w:b/>
          <w:bCs/>
          <w:color w:val="000000"/>
        </w:rPr>
        <w:tab/>
        <w:t>Name of regulation</w:t>
      </w:r>
    </w:p>
    <w:p w14:paraId="0865EBEB" w14:textId="77777777" w:rsidR="00EE322E" w:rsidRDefault="00EE322E" w:rsidP="00EE322E">
      <w:pPr>
        <w:pStyle w:val="NormalWeb"/>
        <w:shd w:val="clear" w:color="auto" w:fill="FFFFFF"/>
        <w:spacing w:before="0" w:beforeAutospacing="0" w:after="0" w:afterAutospacing="0"/>
        <w:rPr>
          <w:color w:val="000000"/>
        </w:rPr>
      </w:pPr>
    </w:p>
    <w:p w14:paraId="30883853" w14:textId="56F9C7A8" w:rsidR="0089786C" w:rsidRPr="00B5176F" w:rsidRDefault="0089786C" w:rsidP="00EE322E">
      <w:pPr>
        <w:pStyle w:val="NormalWeb"/>
        <w:shd w:val="clear" w:color="auto" w:fill="FFFFFF"/>
        <w:spacing w:before="0" w:beforeAutospacing="0" w:after="0" w:afterAutospacing="0"/>
        <w:rPr>
          <w:color w:val="000000"/>
        </w:rPr>
      </w:pPr>
      <w:r w:rsidRPr="00B5176F">
        <w:rPr>
          <w:color w:val="000000"/>
        </w:rPr>
        <w:t>This clause</w:t>
      </w:r>
      <w:r w:rsidR="00EE322E">
        <w:rPr>
          <w:color w:val="000000"/>
        </w:rPr>
        <w:t xml:space="preserve"> </w:t>
      </w:r>
      <w:r w:rsidRPr="00B5176F">
        <w:rPr>
          <w:color w:val="000000"/>
        </w:rPr>
        <w:t>provides that the name of the regulation is</w:t>
      </w:r>
      <w:r w:rsidR="00EE322E">
        <w:rPr>
          <w:color w:val="000000"/>
        </w:rPr>
        <w:t xml:space="preserve"> </w:t>
      </w:r>
      <w:r w:rsidRPr="00B5176F">
        <w:rPr>
          <w:color w:val="000000"/>
        </w:rPr>
        <w:t>the</w:t>
      </w:r>
      <w:r w:rsidR="00EE322E">
        <w:rPr>
          <w:color w:val="000000"/>
        </w:rPr>
        <w:t xml:space="preserve"> </w:t>
      </w:r>
      <w:r w:rsidR="0081523E">
        <w:rPr>
          <w:i/>
          <w:iCs/>
          <w:color w:val="000000"/>
        </w:rPr>
        <w:t xml:space="preserve">Civil Law (Sale of </w:t>
      </w:r>
      <w:r w:rsidR="000C0685">
        <w:rPr>
          <w:i/>
          <w:iCs/>
          <w:color w:val="000000"/>
        </w:rPr>
        <w:t>Residential</w:t>
      </w:r>
      <w:r w:rsidR="0081523E">
        <w:rPr>
          <w:i/>
          <w:iCs/>
          <w:color w:val="000000"/>
        </w:rPr>
        <w:t xml:space="preserve"> Property) Amendment Regulation </w:t>
      </w:r>
      <w:r w:rsidR="00A93E7D">
        <w:rPr>
          <w:i/>
          <w:iCs/>
          <w:color w:val="000000"/>
        </w:rPr>
        <w:t>2025</w:t>
      </w:r>
      <w:r w:rsidR="00217CE6">
        <w:rPr>
          <w:i/>
          <w:iCs/>
          <w:color w:val="000000"/>
        </w:rPr>
        <w:t xml:space="preserve"> (No 1)</w:t>
      </w:r>
      <w:r w:rsidR="00221D86">
        <w:rPr>
          <w:color w:val="000000"/>
        </w:rPr>
        <w:t>.</w:t>
      </w:r>
    </w:p>
    <w:p w14:paraId="44A7B210" w14:textId="77777777" w:rsidR="00EE322E" w:rsidRDefault="00EE322E" w:rsidP="00EE322E">
      <w:pPr>
        <w:pStyle w:val="NormalWeb"/>
        <w:shd w:val="clear" w:color="auto" w:fill="FFFFFF"/>
        <w:spacing w:before="0" w:beforeAutospacing="0" w:after="0" w:afterAutospacing="0"/>
        <w:rPr>
          <w:b/>
          <w:bCs/>
          <w:color w:val="000000"/>
        </w:rPr>
      </w:pPr>
    </w:p>
    <w:p w14:paraId="74E5A1B0" w14:textId="791D290E" w:rsidR="0089786C" w:rsidRPr="00B5176F" w:rsidRDefault="0089786C" w:rsidP="00EE322E">
      <w:pPr>
        <w:pStyle w:val="NormalWeb"/>
        <w:shd w:val="clear" w:color="auto" w:fill="FFFFFF"/>
        <w:spacing w:before="0" w:beforeAutospacing="0" w:after="0" w:afterAutospacing="0"/>
        <w:rPr>
          <w:color w:val="000000"/>
        </w:rPr>
      </w:pPr>
      <w:r w:rsidRPr="00B5176F">
        <w:rPr>
          <w:b/>
          <w:bCs/>
          <w:color w:val="000000"/>
        </w:rPr>
        <w:t>Clause 2</w:t>
      </w:r>
      <w:r w:rsidRPr="00B5176F">
        <w:rPr>
          <w:color w:val="000000"/>
        </w:rPr>
        <w:tab/>
      </w:r>
      <w:r w:rsidRPr="00B5176F">
        <w:rPr>
          <w:b/>
          <w:bCs/>
          <w:color w:val="000000"/>
        </w:rPr>
        <w:t>Commencement</w:t>
      </w:r>
    </w:p>
    <w:p w14:paraId="37F613A4" w14:textId="77777777" w:rsidR="00EE322E" w:rsidRDefault="00EE322E" w:rsidP="00EE322E">
      <w:pPr>
        <w:pStyle w:val="NormalWeb"/>
        <w:shd w:val="clear" w:color="auto" w:fill="FFFFFF"/>
        <w:spacing w:before="0" w:beforeAutospacing="0" w:after="0" w:afterAutospacing="0"/>
        <w:rPr>
          <w:color w:val="000000"/>
        </w:rPr>
      </w:pPr>
    </w:p>
    <w:p w14:paraId="3E390999" w14:textId="6D83ECB7" w:rsidR="00D935A6" w:rsidRPr="00095A62" w:rsidRDefault="0089786C" w:rsidP="00EE322E">
      <w:pPr>
        <w:pStyle w:val="NormalWeb"/>
        <w:shd w:val="clear" w:color="auto" w:fill="FFFFFF"/>
        <w:spacing w:before="0" w:beforeAutospacing="0" w:after="0" w:afterAutospacing="0"/>
        <w:rPr>
          <w:color w:val="000000"/>
        </w:rPr>
      </w:pPr>
      <w:r w:rsidRPr="00B5176F">
        <w:rPr>
          <w:color w:val="000000"/>
        </w:rPr>
        <w:t xml:space="preserve">This clause provides </w:t>
      </w:r>
      <w:r w:rsidR="00221D86">
        <w:rPr>
          <w:color w:val="000000"/>
        </w:rPr>
        <w:t>that the</w:t>
      </w:r>
      <w:r w:rsidR="002559B6">
        <w:rPr>
          <w:color w:val="000000"/>
        </w:rPr>
        <w:t xml:space="preserve"> regulation commences on the commencement of </w:t>
      </w:r>
      <w:r w:rsidR="00095A62">
        <w:rPr>
          <w:color w:val="000000"/>
        </w:rPr>
        <w:t xml:space="preserve">the </w:t>
      </w:r>
      <w:r w:rsidR="00095A62">
        <w:rPr>
          <w:i/>
          <w:iCs/>
          <w:color w:val="000000"/>
        </w:rPr>
        <w:t>Property Developers Act 2024</w:t>
      </w:r>
      <w:r w:rsidR="00095A62">
        <w:rPr>
          <w:color w:val="000000"/>
        </w:rPr>
        <w:t>, schedule 2, part 2.4</w:t>
      </w:r>
      <w:r w:rsidR="00EE322E">
        <w:rPr>
          <w:color w:val="000000"/>
        </w:rPr>
        <w:t>, which is due to commence on 1 October 2026 when licensing becomes compulsory.</w:t>
      </w:r>
    </w:p>
    <w:p w14:paraId="4EBDA2F0" w14:textId="77777777" w:rsidR="00EE322E" w:rsidRDefault="00EE322E" w:rsidP="00EE322E">
      <w:pPr>
        <w:pStyle w:val="NormalWeb"/>
        <w:shd w:val="clear" w:color="auto" w:fill="FFFFFF"/>
        <w:spacing w:before="0" w:beforeAutospacing="0" w:after="0" w:afterAutospacing="0"/>
        <w:rPr>
          <w:b/>
          <w:bCs/>
          <w:color w:val="000000"/>
        </w:rPr>
      </w:pPr>
    </w:p>
    <w:p w14:paraId="44C4375F" w14:textId="38CFB53F" w:rsidR="0089786C" w:rsidRPr="00B5176F" w:rsidRDefault="0089786C" w:rsidP="00EE322E">
      <w:pPr>
        <w:pStyle w:val="NormalWeb"/>
        <w:shd w:val="clear" w:color="auto" w:fill="FFFFFF"/>
        <w:spacing w:before="0" w:beforeAutospacing="0" w:after="0" w:afterAutospacing="0"/>
        <w:rPr>
          <w:b/>
          <w:bCs/>
          <w:color w:val="000000"/>
        </w:rPr>
      </w:pPr>
      <w:r w:rsidRPr="00B5176F">
        <w:rPr>
          <w:b/>
          <w:bCs/>
          <w:color w:val="000000"/>
        </w:rPr>
        <w:t xml:space="preserve">Clause </w:t>
      </w:r>
      <w:r w:rsidR="00D935A6" w:rsidRPr="00B5176F">
        <w:rPr>
          <w:b/>
          <w:bCs/>
          <w:color w:val="000000"/>
        </w:rPr>
        <w:t>3</w:t>
      </w:r>
      <w:r w:rsidRPr="00B5176F">
        <w:rPr>
          <w:b/>
          <w:bCs/>
          <w:color w:val="000000"/>
        </w:rPr>
        <w:tab/>
      </w:r>
      <w:r w:rsidR="00095A62">
        <w:rPr>
          <w:b/>
          <w:bCs/>
          <w:color w:val="000000"/>
        </w:rPr>
        <w:t xml:space="preserve">Legislation </w:t>
      </w:r>
      <w:r w:rsidR="00175C21">
        <w:rPr>
          <w:b/>
          <w:bCs/>
          <w:color w:val="000000"/>
        </w:rPr>
        <w:t>a</w:t>
      </w:r>
      <w:r w:rsidR="00095A62">
        <w:rPr>
          <w:b/>
          <w:bCs/>
          <w:color w:val="000000"/>
        </w:rPr>
        <w:t>mended</w:t>
      </w:r>
    </w:p>
    <w:p w14:paraId="48452FFA" w14:textId="77777777" w:rsidR="00EE322E" w:rsidRDefault="00EE322E" w:rsidP="00EE322E">
      <w:pPr>
        <w:pStyle w:val="NormalWeb"/>
        <w:shd w:val="clear" w:color="auto" w:fill="FFFFFF"/>
        <w:spacing w:before="0" w:beforeAutospacing="0" w:after="0" w:afterAutospacing="0"/>
        <w:rPr>
          <w:color w:val="000000"/>
        </w:rPr>
      </w:pPr>
    </w:p>
    <w:p w14:paraId="368D09EF" w14:textId="61B3C2CD" w:rsidR="0089786C" w:rsidRPr="00095A62" w:rsidRDefault="0089786C" w:rsidP="00EE322E">
      <w:pPr>
        <w:pStyle w:val="NormalWeb"/>
        <w:shd w:val="clear" w:color="auto" w:fill="FFFFFF"/>
        <w:spacing w:before="0" w:beforeAutospacing="0" w:after="0" w:afterAutospacing="0"/>
        <w:rPr>
          <w:i/>
          <w:iCs/>
          <w:color w:val="000000"/>
        </w:rPr>
      </w:pPr>
      <w:r w:rsidRPr="00B5176F">
        <w:rPr>
          <w:color w:val="000000"/>
        </w:rPr>
        <w:t xml:space="preserve">This clause provides </w:t>
      </w:r>
      <w:r w:rsidR="00292AE1">
        <w:rPr>
          <w:color w:val="000000"/>
        </w:rPr>
        <w:t xml:space="preserve">that the </w:t>
      </w:r>
      <w:r w:rsidR="00095A62">
        <w:rPr>
          <w:color w:val="000000"/>
        </w:rPr>
        <w:t xml:space="preserve">legislation amended is the </w:t>
      </w:r>
      <w:r w:rsidR="00095A62">
        <w:rPr>
          <w:i/>
          <w:iCs/>
          <w:color w:val="000000"/>
        </w:rPr>
        <w:t xml:space="preserve">Civil Law (Sale of Residential Property) Regulation 2004. </w:t>
      </w:r>
    </w:p>
    <w:p w14:paraId="58BF2BA4" w14:textId="77777777" w:rsidR="00EE322E" w:rsidRDefault="00EE322E" w:rsidP="00EE322E">
      <w:pPr>
        <w:pStyle w:val="NormalWeb"/>
        <w:shd w:val="clear" w:color="auto" w:fill="FFFFFF"/>
        <w:spacing w:before="0" w:beforeAutospacing="0" w:after="0" w:afterAutospacing="0"/>
        <w:rPr>
          <w:b/>
          <w:bCs/>
          <w:color w:val="000000"/>
        </w:rPr>
      </w:pPr>
    </w:p>
    <w:p w14:paraId="5B27DE48" w14:textId="38FA19AE" w:rsidR="0089786C" w:rsidRPr="00B5176F" w:rsidRDefault="0089786C" w:rsidP="00EE322E">
      <w:pPr>
        <w:pStyle w:val="NormalWeb"/>
        <w:shd w:val="clear" w:color="auto" w:fill="FFFFFF"/>
        <w:spacing w:before="0" w:beforeAutospacing="0" w:after="0" w:afterAutospacing="0"/>
        <w:rPr>
          <w:b/>
          <w:bCs/>
          <w:color w:val="000000"/>
        </w:rPr>
      </w:pPr>
      <w:r w:rsidRPr="00B5176F">
        <w:rPr>
          <w:b/>
          <w:bCs/>
          <w:color w:val="000000"/>
        </w:rPr>
        <w:t xml:space="preserve">Clause </w:t>
      </w:r>
      <w:r w:rsidR="00D935A6" w:rsidRPr="00B5176F">
        <w:rPr>
          <w:b/>
          <w:bCs/>
          <w:color w:val="000000"/>
        </w:rPr>
        <w:t>4</w:t>
      </w:r>
      <w:r w:rsidRPr="00B5176F">
        <w:rPr>
          <w:b/>
          <w:bCs/>
          <w:color w:val="000000"/>
        </w:rPr>
        <w:tab/>
      </w:r>
      <w:r w:rsidR="005A3A03">
        <w:rPr>
          <w:b/>
          <w:bCs/>
          <w:color w:val="000000"/>
        </w:rPr>
        <w:t>N</w:t>
      </w:r>
      <w:r w:rsidR="00092250">
        <w:rPr>
          <w:b/>
          <w:bCs/>
          <w:color w:val="000000"/>
        </w:rPr>
        <w:t>ew sections 12A to 12C</w:t>
      </w:r>
    </w:p>
    <w:p w14:paraId="46D78288" w14:textId="77777777" w:rsidR="00EE322E" w:rsidRDefault="00EE322E" w:rsidP="00EE322E">
      <w:pPr>
        <w:pStyle w:val="NormalWeb"/>
        <w:shd w:val="clear" w:color="auto" w:fill="FFFFFF"/>
        <w:spacing w:before="0" w:beforeAutospacing="0" w:after="0" w:afterAutospacing="0"/>
        <w:rPr>
          <w:color w:val="000000"/>
        </w:rPr>
      </w:pPr>
    </w:p>
    <w:p w14:paraId="238765A5" w14:textId="405900FE" w:rsidR="0089786C" w:rsidRDefault="0089786C" w:rsidP="00EE322E">
      <w:pPr>
        <w:pStyle w:val="NormalWeb"/>
        <w:shd w:val="clear" w:color="auto" w:fill="FFFFFF"/>
        <w:spacing w:before="0" w:beforeAutospacing="0" w:after="0" w:afterAutospacing="0"/>
        <w:rPr>
          <w:color w:val="000000"/>
        </w:rPr>
      </w:pPr>
      <w:r w:rsidRPr="00727BE6">
        <w:rPr>
          <w:color w:val="000000"/>
        </w:rPr>
        <w:t xml:space="preserve">This clause </w:t>
      </w:r>
      <w:r w:rsidR="00EE322E">
        <w:rPr>
          <w:color w:val="000000"/>
        </w:rPr>
        <w:t xml:space="preserve">inserts </w:t>
      </w:r>
      <w:r w:rsidR="008F1AE7">
        <w:rPr>
          <w:color w:val="000000"/>
        </w:rPr>
        <w:t xml:space="preserve">new </w:t>
      </w:r>
      <w:r w:rsidR="005C066D">
        <w:rPr>
          <w:color w:val="000000"/>
        </w:rPr>
        <w:t xml:space="preserve">sections 12A, 12B and 12C into part 2 of the </w:t>
      </w:r>
      <w:r w:rsidR="008322AD">
        <w:rPr>
          <w:i/>
          <w:iCs/>
          <w:color w:val="000000"/>
        </w:rPr>
        <w:t>Civil Law (Sale of Residential Property</w:t>
      </w:r>
      <w:r w:rsidR="0068144C">
        <w:rPr>
          <w:i/>
          <w:iCs/>
          <w:color w:val="000000"/>
        </w:rPr>
        <w:t>)</w:t>
      </w:r>
      <w:r w:rsidR="008322AD">
        <w:rPr>
          <w:i/>
          <w:iCs/>
          <w:color w:val="000000"/>
        </w:rPr>
        <w:t xml:space="preserve"> Regulation 2004</w:t>
      </w:r>
      <w:r w:rsidR="0068144C">
        <w:rPr>
          <w:color w:val="000000"/>
        </w:rPr>
        <w:t>.</w:t>
      </w:r>
    </w:p>
    <w:p w14:paraId="436CEBE4" w14:textId="77777777" w:rsidR="00EE322E" w:rsidRDefault="00EE322E" w:rsidP="00EE322E">
      <w:pPr>
        <w:pStyle w:val="NormalWeb"/>
        <w:shd w:val="clear" w:color="auto" w:fill="FFFFFF"/>
        <w:spacing w:before="0" w:beforeAutospacing="0" w:after="0" w:afterAutospacing="0"/>
        <w:rPr>
          <w:color w:val="000000"/>
        </w:rPr>
      </w:pPr>
    </w:p>
    <w:p w14:paraId="69ADC04A" w14:textId="7E1D9A47" w:rsidR="00EE322E" w:rsidRDefault="00EE322E" w:rsidP="00EE322E">
      <w:pPr>
        <w:pStyle w:val="NormalWeb"/>
        <w:shd w:val="clear" w:color="auto" w:fill="FFFFFF"/>
        <w:spacing w:before="0" w:beforeAutospacing="0" w:after="0" w:afterAutospacing="0"/>
        <w:rPr>
          <w:color w:val="000000"/>
        </w:rPr>
      </w:pPr>
      <w:r>
        <w:rPr>
          <w:color w:val="000000"/>
        </w:rPr>
        <w:t xml:space="preserve">New section 12A excludes a person from needing to hold a property developer licence to sell off-the-plan dwellings in a regulated residential building, if the </w:t>
      </w:r>
      <w:r>
        <w:t>dwellings have already been sold under an off-the-plan contract, and that person was not the seller, a related entity or a property developer.</w:t>
      </w:r>
    </w:p>
    <w:p w14:paraId="3AF4F5C6" w14:textId="77777777" w:rsidR="00EE322E" w:rsidRDefault="00EE322E" w:rsidP="00EE322E">
      <w:pPr>
        <w:pStyle w:val="NormalWeb"/>
        <w:shd w:val="clear" w:color="auto" w:fill="FFFFFF"/>
        <w:spacing w:before="0" w:beforeAutospacing="0" w:after="0" w:afterAutospacing="0"/>
        <w:rPr>
          <w:color w:val="000000"/>
        </w:rPr>
      </w:pPr>
    </w:p>
    <w:p w14:paraId="633E5AFD" w14:textId="4A51E685" w:rsidR="00EE322E" w:rsidRDefault="00EE322E" w:rsidP="00EE322E">
      <w:pPr>
        <w:pStyle w:val="NormalWeb"/>
        <w:shd w:val="clear" w:color="auto" w:fill="FFFFFF"/>
        <w:spacing w:before="0" w:beforeAutospacing="0" w:after="0" w:afterAutospacing="0"/>
        <w:rPr>
          <w:color w:val="000000"/>
        </w:rPr>
      </w:pPr>
      <w:r>
        <w:rPr>
          <w:color w:val="000000"/>
        </w:rPr>
        <w:t>New section 12B</w:t>
      </w:r>
      <w:r w:rsidR="00CC488A">
        <w:rPr>
          <w:color w:val="000000"/>
        </w:rPr>
        <w:t xml:space="preserve"> excludes a person from needing to hold a property developer licence to advertise off-the-plan dwellings in a regulated residential building, if the </w:t>
      </w:r>
      <w:r w:rsidR="00CC488A">
        <w:t>dwellings have already been sold under an off-the-plan contract, and that person was not the seller or a related entity.</w:t>
      </w:r>
    </w:p>
    <w:p w14:paraId="38D7B67F" w14:textId="77777777" w:rsidR="00EE322E" w:rsidRDefault="00EE322E" w:rsidP="00EE322E">
      <w:pPr>
        <w:pStyle w:val="NormalWeb"/>
        <w:shd w:val="clear" w:color="auto" w:fill="FFFFFF"/>
        <w:spacing w:before="0" w:beforeAutospacing="0" w:after="0" w:afterAutospacing="0"/>
        <w:rPr>
          <w:color w:val="000000"/>
        </w:rPr>
      </w:pPr>
    </w:p>
    <w:p w14:paraId="618DB8D0" w14:textId="297567AB" w:rsidR="00EE322E" w:rsidRDefault="00EE322E" w:rsidP="00EE322E">
      <w:pPr>
        <w:pStyle w:val="NormalWeb"/>
        <w:shd w:val="clear" w:color="auto" w:fill="FFFFFF"/>
        <w:spacing w:before="0" w:beforeAutospacing="0" w:after="0" w:afterAutospacing="0"/>
      </w:pPr>
      <w:r>
        <w:t>This exclusion recognises that an off-the-plan dwelling may be on</w:t>
      </w:r>
      <w:r w:rsidR="0064048B">
        <w:t>-</w:t>
      </w:r>
      <w:r>
        <w:t xml:space="preserve">sold several times before the </w:t>
      </w:r>
      <w:r w:rsidR="000C4318">
        <w:t>occupant</w:t>
      </w:r>
      <w:r>
        <w:t xml:space="preserve"> moves into the property, and it is intended to capture the original seller</w:t>
      </w:r>
      <w:r w:rsidR="0064048B">
        <w:t xml:space="preserve"> (i.e. the developer)</w:t>
      </w:r>
      <w:r>
        <w:t xml:space="preserve">, </w:t>
      </w:r>
      <w:r w:rsidR="0064048B">
        <w:t>not subsequent owners</w:t>
      </w:r>
      <w:r>
        <w:t>.</w:t>
      </w:r>
    </w:p>
    <w:p w14:paraId="2DDB80BD" w14:textId="77777777" w:rsidR="00EE322E" w:rsidRDefault="00EE322E" w:rsidP="00EE322E">
      <w:pPr>
        <w:pStyle w:val="NormalWeb"/>
        <w:shd w:val="clear" w:color="auto" w:fill="FFFFFF"/>
        <w:spacing w:before="0" w:beforeAutospacing="0" w:after="0" w:afterAutospacing="0"/>
        <w:rPr>
          <w:color w:val="000000"/>
        </w:rPr>
      </w:pPr>
    </w:p>
    <w:p w14:paraId="30DBB6FC" w14:textId="281B24FA" w:rsidR="00CC488A" w:rsidRDefault="00CC488A" w:rsidP="00EE322E">
      <w:pPr>
        <w:pStyle w:val="NormalWeb"/>
        <w:shd w:val="clear" w:color="auto" w:fill="FFFFFF"/>
        <w:spacing w:before="0" w:beforeAutospacing="0" w:after="0" w:afterAutospacing="0"/>
        <w:rPr>
          <w:color w:val="000000"/>
        </w:rPr>
      </w:pPr>
      <w:r>
        <w:rPr>
          <w:color w:val="000000"/>
        </w:rPr>
        <w:t xml:space="preserve">New section 12C provides that </w:t>
      </w:r>
      <w:r>
        <w:t>disclosure statements, which provide additional information to people buying off-the-plan, must still include the property developer licence number and a statement about the property developer register, even if the person is excluded from the licensing requirements.</w:t>
      </w:r>
    </w:p>
    <w:sectPr w:rsidR="00CC488A"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027B" w14:textId="77777777" w:rsidR="007807F9" w:rsidRDefault="007807F9" w:rsidP="006815C9">
      <w:r>
        <w:separator/>
      </w:r>
    </w:p>
  </w:endnote>
  <w:endnote w:type="continuationSeparator" w:id="0">
    <w:p w14:paraId="7ABD3494" w14:textId="77777777" w:rsidR="007807F9" w:rsidRDefault="007807F9"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5128" w14:textId="77777777" w:rsidR="00821931" w:rsidRDefault="00821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76B4" w14:textId="70A0FE81" w:rsidR="00091D34" w:rsidRPr="002C772B" w:rsidRDefault="002C772B" w:rsidP="002C772B">
    <w:pPr>
      <w:pStyle w:val="Footer"/>
      <w:jc w:val="center"/>
      <w:rPr>
        <w:rFonts w:cs="Arial"/>
        <w:sz w:val="14"/>
      </w:rPr>
    </w:pPr>
    <w:r w:rsidRPr="002C77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166F" w14:textId="77777777" w:rsidR="00821931" w:rsidRDefault="0082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7B0D" w14:textId="77777777" w:rsidR="007807F9" w:rsidRDefault="007807F9" w:rsidP="006815C9">
      <w:r>
        <w:separator/>
      </w:r>
    </w:p>
  </w:footnote>
  <w:footnote w:type="continuationSeparator" w:id="0">
    <w:p w14:paraId="2E0B69E1" w14:textId="77777777" w:rsidR="007807F9" w:rsidRDefault="007807F9"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5D61" w14:textId="77777777" w:rsidR="00821931" w:rsidRDefault="0082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52AF" w14:textId="77777777" w:rsidR="00821931" w:rsidRDefault="00821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8187" w14:textId="77777777" w:rsidR="00821931" w:rsidRDefault="00821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7C55E5"/>
    <w:multiLevelType w:val="hybridMultilevel"/>
    <w:tmpl w:val="D5B888E8"/>
    <w:lvl w:ilvl="0" w:tplc="9A6484B0">
      <w:numFmt w:val="bullet"/>
      <w:lvlText w:val=""/>
      <w:lvlJc w:val="left"/>
      <w:pPr>
        <w:ind w:left="477" w:hanging="358"/>
      </w:pPr>
      <w:rPr>
        <w:rFonts w:ascii="Symbol" w:eastAsia="Symbol" w:hAnsi="Symbol" w:cs="Symbol" w:hint="default"/>
        <w:b w:val="0"/>
        <w:bCs w:val="0"/>
        <w:i w:val="0"/>
        <w:iCs w:val="0"/>
        <w:w w:val="100"/>
        <w:sz w:val="24"/>
        <w:szCs w:val="24"/>
        <w:lang w:val="en-AU" w:eastAsia="en-US" w:bidi="ar-SA"/>
      </w:rPr>
    </w:lvl>
    <w:lvl w:ilvl="1" w:tplc="ECC4C692">
      <w:numFmt w:val="bullet"/>
      <w:lvlText w:val=""/>
      <w:lvlJc w:val="left"/>
      <w:pPr>
        <w:ind w:left="832" w:hanging="356"/>
      </w:pPr>
      <w:rPr>
        <w:rFonts w:ascii="Symbol" w:eastAsia="Symbol" w:hAnsi="Symbol" w:cs="Symbol" w:hint="default"/>
        <w:b w:val="0"/>
        <w:bCs w:val="0"/>
        <w:i w:val="0"/>
        <w:iCs w:val="0"/>
        <w:w w:val="100"/>
        <w:sz w:val="24"/>
        <w:szCs w:val="24"/>
        <w:lang w:val="en-AU" w:eastAsia="en-US" w:bidi="ar-SA"/>
      </w:rPr>
    </w:lvl>
    <w:lvl w:ilvl="2" w:tplc="4434F874">
      <w:numFmt w:val="bullet"/>
      <w:lvlText w:val="o"/>
      <w:lvlJc w:val="left"/>
      <w:pPr>
        <w:ind w:left="1560" w:hanging="358"/>
      </w:pPr>
      <w:rPr>
        <w:rFonts w:ascii="Courier New" w:eastAsia="Courier New" w:hAnsi="Courier New" w:cs="Courier New" w:hint="default"/>
        <w:b w:val="0"/>
        <w:bCs w:val="0"/>
        <w:i w:val="0"/>
        <w:iCs w:val="0"/>
        <w:w w:val="100"/>
        <w:sz w:val="24"/>
        <w:szCs w:val="24"/>
        <w:lang w:val="en-AU" w:eastAsia="en-US" w:bidi="ar-SA"/>
      </w:rPr>
    </w:lvl>
    <w:lvl w:ilvl="3" w:tplc="3F02B6E2">
      <w:numFmt w:val="bullet"/>
      <w:lvlText w:val="•"/>
      <w:lvlJc w:val="left"/>
      <w:pPr>
        <w:ind w:left="2525" w:hanging="358"/>
      </w:pPr>
      <w:rPr>
        <w:rFonts w:hint="default"/>
        <w:lang w:val="en-AU" w:eastAsia="en-US" w:bidi="ar-SA"/>
      </w:rPr>
    </w:lvl>
    <w:lvl w:ilvl="4" w:tplc="B4B86498">
      <w:numFmt w:val="bullet"/>
      <w:lvlText w:val="•"/>
      <w:lvlJc w:val="left"/>
      <w:pPr>
        <w:ind w:left="3491" w:hanging="358"/>
      </w:pPr>
      <w:rPr>
        <w:rFonts w:hint="default"/>
        <w:lang w:val="en-AU" w:eastAsia="en-US" w:bidi="ar-SA"/>
      </w:rPr>
    </w:lvl>
    <w:lvl w:ilvl="5" w:tplc="8B7C99E8">
      <w:numFmt w:val="bullet"/>
      <w:lvlText w:val="•"/>
      <w:lvlJc w:val="left"/>
      <w:pPr>
        <w:ind w:left="4457" w:hanging="358"/>
      </w:pPr>
      <w:rPr>
        <w:rFonts w:hint="default"/>
        <w:lang w:val="en-AU" w:eastAsia="en-US" w:bidi="ar-SA"/>
      </w:rPr>
    </w:lvl>
    <w:lvl w:ilvl="6" w:tplc="FB6E40A8">
      <w:numFmt w:val="bullet"/>
      <w:lvlText w:val="•"/>
      <w:lvlJc w:val="left"/>
      <w:pPr>
        <w:ind w:left="5423" w:hanging="358"/>
      </w:pPr>
      <w:rPr>
        <w:rFonts w:hint="default"/>
        <w:lang w:val="en-AU" w:eastAsia="en-US" w:bidi="ar-SA"/>
      </w:rPr>
    </w:lvl>
    <w:lvl w:ilvl="7" w:tplc="BBD8E5A6">
      <w:numFmt w:val="bullet"/>
      <w:lvlText w:val="•"/>
      <w:lvlJc w:val="left"/>
      <w:pPr>
        <w:ind w:left="6389" w:hanging="358"/>
      </w:pPr>
      <w:rPr>
        <w:rFonts w:hint="default"/>
        <w:lang w:val="en-AU" w:eastAsia="en-US" w:bidi="ar-SA"/>
      </w:rPr>
    </w:lvl>
    <w:lvl w:ilvl="8" w:tplc="9A82012A">
      <w:numFmt w:val="bullet"/>
      <w:lvlText w:val="•"/>
      <w:lvlJc w:val="left"/>
      <w:pPr>
        <w:ind w:left="7354" w:hanging="358"/>
      </w:pPr>
      <w:rPr>
        <w:rFonts w:hint="default"/>
        <w:lang w:val="en-AU" w:eastAsia="en-US" w:bidi="ar-SA"/>
      </w:rPr>
    </w:lvl>
  </w:abstractNum>
  <w:abstractNum w:abstractNumId="4" w15:restartNumberingAfterBreak="0">
    <w:nsid w:val="0F9A3D8F"/>
    <w:multiLevelType w:val="hybridMultilevel"/>
    <w:tmpl w:val="90CC4998"/>
    <w:lvl w:ilvl="0" w:tplc="34147378">
      <w:start w:val="1"/>
      <w:numFmt w:val="bullet"/>
      <w:pStyle w:val="Style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E09DB"/>
    <w:multiLevelType w:val="hybridMultilevel"/>
    <w:tmpl w:val="6E0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A10FF"/>
    <w:multiLevelType w:val="hybridMultilevel"/>
    <w:tmpl w:val="AB265670"/>
    <w:lvl w:ilvl="0" w:tplc="0C090019">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66D5EF5"/>
    <w:multiLevelType w:val="hybridMultilevel"/>
    <w:tmpl w:val="AB265670"/>
    <w:lvl w:ilvl="0" w:tplc="FFFFFFFF">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5872B8"/>
    <w:multiLevelType w:val="hybridMultilevel"/>
    <w:tmpl w:val="6B341CDE"/>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4555B73"/>
    <w:multiLevelType w:val="hybridMultilevel"/>
    <w:tmpl w:val="25EAFD3E"/>
    <w:lvl w:ilvl="0" w:tplc="C0982C78">
      <w:start w:val="1"/>
      <w:numFmt w:val="decimal"/>
      <w:lvlText w:val="%1."/>
      <w:lvlJc w:val="left"/>
      <w:pPr>
        <w:ind w:left="832" w:hanging="356"/>
      </w:pPr>
      <w:rPr>
        <w:rFonts w:ascii="Arial" w:eastAsia="Arial" w:hAnsi="Arial" w:cs="Arial" w:hint="default"/>
        <w:b w:val="0"/>
        <w:bCs w:val="0"/>
        <w:i w:val="0"/>
        <w:iCs w:val="0"/>
        <w:w w:val="100"/>
        <w:sz w:val="24"/>
        <w:szCs w:val="24"/>
        <w:lang w:val="en-AU" w:eastAsia="en-US" w:bidi="ar-SA"/>
      </w:rPr>
    </w:lvl>
    <w:lvl w:ilvl="1" w:tplc="5A6AFA48">
      <w:start w:val="1"/>
      <w:numFmt w:val="lowerLetter"/>
      <w:lvlText w:val="%2."/>
      <w:lvlJc w:val="left"/>
      <w:pPr>
        <w:ind w:left="904" w:hanging="360"/>
      </w:pPr>
      <w:rPr>
        <w:rFonts w:ascii="Arial" w:eastAsia="Arial" w:hAnsi="Arial" w:cs="Arial" w:hint="default"/>
        <w:b w:val="0"/>
        <w:bCs w:val="0"/>
        <w:i w:val="0"/>
        <w:iCs w:val="0"/>
        <w:w w:val="100"/>
        <w:sz w:val="24"/>
        <w:szCs w:val="24"/>
        <w:lang w:val="en-AU" w:eastAsia="en-US" w:bidi="ar-SA"/>
      </w:rPr>
    </w:lvl>
    <w:lvl w:ilvl="2" w:tplc="37621F30">
      <w:numFmt w:val="bullet"/>
      <w:lvlText w:val="•"/>
      <w:lvlJc w:val="left"/>
      <w:pPr>
        <w:ind w:left="1831" w:hanging="360"/>
      </w:pPr>
      <w:rPr>
        <w:rFonts w:hint="default"/>
        <w:lang w:val="en-AU" w:eastAsia="en-US" w:bidi="ar-SA"/>
      </w:rPr>
    </w:lvl>
    <w:lvl w:ilvl="3" w:tplc="FB0A47CE">
      <w:numFmt w:val="bullet"/>
      <w:lvlText w:val="•"/>
      <w:lvlJc w:val="left"/>
      <w:pPr>
        <w:ind w:left="2763" w:hanging="360"/>
      </w:pPr>
      <w:rPr>
        <w:rFonts w:hint="default"/>
        <w:lang w:val="en-AU" w:eastAsia="en-US" w:bidi="ar-SA"/>
      </w:rPr>
    </w:lvl>
    <w:lvl w:ilvl="4" w:tplc="FB0C9D5E">
      <w:numFmt w:val="bullet"/>
      <w:lvlText w:val="•"/>
      <w:lvlJc w:val="left"/>
      <w:pPr>
        <w:ind w:left="3695" w:hanging="360"/>
      </w:pPr>
      <w:rPr>
        <w:rFonts w:hint="default"/>
        <w:lang w:val="en-AU" w:eastAsia="en-US" w:bidi="ar-SA"/>
      </w:rPr>
    </w:lvl>
    <w:lvl w:ilvl="5" w:tplc="B3BCAF98">
      <w:numFmt w:val="bullet"/>
      <w:lvlText w:val="•"/>
      <w:lvlJc w:val="left"/>
      <w:pPr>
        <w:ind w:left="4627" w:hanging="360"/>
      </w:pPr>
      <w:rPr>
        <w:rFonts w:hint="default"/>
        <w:lang w:val="en-AU" w:eastAsia="en-US" w:bidi="ar-SA"/>
      </w:rPr>
    </w:lvl>
    <w:lvl w:ilvl="6" w:tplc="D13EF0C2">
      <w:numFmt w:val="bullet"/>
      <w:lvlText w:val="•"/>
      <w:lvlJc w:val="left"/>
      <w:pPr>
        <w:ind w:left="5559" w:hanging="360"/>
      </w:pPr>
      <w:rPr>
        <w:rFonts w:hint="default"/>
        <w:lang w:val="en-AU" w:eastAsia="en-US" w:bidi="ar-SA"/>
      </w:rPr>
    </w:lvl>
    <w:lvl w:ilvl="7" w:tplc="E35863AE">
      <w:numFmt w:val="bullet"/>
      <w:lvlText w:val="•"/>
      <w:lvlJc w:val="left"/>
      <w:pPr>
        <w:ind w:left="6490" w:hanging="360"/>
      </w:pPr>
      <w:rPr>
        <w:rFonts w:hint="default"/>
        <w:lang w:val="en-AU" w:eastAsia="en-US" w:bidi="ar-SA"/>
      </w:rPr>
    </w:lvl>
    <w:lvl w:ilvl="8" w:tplc="70E0A724">
      <w:numFmt w:val="bullet"/>
      <w:lvlText w:val="•"/>
      <w:lvlJc w:val="left"/>
      <w:pPr>
        <w:ind w:left="7422" w:hanging="360"/>
      </w:pPr>
      <w:rPr>
        <w:rFonts w:hint="default"/>
        <w:lang w:val="en-AU" w:eastAsia="en-US" w:bidi="ar-SA"/>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9885083"/>
    <w:multiLevelType w:val="hybridMultilevel"/>
    <w:tmpl w:val="F586A2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A94036A"/>
    <w:multiLevelType w:val="hybridMultilevel"/>
    <w:tmpl w:val="4000B5AC"/>
    <w:lvl w:ilvl="0" w:tplc="267E124C">
      <w:start w:val="1"/>
      <w:numFmt w:val="lowerLetter"/>
      <w:lvlText w:val="%1."/>
      <w:lvlJc w:val="left"/>
      <w:pPr>
        <w:ind w:left="904" w:hanging="360"/>
      </w:pPr>
      <w:rPr>
        <w:rFonts w:ascii="Arial" w:eastAsia="Arial" w:hAnsi="Arial" w:cs="Arial" w:hint="default"/>
        <w:b w:val="0"/>
        <w:bCs w:val="0"/>
        <w:i w:val="0"/>
        <w:iCs w:val="0"/>
        <w:w w:val="100"/>
        <w:sz w:val="24"/>
        <w:szCs w:val="24"/>
        <w:lang w:val="en-AU" w:eastAsia="en-US" w:bidi="ar-SA"/>
      </w:rPr>
    </w:lvl>
    <w:lvl w:ilvl="1" w:tplc="3C86409C">
      <w:numFmt w:val="bullet"/>
      <w:lvlText w:val="•"/>
      <w:lvlJc w:val="left"/>
      <w:pPr>
        <w:ind w:left="1738" w:hanging="360"/>
      </w:pPr>
      <w:rPr>
        <w:rFonts w:hint="default"/>
        <w:lang w:val="en-AU" w:eastAsia="en-US" w:bidi="ar-SA"/>
      </w:rPr>
    </w:lvl>
    <w:lvl w:ilvl="2" w:tplc="263A094C">
      <w:numFmt w:val="bullet"/>
      <w:lvlText w:val="•"/>
      <w:lvlJc w:val="left"/>
      <w:pPr>
        <w:ind w:left="2577" w:hanging="360"/>
      </w:pPr>
      <w:rPr>
        <w:rFonts w:hint="default"/>
        <w:lang w:val="en-AU" w:eastAsia="en-US" w:bidi="ar-SA"/>
      </w:rPr>
    </w:lvl>
    <w:lvl w:ilvl="3" w:tplc="EFD0B7E2">
      <w:numFmt w:val="bullet"/>
      <w:lvlText w:val="•"/>
      <w:lvlJc w:val="left"/>
      <w:pPr>
        <w:ind w:left="3415" w:hanging="360"/>
      </w:pPr>
      <w:rPr>
        <w:rFonts w:hint="default"/>
        <w:lang w:val="en-AU" w:eastAsia="en-US" w:bidi="ar-SA"/>
      </w:rPr>
    </w:lvl>
    <w:lvl w:ilvl="4" w:tplc="E2383532">
      <w:numFmt w:val="bullet"/>
      <w:lvlText w:val="•"/>
      <w:lvlJc w:val="left"/>
      <w:pPr>
        <w:ind w:left="4254" w:hanging="360"/>
      </w:pPr>
      <w:rPr>
        <w:rFonts w:hint="default"/>
        <w:lang w:val="en-AU" w:eastAsia="en-US" w:bidi="ar-SA"/>
      </w:rPr>
    </w:lvl>
    <w:lvl w:ilvl="5" w:tplc="1EB8BAA4">
      <w:numFmt w:val="bullet"/>
      <w:lvlText w:val="•"/>
      <w:lvlJc w:val="left"/>
      <w:pPr>
        <w:ind w:left="5093" w:hanging="360"/>
      </w:pPr>
      <w:rPr>
        <w:rFonts w:hint="default"/>
        <w:lang w:val="en-AU" w:eastAsia="en-US" w:bidi="ar-SA"/>
      </w:rPr>
    </w:lvl>
    <w:lvl w:ilvl="6" w:tplc="B928CEE4">
      <w:numFmt w:val="bullet"/>
      <w:lvlText w:val="•"/>
      <w:lvlJc w:val="left"/>
      <w:pPr>
        <w:ind w:left="5931" w:hanging="360"/>
      </w:pPr>
      <w:rPr>
        <w:rFonts w:hint="default"/>
        <w:lang w:val="en-AU" w:eastAsia="en-US" w:bidi="ar-SA"/>
      </w:rPr>
    </w:lvl>
    <w:lvl w:ilvl="7" w:tplc="ADEA54BA">
      <w:numFmt w:val="bullet"/>
      <w:lvlText w:val="•"/>
      <w:lvlJc w:val="left"/>
      <w:pPr>
        <w:ind w:left="6770" w:hanging="360"/>
      </w:pPr>
      <w:rPr>
        <w:rFonts w:hint="default"/>
        <w:lang w:val="en-AU" w:eastAsia="en-US" w:bidi="ar-SA"/>
      </w:rPr>
    </w:lvl>
    <w:lvl w:ilvl="8" w:tplc="E7F41D04">
      <w:numFmt w:val="bullet"/>
      <w:lvlText w:val="•"/>
      <w:lvlJc w:val="left"/>
      <w:pPr>
        <w:ind w:left="7609" w:hanging="360"/>
      </w:pPr>
      <w:rPr>
        <w:rFonts w:hint="default"/>
        <w:lang w:val="en-AU" w:eastAsia="en-US" w:bidi="ar-SA"/>
      </w:rPr>
    </w:lvl>
  </w:abstractNum>
  <w:abstractNum w:abstractNumId="16" w15:restartNumberingAfterBreak="0">
    <w:nsid w:val="55A84E20"/>
    <w:multiLevelType w:val="hybridMultilevel"/>
    <w:tmpl w:val="D458DEA2"/>
    <w:lvl w:ilvl="0" w:tplc="8BBE69FE">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8" w15:restartNumberingAfterBreak="0">
    <w:nsid w:val="5A6945DC"/>
    <w:multiLevelType w:val="hybridMultilevel"/>
    <w:tmpl w:val="AB6E0DDE"/>
    <w:lvl w:ilvl="0" w:tplc="673264FE">
      <w:numFmt w:val="bullet"/>
      <w:lvlText w:val=""/>
      <w:lvlJc w:val="left"/>
      <w:pPr>
        <w:ind w:left="840" w:hanging="360"/>
      </w:pPr>
      <w:rPr>
        <w:rFonts w:ascii="Symbol" w:eastAsia="Symbol" w:hAnsi="Symbol" w:cs="Symbol" w:hint="default"/>
        <w:b w:val="0"/>
        <w:bCs w:val="0"/>
        <w:i w:val="0"/>
        <w:iCs w:val="0"/>
        <w:w w:val="100"/>
        <w:sz w:val="24"/>
        <w:szCs w:val="24"/>
        <w:lang w:val="en-AU" w:eastAsia="en-US" w:bidi="ar-SA"/>
      </w:rPr>
    </w:lvl>
    <w:lvl w:ilvl="1" w:tplc="031A4F38">
      <w:numFmt w:val="bullet"/>
      <w:lvlText w:val="•"/>
      <w:lvlJc w:val="left"/>
      <w:pPr>
        <w:ind w:left="1684" w:hanging="360"/>
      </w:pPr>
      <w:rPr>
        <w:rFonts w:hint="default"/>
        <w:lang w:val="en-AU" w:eastAsia="en-US" w:bidi="ar-SA"/>
      </w:rPr>
    </w:lvl>
    <w:lvl w:ilvl="2" w:tplc="87068A38">
      <w:numFmt w:val="bullet"/>
      <w:lvlText w:val="•"/>
      <w:lvlJc w:val="left"/>
      <w:pPr>
        <w:ind w:left="2529" w:hanging="360"/>
      </w:pPr>
      <w:rPr>
        <w:rFonts w:hint="default"/>
        <w:lang w:val="en-AU" w:eastAsia="en-US" w:bidi="ar-SA"/>
      </w:rPr>
    </w:lvl>
    <w:lvl w:ilvl="3" w:tplc="23C0EA34">
      <w:numFmt w:val="bullet"/>
      <w:lvlText w:val="•"/>
      <w:lvlJc w:val="left"/>
      <w:pPr>
        <w:ind w:left="3373" w:hanging="360"/>
      </w:pPr>
      <w:rPr>
        <w:rFonts w:hint="default"/>
        <w:lang w:val="en-AU" w:eastAsia="en-US" w:bidi="ar-SA"/>
      </w:rPr>
    </w:lvl>
    <w:lvl w:ilvl="4" w:tplc="6EE6CAAC">
      <w:numFmt w:val="bullet"/>
      <w:lvlText w:val="•"/>
      <w:lvlJc w:val="left"/>
      <w:pPr>
        <w:ind w:left="4218" w:hanging="360"/>
      </w:pPr>
      <w:rPr>
        <w:rFonts w:hint="default"/>
        <w:lang w:val="en-AU" w:eastAsia="en-US" w:bidi="ar-SA"/>
      </w:rPr>
    </w:lvl>
    <w:lvl w:ilvl="5" w:tplc="A4A83D66">
      <w:numFmt w:val="bullet"/>
      <w:lvlText w:val="•"/>
      <w:lvlJc w:val="left"/>
      <w:pPr>
        <w:ind w:left="5063" w:hanging="360"/>
      </w:pPr>
      <w:rPr>
        <w:rFonts w:hint="default"/>
        <w:lang w:val="en-AU" w:eastAsia="en-US" w:bidi="ar-SA"/>
      </w:rPr>
    </w:lvl>
    <w:lvl w:ilvl="6" w:tplc="DE40C372">
      <w:numFmt w:val="bullet"/>
      <w:lvlText w:val="•"/>
      <w:lvlJc w:val="left"/>
      <w:pPr>
        <w:ind w:left="5907" w:hanging="360"/>
      </w:pPr>
      <w:rPr>
        <w:rFonts w:hint="default"/>
        <w:lang w:val="en-AU" w:eastAsia="en-US" w:bidi="ar-SA"/>
      </w:rPr>
    </w:lvl>
    <w:lvl w:ilvl="7" w:tplc="672212DE">
      <w:numFmt w:val="bullet"/>
      <w:lvlText w:val="•"/>
      <w:lvlJc w:val="left"/>
      <w:pPr>
        <w:ind w:left="6752" w:hanging="360"/>
      </w:pPr>
      <w:rPr>
        <w:rFonts w:hint="default"/>
        <w:lang w:val="en-AU" w:eastAsia="en-US" w:bidi="ar-SA"/>
      </w:rPr>
    </w:lvl>
    <w:lvl w:ilvl="8" w:tplc="3944453C">
      <w:numFmt w:val="bullet"/>
      <w:lvlText w:val="•"/>
      <w:lvlJc w:val="left"/>
      <w:pPr>
        <w:ind w:left="7597" w:hanging="360"/>
      </w:pPr>
      <w:rPr>
        <w:rFonts w:hint="default"/>
        <w:lang w:val="en-AU" w:eastAsia="en-US" w:bidi="ar-SA"/>
      </w:rPr>
    </w:lvl>
  </w:abstractNum>
  <w:abstractNum w:abstractNumId="19" w15:restartNumberingAfterBreak="0">
    <w:nsid w:val="5B00638E"/>
    <w:multiLevelType w:val="hybridMultilevel"/>
    <w:tmpl w:val="18E8F6EE"/>
    <w:lvl w:ilvl="0" w:tplc="CFB28628">
      <w:start w:val="1"/>
      <w:numFmt w:val="lowerLetter"/>
      <w:lvlText w:val="%1."/>
      <w:lvlJc w:val="left"/>
      <w:pPr>
        <w:ind w:left="904" w:hanging="360"/>
      </w:pPr>
      <w:rPr>
        <w:rFonts w:ascii="Times New Roman" w:eastAsia="Arial" w:hAnsi="Times New Roman" w:cs="Times New Roman" w:hint="default"/>
        <w:b w:val="0"/>
        <w:bCs w:val="0"/>
        <w:i w:val="0"/>
        <w:iCs w:val="0"/>
        <w:w w:val="100"/>
        <w:sz w:val="24"/>
        <w:szCs w:val="24"/>
        <w:lang w:val="en-AU" w:eastAsia="en-US" w:bidi="ar-SA"/>
      </w:rPr>
    </w:lvl>
    <w:lvl w:ilvl="1" w:tplc="31CCD440">
      <w:numFmt w:val="bullet"/>
      <w:lvlText w:val="•"/>
      <w:lvlJc w:val="left"/>
      <w:pPr>
        <w:ind w:left="1738" w:hanging="360"/>
      </w:pPr>
      <w:rPr>
        <w:rFonts w:hint="default"/>
        <w:lang w:val="en-AU" w:eastAsia="en-US" w:bidi="ar-SA"/>
      </w:rPr>
    </w:lvl>
    <w:lvl w:ilvl="2" w:tplc="54E2F600">
      <w:numFmt w:val="bullet"/>
      <w:lvlText w:val="•"/>
      <w:lvlJc w:val="left"/>
      <w:pPr>
        <w:ind w:left="2577" w:hanging="360"/>
      </w:pPr>
      <w:rPr>
        <w:rFonts w:hint="default"/>
        <w:lang w:val="en-AU" w:eastAsia="en-US" w:bidi="ar-SA"/>
      </w:rPr>
    </w:lvl>
    <w:lvl w:ilvl="3" w:tplc="FF2A8686">
      <w:numFmt w:val="bullet"/>
      <w:lvlText w:val="•"/>
      <w:lvlJc w:val="left"/>
      <w:pPr>
        <w:ind w:left="3415" w:hanging="360"/>
      </w:pPr>
      <w:rPr>
        <w:rFonts w:hint="default"/>
        <w:lang w:val="en-AU" w:eastAsia="en-US" w:bidi="ar-SA"/>
      </w:rPr>
    </w:lvl>
    <w:lvl w:ilvl="4" w:tplc="3B245610">
      <w:numFmt w:val="bullet"/>
      <w:lvlText w:val="•"/>
      <w:lvlJc w:val="left"/>
      <w:pPr>
        <w:ind w:left="4254" w:hanging="360"/>
      </w:pPr>
      <w:rPr>
        <w:rFonts w:hint="default"/>
        <w:lang w:val="en-AU" w:eastAsia="en-US" w:bidi="ar-SA"/>
      </w:rPr>
    </w:lvl>
    <w:lvl w:ilvl="5" w:tplc="17686156">
      <w:numFmt w:val="bullet"/>
      <w:lvlText w:val="•"/>
      <w:lvlJc w:val="left"/>
      <w:pPr>
        <w:ind w:left="5093" w:hanging="360"/>
      </w:pPr>
      <w:rPr>
        <w:rFonts w:hint="default"/>
        <w:lang w:val="en-AU" w:eastAsia="en-US" w:bidi="ar-SA"/>
      </w:rPr>
    </w:lvl>
    <w:lvl w:ilvl="6" w:tplc="B55E7CBC">
      <w:numFmt w:val="bullet"/>
      <w:lvlText w:val="•"/>
      <w:lvlJc w:val="left"/>
      <w:pPr>
        <w:ind w:left="5931" w:hanging="360"/>
      </w:pPr>
      <w:rPr>
        <w:rFonts w:hint="default"/>
        <w:lang w:val="en-AU" w:eastAsia="en-US" w:bidi="ar-SA"/>
      </w:rPr>
    </w:lvl>
    <w:lvl w:ilvl="7" w:tplc="AD9A653E">
      <w:numFmt w:val="bullet"/>
      <w:lvlText w:val="•"/>
      <w:lvlJc w:val="left"/>
      <w:pPr>
        <w:ind w:left="6770" w:hanging="360"/>
      </w:pPr>
      <w:rPr>
        <w:rFonts w:hint="default"/>
        <w:lang w:val="en-AU" w:eastAsia="en-US" w:bidi="ar-SA"/>
      </w:rPr>
    </w:lvl>
    <w:lvl w:ilvl="8" w:tplc="5D7A78C0">
      <w:numFmt w:val="bullet"/>
      <w:lvlText w:val="•"/>
      <w:lvlJc w:val="left"/>
      <w:pPr>
        <w:ind w:left="7609" w:hanging="360"/>
      </w:pPr>
      <w:rPr>
        <w:rFonts w:hint="default"/>
        <w:lang w:val="en-AU" w:eastAsia="en-US" w:bidi="ar-SA"/>
      </w:rPr>
    </w:lvl>
  </w:abstractNum>
  <w:abstractNum w:abstractNumId="20" w15:restartNumberingAfterBreak="0">
    <w:nsid w:val="5D554D87"/>
    <w:multiLevelType w:val="hybridMultilevel"/>
    <w:tmpl w:val="4F2E0782"/>
    <w:lvl w:ilvl="0" w:tplc="2BB2B854">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10D7394"/>
    <w:multiLevelType w:val="hybridMultilevel"/>
    <w:tmpl w:val="A4E4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FD66C1"/>
    <w:multiLevelType w:val="hybridMultilevel"/>
    <w:tmpl w:val="3B04568A"/>
    <w:lvl w:ilvl="0" w:tplc="FFFFFFFF">
      <w:start w:val="1"/>
      <w:numFmt w:val="lowerLetter"/>
      <w:lvlText w:val="%1."/>
      <w:lvlJc w:val="left"/>
      <w:pPr>
        <w:ind w:left="1440" w:hanging="720"/>
      </w:pPr>
      <w:rPr>
        <w:rFonts w:hint="default"/>
      </w:rPr>
    </w:lvl>
    <w:lvl w:ilvl="1" w:tplc="0C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55020478">
    <w:abstractNumId w:val="2"/>
  </w:num>
  <w:num w:numId="2" w16cid:durableId="2106882723">
    <w:abstractNumId w:val="0"/>
  </w:num>
  <w:num w:numId="3" w16cid:durableId="747579944">
    <w:abstractNumId w:val="5"/>
  </w:num>
  <w:num w:numId="4" w16cid:durableId="1337804231">
    <w:abstractNumId w:val="13"/>
  </w:num>
  <w:num w:numId="5" w16cid:durableId="576747935">
    <w:abstractNumId w:val="23"/>
  </w:num>
  <w:num w:numId="6" w16cid:durableId="2001494507">
    <w:abstractNumId w:val="1"/>
  </w:num>
  <w:num w:numId="7" w16cid:durableId="670568196">
    <w:abstractNumId w:val="10"/>
  </w:num>
  <w:num w:numId="8" w16cid:durableId="1782456229">
    <w:abstractNumId w:val="12"/>
  </w:num>
  <w:num w:numId="9" w16cid:durableId="371270287">
    <w:abstractNumId w:val="17"/>
  </w:num>
  <w:num w:numId="10" w16cid:durableId="2077313484">
    <w:abstractNumId w:val="16"/>
  </w:num>
  <w:num w:numId="11" w16cid:durableId="714231735">
    <w:abstractNumId w:val="21"/>
  </w:num>
  <w:num w:numId="12" w16cid:durableId="347558798">
    <w:abstractNumId w:val="18"/>
  </w:num>
  <w:num w:numId="13" w16cid:durableId="896941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6802801">
    <w:abstractNumId w:val="20"/>
  </w:num>
  <w:num w:numId="15" w16cid:durableId="1957171012">
    <w:abstractNumId w:val="19"/>
  </w:num>
  <w:num w:numId="16" w16cid:durableId="1818959204">
    <w:abstractNumId w:val="14"/>
  </w:num>
  <w:num w:numId="17" w16cid:durableId="1157303498">
    <w:abstractNumId w:val="7"/>
  </w:num>
  <w:num w:numId="18" w16cid:durableId="1765347249">
    <w:abstractNumId w:val="3"/>
  </w:num>
  <w:num w:numId="19" w16cid:durableId="978725052">
    <w:abstractNumId w:val="15"/>
  </w:num>
  <w:num w:numId="20" w16cid:durableId="2089616082">
    <w:abstractNumId w:val="11"/>
  </w:num>
  <w:num w:numId="21" w16cid:durableId="438835667">
    <w:abstractNumId w:val="8"/>
  </w:num>
  <w:num w:numId="22" w16cid:durableId="929848229">
    <w:abstractNumId w:val="22"/>
  </w:num>
  <w:num w:numId="23" w16cid:durableId="731462919">
    <w:abstractNumId w:val="4"/>
  </w:num>
  <w:num w:numId="24" w16cid:durableId="88166056">
    <w:abstractNumId w:val="4"/>
    <w:lvlOverride w:ilvl="0">
      <w:startOverride w:val="1"/>
    </w:lvlOverride>
  </w:num>
  <w:num w:numId="25" w16cid:durableId="2030327186">
    <w:abstractNumId w:val="6"/>
  </w:num>
  <w:num w:numId="26" w16cid:durableId="68020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248F0"/>
    <w:rsid w:val="00040E22"/>
    <w:rsid w:val="000440F8"/>
    <w:rsid w:val="000539F6"/>
    <w:rsid w:val="000630F0"/>
    <w:rsid w:val="00067667"/>
    <w:rsid w:val="000753CD"/>
    <w:rsid w:val="00080D5F"/>
    <w:rsid w:val="00084FDC"/>
    <w:rsid w:val="00090125"/>
    <w:rsid w:val="00091D34"/>
    <w:rsid w:val="00092250"/>
    <w:rsid w:val="00095A62"/>
    <w:rsid w:val="000A09B7"/>
    <w:rsid w:val="000B6B20"/>
    <w:rsid w:val="000B754D"/>
    <w:rsid w:val="000C0685"/>
    <w:rsid w:val="000C4318"/>
    <w:rsid w:val="000C702B"/>
    <w:rsid w:val="000D1712"/>
    <w:rsid w:val="000E5386"/>
    <w:rsid w:val="000F5A4D"/>
    <w:rsid w:val="00111FAF"/>
    <w:rsid w:val="00117480"/>
    <w:rsid w:val="001319BC"/>
    <w:rsid w:val="0013770F"/>
    <w:rsid w:val="00142DE2"/>
    <w:rsid w:val="001509D6"/>
    <w:rsid w:val="0015155C"/>
    <w:rsid w:val="00175C21"/>
    <w:rsid w:val="00176C38"/>
    <w:rsid w:val="0018406A"/>
    <w:rsid w:val="00195B01"/>
    <w:rsid w:val="00197C57"/>
    <w:rsid w:val="001A5A01"/>
    <w:rsid w:val="001A64C8"/>
    <w:rsid w:val="001C2014"/>
    <w:rsid w:val="001C4015"/>
    <w:rsid w:val="001C6915"/>
    <w:rsid w:val="001C723A"/>
    <w:rsid w:val="001D4A34"/>
    <w:rsid w:val="001F32E1"/>
    <w:rsid w:val="001F7C4D"/>
    <w:rsid w:val="002001A3"/>
    <w:rsid w:val="00202C0F"/>
    <w:rsid w:val="00202DE3"/>
    <w:rsid w:val="002052C4"/>
    <w:rsid w:val="00217CE6"/>
    <w:rsid w:val="00221D86"/>
    <w:rsid w:val="0024105F"/>
    <w:rsid w:val="002416EE"/>
    <w:rsid w:val="00247AD8"/>
    <w:rsid w:val="00247DC0"/>
    <w:rsid w:val="002559B6"/>
    <w:rsid w:val="00262503"/>
    <w:rsid w:val="00262E14"/>
    <w:rsid w:val="00264CCD"/>
    <w:rsid w:val="0027076D"/>
    <w:rsid w:val="00273B21"/>
    <w:rsid w:val="00274278"/>
    <w:rsid w:val="00281204"/>
    <w:rsid w:val="002822E9"/>
    <w:rsid w:val="00282E7A"/>
    <w:rsid w:val="0028348D"/>
    <w:rsid w:val="00287405"/>
    <w:rsid w:val="00292AE1"/>
    <w:rsid w:val="002B03A9"/>
    <w:rsid w:val="002B25FA"/>
    <w:rsid w:val="002B504F"/>
    <w:rsid w:val="002B6C74"/>
    <w:rsid w:val="002B6F0D"/>
    <w:rsid w:val="002B7E04"/>
    <w:rsid w:val="002C4655"/>
    <w:rsid w:val="002C772B"/>
    <w:rsid w:val="002E52ED"/>
    <w:rsid w:val="002E6F28"/>
    <w:rsid w:val="002F1264"/>
    <w:rsid w:val="002F3152"/>
    <w:rsid w:val="00304C4A"/>
    <w:rsid w:val="0031124F"/>
    <w:rsid w:val="00312FF7"/>
    <w:rsid w:val="0031351D"/>
    <w:rsid w:val="0033190B"/>
    <w:rsid w:val="00335543"/>
    <w:rsid w:val="00335CB3"/>
    <w:rsid w:val="00353029"/>
    <w:rsid w:val="003573D6"/>
    <w:rsid w:val="00367D71"/>
    <w:rsid w:val="00370B47"/>
    <w:rsid w:val="00376329"/>
    <w:rsid w:val="00380334"/>
    <w:rsid w:val="00384254"/>
    <w:rsid w:val="00386893"/>
    <w:rsid w:val="003950F7"/>
    <w:rsid w:val="003A3190"/>
    <w:rsid w:val="003A3CDA"/>
    <w:rsid w:val="003A4426"/>
    <w:rsid w:val="003A487F"/>
    <w:rsid w:val="003A5470"/>
    <w:rsid w:val="003B1F4C"/>
    <w:rsid w:val="003B2E0A"/>
    <w:rsid w:val="003B4288"/>
    <w:rsid w:val="003B773D"/>
    <w:rsid w:val="003C1C82"/>
    <w:rsid w:val="003D37F8"/>
    <w:rsid w:val="003E0C87"/>
    <w:rsid w:val="003E34F5"/>
    <w:rsid w:val="003E4F0E"/>
    <w:rsid w:val="003F0A87"/>
    <w:rsid w:val="00402D2A"/>
    <w:rsid w:val="00417321"/>
    <w:rsid w:val="00421332"/>
    <w:rsid w:val="004229A6"/>
    <w:rsid w:val="0042708A"/>
    <w:rsid w:val="00437B3B"/>
    <w:rsid w:val="00446B1D"/>
    <w:rsid w:val="0045082C"/>
    <w:rsid w:val="00450F3A"/>
    <w:rsid w:val="004720A0"/>
    <w:rsid w:val="0047481A"/>
    <w:rsid w:val="00493056"/>
    <w:rsid w:val="004A0CA7"/>
    <w:rsid w:val="004A7947"/>
    <w:rsid w:val="004B73FB"/>
    <w:rsid w:val="004B7638"/>
    <w:rsid w:val="004C3922"/>
    <w:rsid w:val="004E2FA3"/>
    <w:rsid w:val="004E774B"/>
    <w:rsid w:val="00513BE9"/>
    <w:rsid w:val="00520061"/>
    <w:rsid w:val="0052393D"/>
    <w:rsid w:val="0053327A"/>
    <w:rsid w:val="00544C1A"/>
    <w:rsid w:val="005468F0"/>
    <w:rsid w:val="00552D0C"/>
    <w:rsid w:val="00561DD5"/>
    <w:rsid w:val="00563386"/>
    <w:rsid w:val="00577FE5"/>
    <w:rsid w:val="00580BE6"/>
    <w:rsid w:val="00591F3A"/>
    <w:rsid w:val="00592984"/>
    <w:rsid w:val="005A08D0"/>
    <w:rsid w:val="005A3A03"/>
    <w:rsid w:val="005A3E5D"/>
    <w:rsid w:val="005A7489"/>
    <w:rsid w:val="005C0510"/>
    <w:rsid w:val="005C066D"/>
    <w:rsid w:val="005C0BB1"/>
    <w:rsid w:val="005C1090"/>
    <w:rsid w:val="005D3C2F"/>
    <w:rsid w:val="005E3194"/>
    <w:rsid w:val="005F56E2"/>
    <w:rsid w:val="0060224E"/>
    <w:rsid w:val="00602ADC"/>
    <w:rsid w:val="00610564"/>
    <w:rsid w:val="006262CE"/>
    <w:rsid w:val="006325A0"/>
    <w:rsid w:val="00634F0D"/>
    <w:rsid w:val="00635B57"/>
    <w:rsid w:val="0064002D"/>
    <w:rsid w:val="0064048B"/>
    <w:rsid w:val="006434AD"/>
    <w:rsid w:val="00644DCC"/>
    <w:rsid w:val="00645DE9"/>
    <w:rsid w:val="00670B21"/>
    <w:rsid w:val="00672787"/>
    <w:rsid w:val="0068144C"/>
    <w:rsid w:val="006815C9"/>
    <w:rsid w:val="00694E0B"/>
    <w:rsid w:val="006A1385"/>
    <w:rsid w:val="006A5913"/>
    <w:rsid w:val="006B62DB"/>
    <w:rsid w:val="006D49C5"/>
    <w:rsid w:val="006D7548"/>
    <w:rsid w:val="006D755F"/>
    <w:rsid w:val="006E7046"/>
    <w:rsid w:val="006E713F"/>
    <w:rsid w:val="006F193D"/>
    <w:rsid w:val="006F6724"/>
    <w:rsid w:val="007053E6"/>
    <w:rsid w:val="0070738A"/>
    <w:rsid w:val="00710A00"/>
    <w:rsid w:val="00712722"/>
    <w:rsid w:val="00716448"/>
    <w:rsid w:val="00727BE6"/>
    <w:rsid w:val="00743279"/>
    <w:rsid w:val="00751295"/>
    <w:rsid w:val="00754576"/>
    <w:rsid w:val="007605E0"/>
    <w:rsid w:val="00761B92"/>
    <w:rsid w:val="007643A7"/>
    <w:rsid w:val="00771199"/>
    <w:rsid w:val="007807F9"/>
    <w:rsid w:val="007838F1"/>
    <w:rsid w:val="007873BB"/>
    <w:rsid w:val="00787D52"/>
    <w:rsid w:val="007928EE"/>
    <w:rsid w:val="007A04DD"/>
    <w:rsid w:val="007A1169"/>
    <w:rsid w:val="007A6EF0"/>
    <w:rsid w:val="007B0E60"/>
    <w:rsid w:val="007C65A4"/>
    <w:rsid w:val="007E5303"/>
    <w:rsid w:val="007E6C1C"/>
    <w:rsid w:val="007F6AE4"/>
    <w:rsid w:val="0081523E"/>
    <w:rsid w:val="00816063"/>
    <w:rsid w:val="00821931"/>
    <w:rsid w:val="00826E38"/>
    <w:rsid w:val="00827574"/>
    <w:rsid w:val="008310C1"/>
    <w:rsid w:val="008322AD"/>
    <w:rsid w:val="008511EC"/>
    <w:rsid w:val="00851D65"/>
    <w:rsid w:val="00853EA3"/>
    <w:rsid w:val="00856DDC"/>
    <w:rsid w:val="00880FC9"/>
    <w:rsid w:val="00894CE0"/>
    <w:rsid w:val="0089786C"/>
    <w:rsid w:val="008A17FF"/>
    <w:rsid w:val="008A30EF"/>
    <w:rsid w:val="008A4208"/>
    <w:rsid w:val="008B1870"/>
    <w:rsid w:val="008D5BA3"/>
    <w:rsid w:val="008F1AE7"/>
    <w:rsid w:val="0090603B"/>
    <w:rsid w:val="00907657"/>
    <w:rsid w:val="00910F66"/>
    <w:rsid w:val="00915A09"/>
    <w:rsid w:val="00923ADD"/>
    <w:rsid w:val="009370B3"/>
    <w:rsid w:val="009402D7"/>
    <w:rsid w:val="009453D6"/>
    <w:rsid w:val="00957776"/>
    <w:rsid w:val="00963DAD"/>
    <w:rsid w:val="009748E5"/>
    <w:rsid w:val="0099156B"/>
    <w:rsid w:val="0099165E"/>
    <w:rsid w:val="00994480"/>
    <w:rsid w:val="00996447"/>
    <w:rsid w:val="009965F3"/>
    <w:rsid w:val="009A005E"/>
    <w:rsid w:val="009A3D57"/>
    <w:rsid w:val="009B1117"/>
    <w:rsid w:val="009B22EE"/>
    <w:rsid w:val="009B2D9B"/>
    <w:rsid w:val="009C0533"/>
    <w:rsid w:val="009C322F"/>
    <w:rsid w:val="009D128A"/>
    <w:rsid w:val="009E79F7"/>
    <w:rsid w:val="009F19B2"/>
    <w:rsid w:val="009F4D6D"/>
    <w:rsid w:val="00A049D4"/>
    <w:rsid w:val="00A051B7"/>
    <w:rsid w:val="00A06E3A"/>
    <w:rsid w:val="00A3286D"/>
    <w:rsid w:val="00A42221"/>
    <w:rsid w:val="00A44DA6"/>
    <w:rsid w:val="00A51422"/>
    <w:rsid w:val="00A65E94"/>
    <w:rsid w:val="00A7362A"/>
    <w:rsid w:val="00A75C27"/>
    <w:rsid w:val="00A80190"/>
    <w:rsid w:val="00A87329"/>
    <w:rsid w:val="00A91539"/>
    <w:rsid w:val="00A93E7D"/>
    <w:rsid w:val="00AA03DF"/>
    <w:rsid w:val="00AA0A06"/>
    <w:rsid w:val="00AA0DFD"/>
    <w:rsid w:val="00AA15DC"/>
    <w:rsid w:val="00AA6501"/>
    <w:rsid w:val="00AB5228"/>
    <w:rsid w:val="00AC1019"/>
    <w:rsid w:val="00AD6A09"/>
    <w:rsid w:val="00AE15CA"/>
    <w:rsid w:val="00AE405D"/>
    <w:rsid w:val="00AF4389"/>
    <w:rsid w:val="00AF550A"/>
    <w:rsid w:val="00AF6058"/>
    <w:rsid w:val="00B11CBA"/>
    <w:rsid w:val="00B127E5"/>
    <w:rsid w:val="00B13393"/>
    <w:rsid w:val="00B139FA"/>
    <w:rsid w:val="00B2673A"/>
    <w:rsid w:val="00B272D5"/>
    <w:rsid w:val="00B40734"/>
    <w:rsid w:val="00B4145D"/>
    <w:rsid w:val="00B479ED"/>
    <w:rsid w:val="00B51689"/>
    <w:rsid w:val="00B5176F"/>
    <w:rsid w:val="00B53BFF"/>
    <w:rsid w:val="00B673C3"/>
    <w:rsid w:val="00B67DEA"/>
    <w:rsid w:val="00B70A6C"/>
    <w:rsid w:val="00B70C81"/>
    <w:rsid w:val="00B72742"/>
    <w:rsid w:val="00B729A6"/>
    <w:rsid w:val="00B73768"/>
    <w:rsid w:val="00B84890"/>
    <w:rsid w:val="00B85DC5"/>
    <w:rsid w:val="00B92E69"/>
    <w:rsid w:val="00B95FCC"/>
    <w:rsid w:val="00BC6493"/>
    <w:rsid w:val="00BE2E05"/>
    <w:rsid w:val="00BE331A"/>
    <w:rsid w:val="00BE36CC"/>
    <w:rsid w:val="00BF57DE"/>
    <w:rsid w:val="00BF6075"/>
    <w:rsid w:val="00BF611A"/>
    <w:rsid w:val="00C05AFF"/>
    <w:rsid w:val="00C1618B"/>
    <w:rsid w:val="00C2307D"/>
    <w:rsid w:val="00C41DE4"/>
    <w:rsid w:val="00C4509F"/>
    <w:rsid w:val="00C56D72"/>
    <w:rsid w:val="00C574F7"/>
    <w:rsid w:val="00C57B30"/>
    <w:rsid w:val="00C63C59"/>
    <w:rsid w:val="00C66292"/>
    <w:rsid w:val="00C72C4E"/>
    <w:rsid w:val="00C740EC"/>
    <w:rsid w:val="00C7642F"/>
    <w:rsid w:val="00C77097"/>
    <w:rsid w:val="00C770F0"/>
    <w:rsid w:val="00C80893"/>
    <w:rsid w:val="00C841EE"/>
    <w:rsid w:val="00C942B1"/>
    <w:rsid w:val="00CA1A0B"/>
    <w:rsid w:val="00CA5A1D"/>
    <w:rsid w:val="00CB50BA"/>
    <w:rsid w:val="00CC488A"/>
    <w:rsid w:val="00CD0143"/>
    <w:rsid w:val="00D0340D"/>
    <w:rsid w:val="00D061B7"/>
    <w:rsid w:val="00D21AE7"/>
    <w:rsid w:val="00D259BF"/>
    <w:rsid w:val="00D304C9"/>
    <w:rsid w:val="00D34AC3"/>
    <w:rsid w:val="00D53E81"/>
    <w:rsid w:val="00D55FD8"/>
    <w:rsid w:val="00D655C3"/>
    <w:rsid w:val="00D821DA"/>
    <w:rsid w:val="00D851E6"/>
    <w:rsid w:val="00D86CF5"/>
    <w:rsid w:val="00D87BA5"/>
    <w:rsid w:val="00D935A6"/>
    <w:rsid w:val="00DD1567"/>
    <w:rsid w:val="00DD6ABE"/>
    <w:rsid w:val="00DF25AD"/>
    <w:rsid w:val="00DF7E8D"/>
    <w:rsid w:val="00E01A44"/>
    <w:rsid w:val="00E02A27"/>
    <w:rsid w:val="00E03FCF"/>
    <w:rsid w:val="00E10373"/>
    <w:rsid w:val="00E10DB5"/>
    <w:rsid w:val="00E23DE3"/>
    <w:rsid w:val="00E36FD9"/>
    <w:rsid w:val="00E37709"/>
    <w:rsid w:val="00E4671B"/>
    <w:rsid w:val="00E47992"/>
    <w:rsid w:val="00E55E50"/>
    <w:rsid w:val="00E578C3"/>
    <w:rsid w:val="00E604B3"/>
    <w:rsid w:val="00E82532"/>
    <w:rsid w:val="00E84DF5"/>
    <w:rsid w:val="00E8639C"/>
    <w:rsid w:val="00E86EC9"/>
    <w:rsid w:val="00E900A4"/>
    <w:rsid w:val="00E90EBE"/>
    <w:rsid w:val="00EB2C61"/>
    <w:rsid w:val="00EB7EA1"/>
    <w:rsid w:val="00ED4998"/>
    <w:rsid w:val="00EE322E"/>
    <w:rsid w:val="00EE3A30"/>
    <w:rsid w:val="00EE6849"/>
    <w:rsid w:val="00EE79DF"/>
    <w:rsid w:val="00EF4207"/>
    <w:rsid w:val="00EF777A"/>
    <w:rsid w:val="00F13B03"/>
    <w:rsid w:val="00F179BF"/>
    <w:rsid w:val="00F20557"/>
    <w:rsid w:val="00F20F1A"/>
    <w:rsid w:val="00F24948"/>
    <w:rsid w:val="00F35AC9"/>
    <w:rsid w:val="00F4440D"/>
    <w:rsid w:val="00F5371D"/>
    <w:rsid w:val="00F56BE9"/>
    <w:rsid w:val="00F65D95"/>
    <w:rsid w:val="00F716FE"/>
    <w:rsid w:val="00F928E3"/>
    <w:rsid w:val="00FA6EB6"/>
    <w:rsid w:val="00FB0190"/>
    <w:rsid w:val="00FB3A42"/>
    <w:rsid w:val="00FD3104"/>
    <w:rsid w:val="00FF4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60497"/>
  <w15:docId w15:val="{C9C50957-B8BC-4263-B06A-CD88E6A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customStyle="1" w:styleId="ui-provider">
    <w:name w:val="ui-provider"/>
    <w:basedOn w:val="DefaultParagraphFont"/>
    <w:rsid w:val="00C63C59"/>
  </w:style>
  <w:style w:type="paragraph" w:styleId="NormalWeb">
    <w:name w:val="Normal (Web)"/>
    <w:basedOn w:val="Normal"/>
    <w:uiPriority w:val="99"/>
    <w:unhideWhenUsed/>
    <w:rsid w:val="0031124F"/>
    <w:pPr>
      <w:spacing w:before="100" w:beforeAutospacing="1" w:after="100" w:afterAutospacing="1"/>
    </w:pPr>
    <w:rPr>
      <w:szCs w:val="24"/>
      <w:lang w:eastAsia="en-AU"/>
    </w:rPr>
  </w:style>
  <w:style w:type="paragraph" w:styleId="ListParagraph">
    <w:name w:val="List Paragraph"/>
    <w:basedOn w:val="Normal"/>
    <w:uiPriority w:val="1"/>
    <w:qFormat/>
    <w:rsid w:val="0015155C"/>
    <w:pPr>
      <w:ind w:left="720"/>
      <w:contextualSpacing/>
    </w:pPr>
  </w:style>
  <w:style w:type="paragraph" w:styleId="BodyText">
    <w:name w:val="Body Text"/>
    <w:basedOn w:val="Normal"/>
    <w:link w:val="BodyTextChar"/>
    <w:uiPriority w:val="99"/>
    <w:semiHidden/>
    <w:unhideWhenUsed/>
    <w:rsid w:val="005E3194"/>
    <w:pPr>
      <w:spacing w:after="120"/>
    </w:pPr>
  </w:style>
  <w:style w:type="character" w:customStyle="1" w:styleId="BodyTextChar">
    <w:name w:val="Body Text Char"/>
    <w:basedOn w:val="DefaultParagraphFont"/>
    <w:link w:val="BodyText"/>
    <w:uiPriority w:val="99"/>
    <w:semiHidden/>
    <w:rsid w:val="005E3194"/>
    <w:rPr>
      <w:sz w:val="24"/>
      <w:lang w:eastAsia="en-US"/>
    </w:rPr>
  </w:style>
  <w:style w:type="character" w:customStyle="1" w:styleId="Calibri12">
    <w:name w:val="Calibri 12"/>
    <w:basedOn w:val="DefaultParagraphFont"/>
    <w:uiPriority w:val="1"/>
    <w:qFormat/>
    <w:rsid w:val="004B73FB"/>
    <w:rPr>
      <w:rFonts w:ascii="Calibri" w:hAnsi="Calibri"/>
      <w:sz w:val="24"/>
    </w:rPr>
  </w:style>
  <w:style w:type="character" w:styleId="CommentReference">
    <w:name w:val="annotation reference"/>
    <w:basedOn w:val="DefaultParagraphFont"/>
    <w:uiPriority w:val="99"/>
    <w:semiHidden/>
    <w:unhideWhenUsed/>
    <w:rsid w:val="008A30EF"/>
    <w:rPr>
      <w:sz w:val="16"/>
      <w:szCs w:val="16"/>
    </w:rPr>
  </w:style>
  <w:style w:type="paragraph" w:styleId="CommentText">
    <w:name w:val="annotation text"/>
    <w:basedOn w:val="Normal"/>
    <w:link w:val="CommentTextChar"/>
    <w:uiPriority w:val="99"/>
    <w:unhideWhenUsed/>
    <w:rsid w:val="008A30EF"/>
    <w:rPr>
      <w:sz w:val="20"/>
    </w:rPr>
  </w:style>
  <w:style w:type="character" w:customStyle="1" w:styleId="CommentTextChar">
    <w:name w:val="Comment Text Char"/>
    <w:basedOn w:val="DefaultParagraphFont"/>
    <w:link w:val="CommentText"/>
    <w:uiPriority w:val="99"/>
    <w:rsid w:val="008A30EF"/>
    <w:rPr>
      <w:lang w:eastAsia="en-US"/>
    </w:rPr>
  </w:style>
  <w:style w:type="paragraph" w:styleId="CommentSubject">
    <w:name w:val="annotation subject"/>
    <w:basedOn w:val="CommentText"/>
    <w:next w:val="CommentText"/>
    <w:link w:val="CommentSubjectChar"/>
    <w:uiPriority w:val="99"/>
    <w:semiHidden/>
    <w:unhideWhenUsed/>
    <w:rsid w:val="008A30EF"/>
    <w:rPr>
      <w:b/>
      <w:bCs/>
    </w:rPr>
  </w:style>
  <w:style w:type="character" w:customStyle="1" w:styleId="CommentSubjectChar">
    <w:name w:val="Comment Subject Char"/>
    <w:basedOn w:val="CommentTextChar"/>
    <w:link w:val="CommentSubject"/>
    <w:uiPriority w:val="99"/>
    <w:semiHidden/>
    <w:rsid w:val="008A30EF"/>
    <w:rPr>
      <w:b/>
      <w:bCs/>
      <w:lang w:eastAsia="en-US"/>
    </w:rPr>
  </w:style>
  <w:style w:type="paragraph" w:styleId="Revision">
    <w:name w:val="Revision"/>
    <w:hidden/>
    <w:uiPriority w:val="99"/>
    <w:semiHidden/>
    <w:rsid w:val="002B504F"/>
    <w:rPr>
      <w:sz w:val="24"/>
      <w:lang w:eastAsia="en-US"/>
    </w:rPr>
  </w:style>
  <w:style w:type="paragraph" w:customStyle="1" w:styleId="Style1">
    <w:name w:val="Style1"/>
    <w:basedOn w:val="Normal"/>
    <w:rsid w:val="0099156B"/>
    <w:pPr>
      <w:numPr>
        <w:numId w:val="23"/>
      </w:numPr>
    </w:pPr>
  </w:style>
  <w:style w:type="paragraph" w:customStyle="1" w:styleId="longtitle">
    <w:name w:val="longtitle"/>
    <w:basedOn w:val="Normal"/>
    <w:rsid w:val="00A049D4"/>
    <w:pPr>
      <w:spacing w:before="100" w:beforeAutospacing="1" w:after="100" w:afterAutospacing="1"/>
    </w:pPr>
    <w:rPr>
      <w:szCs w:val="24"/>
      <w:lang w:eastAsia="en-AU"/>
    </w:rPr>
  </w:style>
  <w:style w:type="paragraph" w:customStyle="1" w:styleId="CS-Paragraphnumbering">
    <w:name w:val="CS - Paragraph numbering"/>
    <w:basedOn w:val="Normal"/>
    <w:rsid w:val="00EE322E"/>
    <w:pPr>
      <w:numPr>
        <w:numId w:val="26"/>
      </w:numPr>
      <w:spacing w:after="120" w:line="276" w:lineRule="auto"/>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000">
      <w:bodyDiv w:val="1"/>
      <w:marLeft w:val="0"/>
      <w:marRight w:val="0"/>
      <w:marTop w:val="0"/>
      <w:marBottom w:val="0"/>
      <w:divBdr>
        <w:top w:val="none" w:sz="0" w:space="0" w:color="auto"/>
        <w:left w:val="none" w:sz="0" w:space="0" w:color="auto"/>
        <w:bottom w:val="none" w:sz="0" w:space="0" w:color="auto"/>
        <w:right w:val="none" w:sz="0" w:space="0" w:color="auto"/>
      </w:divBdr>
    </w:div>
    <w:div w:id="147870213">
      <w:bodyDiv w:val="1"/>
      <w:marLeft w:val="0"/>
      <w:marRight w:val="0"/>
      <w:marTop w:val="0"/>
      <w:marBottom w:val="0"/>
      <w:divBdr>
        <w:top w:val="none" w:sz="0" w:space="0" w:color="auto"/>
        <w:left w:val="none" w:sz="0" w:space="0" w:color="auto"/>
        <w:bottom w:val="none" w:sz="0" w:space="0" w:color="auto"/>
        <w:right w:val="none" w:sz="0" w:space="0" w:color="auto"/>
      </w:divBdr>
    </w:div>
    <w:div w:id="583418910">
      <w:bodyDiv w:val="1"/>
      <w:marLeft w:val="0"/>
      <w:marRight w:val="0"/>
      <w:marTop w:val="0"/>
      <w:marBottom w:val="0"/>
      <w:divBdr>
        <w:top w:val="none" w:sz="0" w:space="0" w:color="auto"/>
        <w:left w:val="none" w:sz="0" w:space="0" w:color="auto"/>
        <w:bottom w:val="none" w:sz="0" w:space="0" w:color="auto"/>
        <w:right w:val="none" w:sz="0" w:space="0" w:color="auto"/>
      </w:divBdr>
    </w:div>
    <w:div w:id="944578181">
      <w:bodyDiv w:val="1"/>
      <w:marLeft w:val="0"/>
      <w:marRight w:val="0"/>
      <w:marTop w:val="0"/>
      <w:marBottom w:val="0"/>
      <w:divBdr>
        <w:top w:val="none" w:sz="0" w:space="0" w:color="auto"/>
        <w:left w:val="none" w:sz="0" w:space="0" w:color="auto"/>
        <w:bottom w:val="none" w:sz="0" w:space="0" w:color="auto"/>
        <w:right w:val="none" w:sz="0" w:space="0" w:color="auto"/>
      </w:divBdr>
    </w:div>
    <w:div w:id="1135292910">
      <w:bodyDiv w:val="1"/>
      <w:marLeft w:val="0"/>
      <w:marRight w:val="0"/>
      <w:marTop w:val="0"/>
      <w:marBottom w:val="0"/>
      <w:divBdr>
        <w:top w:val="none" w:sz="0" w:space="0" w:color="auto"/>
        <w:left w:val="none" w:sz="0" w:space="0" w:color="auto"/>
        <w:bottom w:val="none" w:sz="0" w:space="0" w:color="auto"/>
        <w:right w:val="none" w:sz="0" w:space="0" w:color="auto"/>
      </w:divBdr>
    </w:div>
    <w:div w:id="15167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A53847493</value>
    </field>
    <field name="Objective-Title">
      <value order="0">Explanatory Statement - Civil Law (Sale of Residential Property) Amendment Regulation 2025</value>
    </field>
    <field name="Objective-Description">
      <value order="0"/>
    </field>
    <field name="Objective-CreationStamp">
      <value order="0">2025-06-13T05:11:27Z</value>
    </field>
    <field name="Objective-IsApproved">
      <value order="0">false</value>
    </field>
    <field name="Objective-IsPublished">
      <value order="0">true</value>
    </field>
    <field name="Objective-DatePublished">
      <value order="0">2025-09-24T23:59:30Z</value>
    </field>
    <field name="Objective-ModificationStamp">
      <value order="0">2025-09-24T23:59:30Z</value>
    </field>
    <field name="Objective-Owner">
      <value order="0">Peter Volis</value>
    </field>
    <field name="Objective-Path">
      <value order="0">Whole of ACT Government:EPSDD - Environment Planning and Sustainable Development Directorate:DIVISION - Planning and Urban Policy:Branch - Building Reform:03. Focus Area - Practitioner Regulation:02. Developer Regulation:07A. Developer Licensing and Regulation Bill:07. Instruments and regulations:02. Draft Regulations and Amendments:4. Civil Law (Sale of Residential Property) Regs</value>
    </field>
    <field name="Objective-Parent">
      <value order="0">4. Civil Law (Sale of Residential Property) Regs</value>
    </field>
    <field name="Objective-State">
      <value order="0">Published</value>
    </field>
    <field name="Objective-VersionId">
      <value order="0">vA73138025</value>
    </field>
    <field name="Objective-Version">
      <value order="0">9.0</value>
    </field>
    <field name="Objective-VersionNumber">
      <value order="0">13</value>
    </field>
    <field name="Objective-VersionComment">
      <value order="0"/>
    </field>
    <field name="Objective-FileNumber">
      <value order="0"/>
    </field>
    <field name="Objective-Classification">
      <value order="0">In Confidence (green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2025-10-28T05:03:00Z</dcterms:created>
  <dcterms:modified xsi:type="dcterms:W3CDTF">2025-10-28T05:03:00Z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A53847493</vt:lpwstr>
  </property>
  <property fmtid="{D5CDD505-2E9C-101B-9397-08002B2CF9AE}" pid="4" name="Objective-Title">
    <vt:lpwstr>Explanatory Statement - Civil Law (Sale of Residential Property) Amendment Regulation 2025</vt:lpwstr>
  </property>
  <property fmtid="{D5CDD505-2E9C-101B-9397-08002B2CF9AE}" pid="5" name="Objective-Description">
    <vt:lpwstr/>
  </property>
  <property fmtid="{D5CDD505-2E9C-101B-9397-08002B2CF9AE}" pid="6" name="Objective-CreationStamp">
    <vt:filetime>2025-06-13T05:11:27Z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2025-09-24T23:59:30Z</vt:filetime>
  </property>
  <property fmtid="{D5CDD505-2E9C-101B-9397-08002B2CF9AE}" pid="10" name="Objective-ModificationStamp">
    <vt:filetime>2025-09-24T23:59:30Z</vt:filetime>
  </property>
  <property fmtid="{D5CDD505-2E9C-101B-9397-08002B2CF9AE}" pid="11" name="Objective-Owner">
    <vt:lpwstr>Peter Volis</vt:lpwstr>
  </property>
  <property fmtid="{D5CDD505-2E9C-101B-9397-08002B2CF9AE}" pid="12" name="Objective-Path">
    <vt:lpwstr>Whole of ACT Government:EPSDD - Environment Planning and Sustainable Development Directorate:DIVISION - Planning and Urban Policy:Branch - Building Reform:03. Focus Area - Practitioner Regulation:02. Developer Regulation:07A. Developer Licensing and Regulation Bill:07. Instruments and regulations:02. Draft Regulations and Amendments:4. Civil Law (Sale of Residential Property) Regs:</vt:lpwstr>
  </property>
  <property fmtid="{D5CDD505-2E9C-101B-9397-08002B2CF9AE}" pid="13" name="Objective-Parent">
    <vt:lpwstr>4. Civil Law (Sale of Residential Property) Regs</vt:lpwstr>
  </property>
  <property fmtid="{D5CDD505-2E9C-101B-9397-08002B2CF9AE}" pid="14" name="Objective-State">
    <vt:lpwstr>Published</vt:lpwstr>
  </property>
  <property fmtid="{D5CDD505-2E9C-101B-9397-08002B2CF9AE}" pid="15" name="Objective-VersionId">
    <vt:lpwstr>vA73138025</vt:lpwstr>
  </property>
  <property fmtid="{D5CDD505-2E9C-101B-9397-08002B2CF9AE}" pid="16" name="Objective-Version">
    <vt:lpwstr>9.0</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 Confidence (green file cover)</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Objective-Status">
    <vt:lpwstr/>
  </property>
  <property fmtid="{D5CDD505-2E9C-101B-9397-08002B2CF9AE}" pid="35" name="MSIP_Label_69af8531-eb46-4968-8cb3-105d2f5ea87e_Enabled">
    <vt:lpwstr>true</vt:lpwstr>
  </property>
  <property fmtid="{D5CDD505-2E9C-101B-9397-08002B2CF9AE}" pid="36" name="MSIP_Label_69af8531-eb46-4968-8cb3-105d2f5ea87e_SetDate">
    <vt:lpwstr>2025-04-15T07:04:05Z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94fb2a3d-2de1-4220-afb5-496de7d556f4</vt:lpwstr>
  </property>
  <property fmtid="{D5CDD505-2E9C-101B-9397-08002B2CF9AE}" pid="41" name="MSIP_Label_69af8531-eb46-4968-8cb3-105d2f5ea87e_ContentBits">
    <vt:lpwstr>0</vt:lpwstr>
  </property>
  <property fmtid="{D5CDD505-2E9C-101B-9397-08002B2CF9AE}" pid="42" name="MSIP_Label_69af8531-eb46-4968-8cb3-105d2f5ea87e_Tag">
    <vt:lpwstr>10, 3, 0, 1</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y fmtid="{D5CDD505-2E9C-101B-9397-08002B2CF9AE}" pid="48" name="DMSID">
    <vt:lpwstr>14916788</vt:lpwstr>
  </property>
  <property fmtid="{D5CDD505-2E9C-101B-9397-08002B2CF9AE}" pid="49" name="CHECKEDOUTFROMJMS">
    <vt:lpwstr/>
  </property>
  <property fmtid="{D5CDD505-2E9C-101B-9397-08002B2CF9AE}" pid="50" name="JMSREQUIREDCHECKIN">
    <vt:lpwstr/>
  </property>
</Properties>
</file>