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669D"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78B780DB" w14:textId="26E958A1" w:rsidR="006815C9" w:rsidRDefault="00EE5197">
      <w:pPr>
        <w:pStyle w:val="Billname"/>
        <w:spacing w:before="700"/>
      </w:pPr>
      <w:r>
        <w:t>Work Health and Safety</w:t>
      </w:r>
      <w:r w:rsidR="006815C9">
        <w:t xml:space="preserve"> </w:t>
      </w:r>
      <w:r w:rsidR="0082313A">
        <w:t>Amendment Regulation</w:t>
      </w:r>
      <w:r w:rsidR="006815C9">
        <w:t xml:space="preserve"> </w:t>
      </w:r>
      <w:r>
        <w:t>2025</w:t>
      </w:r>
      <w:r w:rsidR="006815C9">
        <w:t xml:space="preserve"> (No </w:t>
      </w:r>
      <w:r>
        <w:t>1</w:t>
      </w:r>
      <w:r w:rsidR="006815C9">
        <w:t>)</w:t>
      </w:r>
    </w:p>
    <w:p w14:paraId="32D73A03" w14:textId="1B03FC3C" w:rsidR="006815C9" w:rsidRDefault="00F5371D" w:rsidP="00091D34">
      <w:pPr>
        <w:spacing w:before="340"/>
        <w:rPr>
          <w:rFonts w:ascii="Arial" w:hAnsi="Arial" w:cs="Arial"/>
          <w:b/>
          <w:bCs/>
        </w:rPr>
      </w:pPr>
      <w:r>
        <w:rPr>
          <w:rFonts w:ascii="Arial" w:hAnsi="Arial" w:cs="Arial"/>
          <w:b/>
          <w:bCs/>
        </w:rPr>
        <w:t>Subordinate law SL</w:t>
      </w:r>
      <w:r w:rsidR="00CB5641">
        <w:rPr>
          <w:rFonts w:ascii="Arial" w:hAnsi="Arial" w:cs="Arial"/>
          <w:b/>
          <w:bCs/>
        </w:rPr>
        <w:t>2025</w:t>
      </w:r>
      <w:r w:rsidR="006815C9">
        <w:rPr>
          <w:rFonts w:ascii="Arial" w:hAnsi="Arial" w:cs="Arial"/>
          <w:b/>
          <w:bCs/>
        </w:rPr>
        <w:t>–</w:t>
      </w:r>
      <w:r w:rsidR="009115CA">
        <w:rPr>
          <w:rFonts w:ascii="Arial" w:hAnsi="Arial" w:cs="Arial"/>
          <w:b/>
          <w:bCs/>
        </w:rPr>
        <w:t>26</w:t>
      </w:r>
    </w:p>
    <w:p w14:paraId="05D940A9" w14:textId="77777777" w:rsidR="006815C9" w:rsidRDefault="006815C9" w:rsidP="00091D34">
      <w:pPr>
        <w:pStyle w:val="madeunder"/>
        <w:spacing w:before="300" w:after="0"/>
      </w:pPr>
      <w:r>
        <w:t xml:space="preserve">made under the  </w:t>
      </w:r>
    </w:p>
    <w:p w14:paraId="7A925661" w14:textId="156424B2" w:rsidR="006815C9" w:rsidRDefault="00CB5641" w:rsidP="00091D34">
      <w:pPr>
        <w:pStyle w:val="CoverActName"/>
        <w:spacing w:before="320" w:after="0"/>
        <w:rPr>
          <w:rFonts w:cs="Arial"/>
          <w:sz w:val="20"/>
        </w:rPr>
      </w:pPr>
      <w:r w:rsidRPr="00CB5641">
        <w:rPr>
          <w:rFonts w:cs="Arial"/>
          <w:i/>
          <w:iCs/>
          <w:sz w:val="20"/>
        </w:rPr>
        <w:t>Work Health and Safety Act 2011</w:t>
      </w:r>
      <w:r w:rsidR="006815C9">
        <w:rPr>
          <w:rFonts w:cs="Arial"/>
          <w:sz w:val="20"/>
        </w:rPr>
        <w:t xml:space="preserve">, </w:t>
      </w:r>
      <w:r>
        <w:rPr>
          <w:rFonts w:cs="Arial"/>
          <w:sz w:val="20"/>
        </w:rPr>
        <w:t xml:space="preserve">section </w:t>
      </w:r>
      <w:r w:rsidR="004338F8">
        <w:rPr>
          <w:rFonts w:cs="Arial"/>
          <w:sz w:val="20"/>
        </w:rPr>
        <w:t>276</w:t>
      </w:r>
      <w:r w:rsidR="006815C9">
        <w:rPr>
          <w:rFonts w:cs="Arial"/>
          <w:sz w:val="20"/>
        </w:rPr>
        <w:t xml:space="preserve"> (</w:t>
      </w:r>
      <w:r w:rsidR="004338F8">
        <w:rPr>
          <w:rFonts w:cs="Arial"/>
          <w:sz w:val="20"/>
        </w:rPr>
        <w:t>Regulation-making powers</w:t>
      </w:r>
      <w:r w:rsidR="006815C9">
        <w:rPr>
          <w:rFonts w:cs="Arial"/>
          <w:sz w:val="20"/>
        </w:rPr>
        <w:t>)</w:t>
      </w:r>
    </w:p>
    <w:p w14:paraId="5B08AFE9"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77517467" w14:textId="77777777" w:rsidR="006815C9" w:rsidRDefault="006815C9">
      <w:pPr>
        <w:pStyle w:val="N-line3"/>
        <w:pBdr>
          <w:bottom w:val="none" w:sz="0" w:space="0" w:color="auto"/>
        </w:pBdr>
      </w:pPr>
    </w:p>
    <w:p w14:paraId="0AEB8FCD" w14:textId="77777777" w:rsidR="006815C9" w:rsidRDefault="006815C9">
      <w:pPr>
        <w:pStyle w:val="N-line3"/>
        <w:pBdr>
          <w:top w:val="single" w:sz="12" w:space="1" w:color="auto"/>
          <w:bottom w:val="none" w:sz="0" w:space="0" w:color="auto"/>
        </w:pBdr>
      </w:pPr>
    </w:p>
    <w:bookmarkEnd w:id="0"/>
    <w:p w14:paraId="5A156879" w14:textId="7E3BA4F8" w:rsidR="005B6BF2" w:rsidRDefault="005B6BF2" w:rsidP="005B6BF2">
      <w:pPr>
        <w:rPr>
          <w:rFonts w:asciiTheme="minorHAnsi" w:hAnsiTheme="minorHAnsi" w:cstheme="minorHAnsi"/>
          <w:iCs/>
          <w:szCs w:val="24"/>
        </w:rPr>
      </w:pPr>
      <w:r>
        <w:rPr>
          <w:rFonts w:asciiTheme="minorHAnsi" w:hAnsiTheme="minorHAnsi" w:cstheme="minorHAnsi"/>
          <w:iCs/>
          <w:szCs w:val="24"/>
        </w:rPr>
        <w:t xml:space="preserve">This explanatory statement relates to the </w:t>
      </w:r>
      <w:r w:rsidRPr="005B6BF2">
        <w:rPr>
          <w:rFonts w:asciiTheme="minorHAnsi" w:hAnsiTheme="minorHAnsi" w:cstheme="minorHAnsi"/>
          <w:iCs/>
          <w:szCs w:val="24"/>
        </w:rPr>
        <w:t>Work Health and Safety Amendment Regulation 2025 (No 1)</w:t>
      </w:r>
      <w:r>
        <w:rPr>
          <w:rFonts w:asciiTheme="minorHAnsi" w:hAnsiTheme="minorHAnsi" w:cstheme="minorHAnsi"/>
          <w:iCs/>
          <w:szCs w:val="24"/>
        </w:rPr>
        <w:t xml:space="preserve"> (the Amendment Regulation).</w:t>
      </w:r>
    </w:p>
    <w:p w14:paraId="0255C1B4" w14:textId="77777777" w:rsidR="005B6BF2" w:rsidRDefault="005B6BF2" w:rsidP="005B6BF2">
      <w:pPr>
        <w:rPr>
          <w:rFonts w:asciiTheme="minorHAnsi" w:hAnsiTheme="minorHAnsi" w:cstheme="minorHAnsi"/>
          <w:iCs/>
          <w:szCs w:val="24"/>
        </w:rPr>
      </w:pPr>
    </w:p>
    <w:p w14:paraId="2EF4BE67" w14:textId="2E958451" w:rsidR="005B6BF2" w:rsidRDefault="005B6BF2" w:rsidP="005B6BF2">
      <w:pPr>
        <w:rPr>
          <w:rFonts w:asciiTheme="minorHAnsi" w:hAnsiTheme="minorHAnsi" w:cstheme="minorHAnsi"/>
          <w:iCs/>
          <w:szCs w:val="24"/>
        </w:rPr>
      </w:pPr>
      <w:r>
        <w:rPr>
          <w:rFonts w:asciiTheme="minorHAnsi" w:hAnsiTheme="minorHAnsi" w:cstheme="minorHAnsi"/>
          <w:iCs/>
          <w:szCs w:val="24"/>
        </w:rPr>
        <w:t>It has been prepared to assist the reader of the Amendment Regulation. It does not form part of the Amendment Regulation. The statement is to be read in conjunction with the Amendment Regulation. It is not, and is not meant to be</w:t>
      </w:r>
      <w:r w:rsidR="00954658">
        <w:rPr>
          <w:rFonts w:asciiTheme="minorHAnsi" w:hAnsiTheme="minorHAnsi" w:cstheme="minorHAnsi"/>
          <w:iCs/>
          <w:szCs w:val="24"/>
        </w:rPr>
        <w:t>,</w:t>
      </w:r>
      <w:r>
        <w:rPr>
          <w:rFonts w:asciiTheme="minorHAnsi" w:hAnsiTheme="minorHAnsi" w:cstheme="minorHAnsi"/>
          <w:iCs/>
          <w:szCs w:val="24"/>
        </w:rPr>
        <w:t xml:space="preserve"> a comprehensive description of the Amendment Regulation.</w:t>
      </w:r>
    </w:p>
    <w:p w14:paraId="779CBFE8" w14:textId="77777777" w:rsidR="005B6BF2" w:rsidRDefault="005B6BF2" w:rsidP="005B6BF2">
      <w:pPr>
        <w:rPr>
          <w:rFonts w:asciiTheme="minorHAnsi" w:hAnsiTheme="minorHAnsi" w:cstheme="minorHAnsi"/>
          <w:iCs/>
          <w:szCs w:val="24"/>
        </w:rPr>
      </w:pPr>
    </w:p>
    <w:p w14:paraId="38EF9730" w14:textId="77777777" w:rsidR="005B6BF2" w:rsidRPr="005B6BF2" w:rsidRDefault="005B6BF2" w:rsidP="005B6BF2">
      <w:pPr>
        <w:pStyle w:val="Heading2"/>
        <w:keepLines/>
        <w:widowControl/>
        <w:spacing w:before="120" w:after="120"/>
        <w:jc w:val="left"/>
        <w:rPr>
          <w:rFonts w:eastAsiaTheme="majorEastAsia" w:cstheme="majorBidi"/>
          <w:b/>
          <w:i w:val="0"/>
          <w:iCs w:val="0"/>
          <w:sz w:val="24"/>
          <w:szCs w:val="26"/>
        </w:rPr>
      </w:pPr>
      <w:r w:rsidRPr="005B6BF2">
        <w:rPr>
          <w:rFonts w:eastAsiaTheme="majorEastAsia" w:cstheme="majorBidi"/>
          <w:b/>
          <w:i w:val="0"/>
          <w:iCs w:val="0"/>
          <w:sz w:val="24"/>
          <w:szCs w:val="26"/>
        </w:rPr>
        <w:t>OVERVIEW OF THE REGULATION</w:t>
      </w:r>
    </w:p>
    <w:p w14:paraId="6E93DA60" w14:textId="001F7F26" w:rsidR="005B6BF2" w:rsidRDefault="005B6BF2" w:rsidP="005B6BF2">
      <w:pPr>
        <w:rPr>
          <w:rFonts w:asciiTheme="minorHAnsi" w:hAnsiTheme="minorHAnsi" w:cstheme="minorHAnsi"/>
          <w:szCs w:val="24"/>
        </w:rPr>
      </w:pPr>
      <w:r w:rsidRPr="003F1364">
        <w:rPr>
          <w:rFonts w:asciiTheme="minorHAnsi" w:hAnsiTheme="minorHAnsi" w:cstheme="minorHAnsi"/>
          <w:iCs/>
          <w:szCs w:val="24"/>
        </w:rPr>
        <w:t xml:space="preserve">The </w:t>
      </w:r>
      <w:r w:rsidRPr="003F1364">
        <w:rPr>
          <w:rFonts w:asciiTheme="minorHAnsi" w:hAnsiTheme="minorHAnsi" w:cstheme="minorHAnsi"/>
          <w:i/>
          <w:szCs w:val="24"/>
        </w:rPr>
        <w:t>Work Health and Safety Amendment Regulation 202</w:t>
      </w:r>
      <w:r>
        <w:rPr>
          <w:rFonts w:asciiTheme="minorHAnsi" w:hAnsiTheme="minorHAnsi" w:cstheme="minorHAnsi"/>
          <w:i/>
          <w:szCs w:val="24"/>
        </w:rPr>
        <w:t>5</w:t>
      </w:r>
      <w:r w:rsidRPr="003F1364">
        <w:rPr>
          <w:rFonts w:asciiTheme="minorHAnsi" w:hAnsiTheme="minorHAnsi" w:cstheme="minorHAnsi"/>
          <w:i/>
          <w:szCs w:val="24"/>
        </w:rPr>
        <w:t xml:space="preserve"> (No 1)</w:t>
      </w:r>
      <w:r w:rsidRPr="003F1364">
        <w:rPr>
          <w:rFonts w:asciiTheme="minorHAnsi" w:hAnsiTheme="minorHAnsi" w:cstheme="minorHAnsi"/>
          <w:iCs/>
          <w:szCs w:val="24"/>
        </w:rPr>
        <w:t xml:space="preserve"> (Amendment Regulation) makes a </w:t>
      </w:r>
      <w:r>
        <w:rPr>
          <w:rFonts w:asciiTheme="minorHAnsi" w:hAnsiTheme="minorHAnsi" w:cstheme="minorHAnsi"/>
          <w:iCs/>
          <w:szCs w:val="24"/>
        </w:rPr>
        <w:t xml:space="preserve">minor amendment to section 419 of the </w:t>
      </w:r>
      <w:r w:rsidRPr="003F1364">
        <w:rPr>
          <w:rFonts w:asciiTheme="minorHAnsi" w:hAnsiTheme="minorHAnsi" w:cstheme="minorHAnsi"/>
          <w:i/>
          <w:iCs/>
          <w:szCs w:val="24"/>
        </w:rPr>
        <w:t>Work Health and Safety Regulation 2011</w:t>
      </w:r>
      <w:r w:rsidRPr="003F1364">
        <w:rPr>
          <w:rFonts w:asciiTheme="minorHAnsi" w:hAnsiTheme="minorHAnsi" w:cstheme="minorHAnsi"/>
          <w:szCs w:val="24"/>
        </w:rPr>
        <w:t xml:space="preserve"> (WHS Regulation)</w:t>
      </w:r>
      <w:r w:rsidR="00954658">
        <w:rPr>
          <w:rFonts w:asciiTheme="minorHAnsi" w:hAnsiTheme="minorHAnsi" w:cstheme="minorHAnsi"/>
          <w:szCs w:val="24"/>
        </w:rPr>
        <w:t>. The amendment will allow the Minister to declare activities that are considered minor or routine maintenance, or minor work, for the purposes of section 419(3)(k) of the WHS Regulation</w:t>
      </w:r>
      <w:r>
        <w:rPr>
          <w:rFonts w:asciiTheme="minorHAnsi" w:hAnsiTheme="minorHAnsi" w:cstheme="minorHAnsi"/>
          <w:szCs w:val="24"/>
        </w:rPr>
        <w:t>.</w:t>
      </w:r>
    </w:p>
    <w:p w14:paraId="457E8CA0" w14:textId="77777777" w:rsidR="00954658" w:rsidRDefault="00954658" w:rsidP="005B6BF2">
      <w:pPr>
        <w:rPr>
          <w:rFonts w:asciiTheme="minorHAnsi" w:hAnsiTheme="minorHAnsi" w:cstheme="minorHAnsi"/>
          <w:szCs w:val="24"/>
        </w:rPr>
      </w:pPr>
    </w:p>
    <w:p w14:paraId="6D947D48" w14:textId="663DE506" w:rsidR="005A4F93" w:rsidRDefault="00954658" w:rsidP="005B6BF2">
      <w:pPr>
        <w:rPr>
          <w:rFonts w:asciiTheme="minorHAnsi" w:hAnsiTheme="minorHAnsi" w:cstheme="minorHAnsi"/>
          <w:szCs w:val="24"/>
        </w:rPr>
      </w:pPr>
      <w:r>
        <w:rPr>
          <w:rFonts w:asciiTheme="minorHAnsi" w:hAnsiTheme="minorHAnsi" w:cstheme="minorHAnsi"/>
          <w:szCs w:val="24"/>
        </w:rPr>
        <w:t xml:space="preserve">This amendment follows a number of product recalls by the Australian Competition and Consumer Commission for coloured sand products </w:t>
      </w:r>
      <w:r w:rsidR="005A4F93">
        <w:rPr>
          <w:rFonts w:asciiTheme="minorHAnsi" w:hAnsiTheme="minorHAnsi" w:cstheme="minorHAnsi"/>
          <w:szCs w:val="24"/>
        </w:rPr>
        <w:t>where the relevant health advice issued alongside the recalls has been that the products present a very low risk to human health.</w:t>
      </w:r>
    </w:p>
    <w:p w14:paraId="67DF1F10" w14:textId="77777777" w:rsidR="005A4F93" w:rsidRDefault="005A4F93" w:rsidP="005B6BF2">
      <w:pPr>
        <w:rPr>
          <w:rFonts w:asciiTheme="minorHAnsi" w:hAnsiTheme="minorHAnsi" w:cstheme="minorHAnsi"/>
          <w:szCs w:val="24"/>
        </w:rPr>
      </w:pPr>
    </w:p>
    <w:p w14:paraId="5EB3BE63" w14:textId="0E1FDC01" w:rsidR="00954658" w:rsidRDefault="005A4F93" w:rsidP="005B6BF2">
      <w:pPr>
        <w:rPr>
          <w:rFonts w:asciiTheme="minorHAnsi" w:hAnsiTheme="minorHAnsi" w:cstheme="minorHAnsi"/>
          <w:szCs w:val="24"/>
        </w:rPr>
      </w:pPr>
      <w:r>
        <w:rPr>
          <w:rFonts w:asciiTheme="minorHAnsi" w:hAnsiTheme="minorHAnsi" w:cstheme="minorHAnsi"/>
          <w:szCs w:val="24"/>
        </w:rPr>
        <w:t>As such, their removal and disposal from the workplace is considered to be aligned to the existing category of permitted asbestos-related works in accordance with the WHS Regulation, section 419(3).</w:t>
      </w:r>
    </w:p>
    <w:p w14:paraId="22BA6917" w14:textId="77777777" w:rsidR="005B6BF2" w:rsidRDefault="005B6BF2" w:rsidP="005B6BF2">
      <w:pPr>
        <w:rPr>
          <w:rFonts w:asciiTheme="minorHAnsi" w:hAnsiTheme="minorHAnsi" w:cstheme="minorHAnsi"/>
          <w:szCs w:val="24"/>
        </w:rPr>
      </w:pPr>
    </w:p>
    <w:p w14:paraId="0F8F78FB" w14:textId="77777777" w:rsidR="005B6BF2" w:rsidRPr="005B6BF2" w:rsidRDefault="005B6BF2" w:rsidP="005B6BF2">
      <w:pPr>
        <w:pStyle w:val="Heading2"/>
        <w:keepLines/>
        <w:widowControl/>
        <w:spacing w:before="120" w:after="120"/>
        <w:jc w:val="left"/>
        <w:rPr>
          <w:rFonts w:eastAsiaTheme="majorEastAsia" w:cstheme="majorBidi"/>
          <w:b/>
          <w:i w:val="0"/>
          <w:iCs w:val="0"/>
          <w:sz w:val="24"/>
          <w:szCs w:val="26"/>
        </w:rPr>
      </w:pPr>
      <w:r w:rsidRPr="005B6BF2">
        <w:rPr>
          <w:rFonts w:eastAsiaTheme="majorEastAsia" w:cstheme="majorBidi"/>
          <w:b/>
          <w:i w:val="0"/>
          <w:iCs w:val="0"/>
          <w:sz w:val="24"/>
          <w:szCs w:val="26"/>
        </w:rPr>
        <w:t>CONSULTATION ON THE PROPOSED APPROACH</w:t>
      </w:r>
    </w:p>
    <w:p w14:paraId="0E20E045" w14:textId="36E3EE9F" w:rsidR="005B6BF2" w:rsidRPr="003F1364" w:rsidRDefault="005B6BF2" w:rsidP="005B6BF2">
      <w:pPr>
        <w:rPr>
          <w:rFonts w:asciiTheme="minorHAnsi" w:hAnsiTheme="minorHAnsi" w:cstheme="minorHAnsi"/>
          <w:iCs/>
          <w:szCs w:val="24"/>
        </w:rPr>
      </w:pPr>
      <w:r w:rsidRPr="003F1364">
        <w:rPr>
          <w:rFonts w:asciiTheme="minorHAnsi" w:hAnsiTheme="minorHAnsi" w:cstheme="minorHAnsi"/>
          <w:iCs/>
          <w:szCs w:val="24"/>
        </w:rPr>
        <w:t xml:space="preserve">ACT Government directorates and agencies, including WorkSafe ACT, have been consulted in the </w:t>
      </w:r>
      <w:r w:rsidR="00954658">
        <w:rPr>
          <w:rFonts w:asciiTheme="minorHAnsi" w:hAnsiTheme="minorHAnsi" w:cstheme="minorHAnsi"/>
          <w:iCs/>
          <w:szCs w:val="24"/>
        </w:rPr>
        <w:t>development</w:t>
      </w:r>
      <w:r w:rsidRPr="003F1364">
        <w:rPr>
          <w:rFonts w:asciiTheme="minorHAnsi" w:hAnsiTheme="minorHAnsi" w:cstheme="minorHAnsi"/>
          <w:iCs/>
          <w:szCs w:val="24"/>
        </w:rPr>
        <w:t xml:space="preserve"> of this Amendment Regulation.</w:t>
      </w:r>
    </w:p>
    <w:p w14:paraId="13B1E3E9" w14:textId="77777777" w:rsidR="005B6BF2" w:rsidRDefault="005B6BF2" w:rsidP="005B6BF2">
      <w:pPr>
        <w:rPr>
          <w:rFonts w:asciiTheme="minorHAnsi" w:hAnsiTheme="minorHAnsi" w:cstheme="minorHAnsi"/>
          <w:szCs w:val="24"/>
        </w:rPr>
      </w:pPr>
    </w:p>
    <w:p w14:paraId="65A9453F" w14:textId="6431C25E" w:rsidR="00954658" w:rsidRPr="005B6BF2" w:rsidRDefault="00954658" w:rsidP="00954658">
      <w:pPr>
        <w:pStyle w:val="Heading2"/>
        <w:keepLines/>
        <w:widowControl/>
        <w:spacing w:before="120" w:after="120"/>
        <w:jc w:val="left"/>
        <w:rPr>
          <w:rFonts w:eastAsiaTheme="majorEastAsia" w:cstheme="majorBidi"/>
          <w:b/>
          <w:i w:val="0"/>
          <w:iCs w:val="0"/>
          <w:sz w:val="24"/>
          <w:szCs w:val="26"/>
        </w:rPr>
      </w:pPr>
      <w:r>
        <w:rPr>
          <w:rFonts w:eastAsiaTheme="majorEastAsia" w:cstheme="majorBidi"/>
          <w:b/>
          <w:i w:val="0"/>
          <w:iCs w:val="0"/>
          <w:sz w:val="24"/>
          <w:szCs w:val="26"/>
        </w:rPr>
        <w:lastRenderedPageBreak/>
        <w:t>REGULATORY IMPACT STATEMENT</w:t>
      </w:r>
    </w:p>
    <w:p w14:paraId="5D751739" w14:textId="0A4E8CB8" w:rsidR="00954658" w:rsidRPr="003F1364" w:rsidRDefault="00954658" w:rsidP="00954658">
      <w:pPr>
        <w:rPr>
          <w:rFonts w:asciiTheme="minorHAnsi" w:hAnsiTheme="minorHAnsi" w:cstheme="minorHAnsi"/>
          <w:iCs/>
          <w:szCs w:val="24"/>
        </w:rPr>
      </w:pPr>
      <w:r>
        <w:rPr>
          <w:rFonts w:asciiTheme="minorHAnsi" w:hAnsiTheme="minorHAnsi" w:cstheme="minorHAnsi"/>
          <w:iCs/>
          <w:szCs w:val="24"/>
        </w:rPr>
        <w:t>A regulatory impact statement is not required as the Regulation does not impose any new obligations that are likely to result in appreciable costs on the community, or part of the community.</w:t>
      </w:r>
    </w:p>
    <w:p w14:paraId="41153544" w14:textId="77777777" w:rsidR="00954658" w:rsidRDefault="00954658" w:rsidP="005B6BF2">
      <w:pPr>
        <w:rPr>
          <w:rFonts w:asciiTheme="minorHAnsi" w:hAnsiTheme="minorHAnsi" w:cstheme="minorHAnsi"/>
          <w:szCs w:val="24"/>
        </w:rPr>
      </w:pPr>
    </w:p>
    <w:p w14:paraId="23A83F60" w14:textId="77777777" w:rsidR="005B6BF2" w:rsidRPr="005B6BF2" w:rsidRDefault="005B6BF2" w:rsidP="005B6BF2">
      <w:pPr>
        <w:pStyle w:val="Heading2"/>
        <w:keepLines/>
        <w:widowControl/>
        <w:spacing w:before="120" w:after="120"/>
        <w:jc w:val="left"/>
        <w:rPr>
          <w:rFonts w:eastAsiaTheme="majorEastAsia" w:cstheme="majorBidi"/>
          <w:b/>
          <w:i w:val="0"/>
          <w:iCs w:val="0"/>
          <w:sz w:val="24"/>
          <w:szCs w:val="26"/>
        </w:rPr>
      </w:pPr>
      <w:r w:rsidRPr="005B6BF2">
        <w:rPr>
          <w:rFonts w:eastAsiaTheme="majorEastAsia" w:cstheme="majorBidi"/>
          <w:b/>
          <w:i w:val="0"/>
          <w:iCs w:val="0"/>
          <w:sz w:val="24"/>
          <w:szCs w:val="26"/>
        </w:rPr>
        <w:t>CONSISTENCY WITH HUMAN RIGHTS</w:t>
      </w:r>
    </w:p>
    <w:p w14:paraId="08940F75" w14:textId="623A1B33" w:rsidR="005B6BF2" w:rsidRPr="003F1364" w:rsidRDefault="005B6BF2" w:rsidP="005B6BF2">
      <w:pPr>
        <w:shd w:val="clear" w:color="auto" w:fill="FFFFFF"/>
        <w:rPr>
          <w:rFonts w:asciiTheme="minorHAnsi" w:hAnsiTheme="minorHAnsi" w:cstheme="minorHAnsi"/>
          <w:iCs/>
          <w:szCs w:val="24"/>
        </w:rPr>
      </w:pPr>
      <w:r w:rsidRPr="003F1364">
        <w:rPr>
          <w:rFonts w:asciiTheme="minorHAnsi" w:hAnsiTheme="minorHAnsi" w:cstheme="minorHAnsi"/>
          <w:iCs/>
          <w:szCs w:val="24"/>
        </w:rPr>
        <w:t xml:space="preserve">All amendment regulations must be compatible with the </w:t>
      </w:r>
      <w:r w:rsidRPr="003F1364">
        <w:rPr>
          <w:rFonts w:asciiTheme="minorHAnsi" w:hAnsiTheme="minorHAnsi" w:cstheme="minorHAnsi"/>
          <w:i/>
          <w:szCs w:val="24"/>
        </w:rPr>
        <w:t xml:space="preserve">Human Rights Act 2004 </w:t>
      </w:r>
      <w:r w:rsidRPr="003F1364">
        <w:rPr>
          <w:rFonts w:asciiTheme="minorHAnsi" w:hAnsiTheme="minorHAnsi" w:cstheme="minorHAnsi"/>
          <w:iCs/>
          <w:szCs w:val="24"/>
        </w:rPr>
        <w:t xml:space="preserve">(HRA). </w:t>
      </w:r>
      <w:r>
        <w:rPr>
          <w:rFonts w:asciiTheme="minorHAnsi" w:hAnsiTheme="minorHAnsi" w:cstheme="minorHAnsi"/>
          <w:iCs/>
          <w:szCs w:val="24"/>
        </w:rPr>
        <w:t>The Amendment Regulation is not considered to engage human rights.</w:t>
      </w:r>
    </w:p>
    <w:p w14:paraId="3616CC4C" w14:textId="77777777" w:rsidR="005B6BF2" w:rsidRDefault="005B6BF2" w:rsidP="005B6BF2">
      <w:pPr>
        <w:rPr>
          <w:rFonts w:asciiTheme="minorHAnsi" w:hAnsiTheme="minorHAnsi" w:cstheme="minorHAnsi"/>
          <w:szCs w:val="24"/>
        </w:rPr>
      </w:pPr>
    </w:p>
    <w:p w14:paraId="41D815D6" w14:textId="77777777" w:rsidR="00954658" w:rsidRPr="00954658" w:rsidRDefault="00954658" w:rsidP="00954658">
      <w:pPr>
        <w:pStyle w:val="Heading2"/>
        <w:keepLines/>
        <w:widowControl/>
        <w:spacing w:before="120" w:after="120"/>
        <w:jc w:val="left"/>
        <w:rPr>
          <w:rFonts w:eastAsiaTheme="majorEastAsia" w:cstheme="majorBidi"/>
          <w:b/>
          <w:i w:val="0"/>
          <w:iCs w:val="0"/>
          <w:sz w:val="24"/>
          <w:szCs w:val="26"/>
        </w:rPr>
      </w:pPr>
      <w:r w:rsidRPr="00954658">
        <w:rPr>
          <w:rFonts w:eastAsiaTheme="majorEastAsia" w:cstheme="majorBidi"/>
          <w:b/>
          <w:i w:val="0"/>
          <w:iCs w:val="0"/>
          <w:sz w:val="24"/>
          <w:szCs w:val="26"/>
        </w:rPr>
        <w:t>CLAUSE NOTES</w:t>
      </w:r>
    </w:p>
    <w:p w14:paraId="0AD63DED" w14:textId="77777777" w:rsidR="00954658" w:rsidRPr="003F1364" w:rsidRDefault="00954658" w:rsidP="00954658">
      <w:pPr>
        <w:numPr>
          <w:ilvl w:val="0"/>
          <w:numId w:val="11"/>
        </w:numPr>
        <w:spacing w:after="100" w:afterAutospacing="1" w:line="276" w:lineRule="auto"/>
        <w:rPr>
          <w:rFonts w:asciiTheme="minorHAnsi" w:hAnsiTheme="minorHAnsi" w:cstheme="minorHAnsi"/>
          <w:b/>
          <w:szCs w:val="24"/>
        </w:rPr>
      </w:pPr>
      <w:r w:rsidRPr="003F1364">
        <w:rPr>
          <w:rFonts w:asciiTheme="minorHAnsi" w:hAnsiTheme="minorHAnsi" w:cstheme="minorHAnsi"/>
          <w:b/>
          <w:szCs w:val="24"/>
        </w:rPr>
        <w:t>Name of regulation</w:t>
      </w:r>
    </w:p>
    <w:p w14:paraId="58125795" w14:textId="632F414F" w:rsidR="00954658" w:rsidRPr="00284229" w:rsidRDefault="00954658" w:rsidP="00284229">
      <w:pPr>
        <w:spacing w:after="100" w:afterAutospacing="1"/>
        <w:rPr>
          <w:rFonts w:asciiTheme="minorHAnsi" w:hAnsiTheme="minorHAnsi" w:cstheme="minorHAnsi"/>
          <w:bCs/>
          <w:szCs w:val="24"/>
        </w:rPr>
      </w:pPr>
      <w:r w:rsidRPr="00284229">
        <w:rPr>
          <w:rFonts w:asciiTheme="minorHAnsi" w:hAnsiTheme="minorHAnsi" w:cstheme="minorHAnsi"/>
          <w:bCs/>
          <w:szCs w:val="24"/>
        </w:rPr>
        <w:t xml:space="preserve">Clause 1 establishes the name of the </w:t>
      </w:r>
      <w:r w:rsidRPr="00284229">
        <w:rPr>
          <w:rFonts w:asciiTheme="minorHAnsi" w:hAnsiTheme="minorHAnsi" w:cstheme="minorHAnsi"/>
          <w:bCs/>
          <w:i/>
          <w:iCs/>
          <w:szCs w:val="24"/>
        </w:rPr>
        <w:t>Work Health and Safety Amendment Regulation 202</w:t>
      </w:r>
      <w:r w:rsidR="00284229">
        <w:rPr>
          <w:rFonts w:asciiTheme="minorHAnsi" w:hAnsiTheme="minorHAnsi" w:cstheme="minorHAnsi"/>
          <w:bCs/>
          <w:i/>
          <w:iCs/>
          <w:szCs w:val="24"/>
        </w:rPr>
        <w:t>5</w:t>
      </w:r>
      <w:r w:rsidRPr="00284229">
        <w:rPr>
          <w:rFonts w:asciiTheme="minorHAnsi" w:hAnsiTheme="minorHAnsi" w:cstheme="minorHAnsi"/>
          <w:bCs/>
          <w:i/>
          <w:iCs/>
          <w:szCs w:val="24"/>
        </w:rPr>
        <w:t xml:space="preserve"> (No 1)</w:t>
      </w:r>
      <w:r w:rsidRPr="00284229">
        <w:rPr>
          <w:rFonts w:asciiTheme="minorHAnsi" w:hAnsiTheme="minorHAnsi" w:cstheme="minorHAnsi"/>
          <w:bCs/>
          <w:szCs w:val="24"/>
        </w:rPr>
        <w:t>.</w:t>
      </w:r>
    </w:p>
    <w:p w14:paraId="52B6C898" w14:textId="77777777" w:rsidR="00954658" w:rsidRPr="003F1364" w:rsidRDefault="00954658" w:rsidP="00954658">
      <w:pPr>
        <w:numPr>
          <w:ilvl w:val="0"/>
          <w:numId w:val="11"/>
        </w:numPr>
        <w:spacing w:after="100" w:afterAutospacing="1" w:line="276" w:lineRule="auto"/>
        <w:rPr>
          <w:rFonts w:asciiTheme="minorHAnsi" w:hAnsiTheme="minorHAnsi" w:cstheme="minorHAnsi"/>
          <w:b/>
          <w:szCs w:val="24"/>
        </w:rPr>
      </w:pPr>
      <w:r w:rsidRPr="003F1364">
        <w:rPr>
          <w:rFonts w:asciiTheme="minorHAnsi" w:hAnsiTheme="minorHAnsi" w:cstheme="minorHAnsi"/>
          <w:b/>
          <w:szCs w:val="24"/>
        </w:rPr>
        <w:t xml:space="preserve">Commencement </w:t>
      </w:r>
    </w:p>
    <w:p w14:paraId="493A4469" w14:textId="450E502C" w:rsidR="00954658" w:rsidRPr="003F1364" w:rsidRDefault="00954658" w:rsidP="00954658">
      <w:pPr>
        <w:spacing w:after="100" w:afterAutospacing="1"/>
        <w:rPr>
          <w:rFonts w:asciiTheme="minorHAnsi" w:hAnsiTheme="minorHAnsi" w:cstheme="minorHAnsi"/>
          <w:b/>
          <w:szCs w:val="24"/>
        </w:rPr>
      </w:pPr>
      <w:r w:rsidRPr="003F1364">
        <w:rPr>
          <w:rFonts w:asciiTheme="minorHAnsi" w:hAnsiTheme="minorHAnsi" w:cstheme="minorHAnsi"/>
          <w:szCs w:val="24"/>
        </w:rPr>
        <w:t xml:space="preserve">Clause 2 is the commencement provision, which provides for the commencement of </w:t>
      </w:r>
      <w:r w:rsidR="00284229">
        <w:rPr>
          <w:rFonts w:asciiTheme="minorHAnsi" w:hAnsiTheme="minorHAnsi" w:cstheme="minorHAnsi"/>
          <w:szCs w:val="24"/>
        </w:rPr>
        <w:t xml:space="preserve">Amendment </w:t>
      </w:r>
      <w:r w:rsidRPr="003F1364">
        <w:rPr>
          <w:rFonts w:asciiTheme="minorHAnsi" w:hAnsiTheme="minorHAnsi" w:cstheme="minorHAnsi"/>
          <w:szCs w:val="24"/>
        </w:rPr>
        <w:t xml:space="preserve">Regulation on </w:t>
      </w:r>
      <w:r w:rsidR="00284229">
        <w:rPr>
          <w:rFonts w:asciiTheme="minorHAnsi" w:hAnsiTheme="minorHAnsi" w:cstheme="minorHAnsi"/>
          <w:szCs w:val="24"/>
        </w:rPr>
        <w:t>the day after its notification day.</w:t>
      </w:r>
    </w:p>
    <w:p w14:paraId="5B5F5E23" w14:textId="77777777" w:rsidR="00954658" w:rsidRPr="003F1364" w:rsidRDefault="00954658" w:rsidP="00954658">
      <w:pPr>
        <w:numPr>
          <w:ilvl w:val="0"/>
          <w:numId w:val="11"/>
        </w:numPr>
        <w:spacing w:after="100" w:afterAutospacing="1" w:line="276" w:lineRule="auto"/>
        <w:rPr>
          <w:rFonts w:asciiTheme="minorHAnsi" w:hAnsiTheme="minorHAnsi" w:cstheme="minorHAnsi"/>
          <w:b/>
          <w:szCs w:val="24"/>
        </w:rPr>
      </w:pPr>
      <w:r w:rsidRPr="003F1364">
        <w:rPr>
          <w:rFonts w:asciiTheme="minorHAnsi" w:hAnsiTheme="minorHAnsi" w:cstheme="minorHAnsi"/>
          <w:b/>
          <w:szCs w:val="24"/>
        </w:rPr>
        <w:t>Legislation amended</w:t>
      </w:r>
    </w:p>
    <w:p w14:paraId="74AB576D" w14:textId="77777777" w:rsidR="00954658" w:rsidRPr="003F1364" w:rsidRDefault="00954658" w:rsidP="00954658">
      <w:pPr>
        <w:spacing w:after="100" w:afterAutospacing="1"/>
        <w:rPr>
          <w:rFonts w:asciiTheme="minorHAnsi" w:hAnsiTheme="minorHAnsi" w:cstheme="minorHAnsi"/>
          <w:bCs/>
          <w:szCs w:val="24"/>
        </w:rPr>
      </w:pPr>
      <w:r w:rsidRPr="003F1364">
        <w:rPr>
          <w:rFonts w:asciiTheme="minorHAnsi" w:hAnsiTheme="minorHAnsi" w:cstheme="minorHAnsi"/>
          <w:bCs/>
          <w:szCs w:val="24"/>
        </w:rPr>
        <w:t>Clause 3 sets out the legislation amended.</w:t>
      </w:r>
    </w:p>
    <w:p w14:paraId="6C45F452" w14:textId="4690783D" w:rsidR="00954658" w:rsidRPr="003F1364" w:rsidRDefault="00284229" w:rsidP="00954658">
      <w:pPr>
        <w:numPr>
          <w:ilvl w:val="0"/>
          <w:numId w:val="11"/>
        </w:numPr>
        <w:spacing w:after="100" w:afterAutospacing="1" w:line="276" w:lineRule="auto"/>
        <w:rPr>
          <w:rFonts w:asciiTheme="minorHAnsi" w:hAnsiTheme="minorHAnsi" w:cstheme="minorHAnsi"/>
          <w:b/>
          <w:szCs w:val="24"/>
        </w:rPr>
      </w:pPr>
      <w:r>
        <w:rPr>
          <w:rFonts w:asciiTheme="minorHAnsi" w:hAnsiTheme="minorHAnsi" w:cstheme="minorHAnsi"/>
          <w:b/>
          <w:szCs w:val="24"/>
        </w:rPr>
        <w:t>New section 419 (3A) and (3B)</w:t>
      </w:r>
    </w:p>
    <w:p w14:paraId="52BAD437" w14:textId="025C1E7C" w:rsidR="00954658" w:rsidRPr="003F1364" w:rsidRDefault="00954658" w:rsidP="00954658">
      <w:pPr>
        <w:spacing w:after="100" w:afterAutospacing="1"/>
        <w:rPr>
          <w:rFonts w:asciiTheme="minorHAnsi" w:hAnsiTheme="minorHAnsi" w:cstheme="minorHAnsi"/>
          <w:bCs/>
          <w:szCs w:val="24"/>
        </w:rPr>
      </w:pPr>
      <w:r w:rsidRPr="003F1364">
        <w:rPr>
          <w:rFonts w:asciiTheme="minorHAnsi" w:hAnsiTheme="minorHAnsi" w:cstheme="minorHAnsi"/>
          <w:bCs/>
          <w:szCs w:val="24"/>
        </w:rPr>
        <w:t xml:space="preserve">Clause 4 </w:t>
      </w:r>
      <w:r w:rsidR="00284229">
        <w:rPr>
          <w:rFonts w:asciiTheme="minorHAnsi" w:hAnsiTheme="minorHAnsi" w:cstheme="minorHAnsi"/>
          <w:bCs/>
          <w:szCs w:val="24"/>
        </w:rPr>
        <w:t>inserts new provisions that allow the Minister to declare by notifiable instrument work to be minor or routing maintenance work, or other minor work, for the purposes of section 419 (3)(k) of the WHS Regulation.</w:t>
      </w:r>
      <w:r w:rsidRPr="003F1364">
        <w:rPr>
          <w:rFonts w:asciiTheme="minorHAnsi" w:hAnsiTheme="minorHAnsi" w:cstheme="minorHAnsi"/>
          <w:bCs/>
          <w:szCs w:val="24"/>
        </w:rPr>
        <w:t xml:space="preserve"> </w:t>
      </w:r>
    </w:p>
    <w:p w14:paraId="645C2D06" w14:textId="63CF2C00" w:rsidR="00284229" w:rsidRPr="003F1364" w:rsidRDefault="00284229" w:rsidP="00284229">
      <w:pPr>
        <w:numPr>
          <w:ilvl w:val="0"/>
          <w:numId w:val="11"/>
        </w:numPr>
        <w:spacing w:after="100" w:afterAutospacing="1" w:line="276" w:lineRule="auto"/>
        <w:rPr>
          <w:rFonts w:asciiTheme="minorHAnsi" w:hAnsiTheme="minorHAnsi" w:cstheme="minorHAnsi"/>
          <w:b/>
          <w:szCs w:val="24"/>
        </w:rPr>
      </w:pPr>
      <w:r>
        <w:rPr>
          <w:rFonts w:asciiTheme="minorHAnsi" w:hAnsiTheme="minorHAnsi" w:cstheme="minorHAnsi"/>
          <w:b/>
          <w:szCs w:val="24"/>
        </w:rPr>
        <w:t xml:space="preserve">Section 447 (2), definition of </w:t>
      </w:r>
      <w:r>
        <w:rPr>
          <w:rFonts w:asciiTheme="minorHAnsi" w:hAnsiTheme="minorHAnsi" w:cstheme="minorHAnsi"/>
          <w:b/>
          <w:i/>
          <w:iCs/>
          <w:szCs w:val="24"/>
        </w:rPr>
        <w:t>demolition or refurbishment</w:t>
      </w:r>
    </w:p>
    <w:p w14:paraId="13305FCE" w14:textId="71C15C31" w:rsidR="00954658" w:rsidRPr="00284229" w:rsidRDefault="00284229" w:rsidP="00284229">
      <w:pPr>
        <w:spacing w:after="100" w:afterAutospacing="1"/>
        <w:rPr>
          <w:rFonts w:asciiTheme="minorHAnsi" w:hAnsiTheme="minorHAnsi" w:cstheme="minorHAnsi"/>
          <w:bCs/>
          <w:szCs w:val="24"/>
        </w:rPr>
      </w:pPr>
      <w:r w:rsidRPr="003F1364">
        <w:rPr>
          <w:rFonts w:asciiTheme="minorHAnsi" w:hAnsiTheme="minorHAnsi" w:cstheme="minorHAnsi"/>
          <w:bCs/>
          <w:szCs w:val="24"/>
        </w:rPr>
        <w:t xml:space="preserve">Clause </w:t>
      </w:r>
      <w:r>
        <w:rPr>
          <w:rFonts w:asciiTheme="minorHAnsi" w:hAnsiTheme="minorHAnsi" w:cstheme="minorHAnsi"/>
          <w:bCs/>
          <w:szCs w:val="24"/>
        </w:rPr>
        <w:t>5</w:t>
      </w:r>
      <w:r w:rsidRPr="003F1364">
        <w:rPr>
          <w:rFonts w:asciiTheme="minorHAnsi" w:hAnsiTheme="minorHAnsi" w:cstheme="minorHAnsi"/>
          <w:bCs/>
          <w:szCs w:val="24"/>
        </w:rPr>
        <w:t xml:space="preserve"> </w:t>
      </w:r>
      <w:r>
        <w:rPr>
          <w:rFonts w:asciiTheme="minorHAnsi" w:hAnsiTheme="minorHAnsi" w:cstheme="minorHAnsi"/>
          <w:bCs/>
          <w:szCs w:val="24"/>
        </w:rPr>
        <w:t xml:space="preserve">makes a minor </w:t>
      </w:r>
      <w:r w:rsidR="004F6CCF">
        <w:rPr>
          <w:rFonts w:asciiTheme="minorHAnsi" w:hAnsiTheme="minorHAnsi" w:cstheme="minorHAnsi"/>
          <w:bCs/>
          <w:szCs w:val="24"/>
        </w:rPr>
        <w:t xml:space="preserve">drafting </w:t>
      </w:r>
      <w:r>
        <w:rPr>
          <w:rFonts w:asciiTheme="minorHAnsi" w:hAnsiTheme="minorHAnsi" w:cstheme="minorHAnsi"/>
          <w:bCs/>
          <w:szCs w:val="24"/>
        </w:rPr>
        <w:t>clarif</w:t>
      </w:r>
      <w:r w:rsidR="004F6CCF">
        <w:rPr>
          <w:rFonts w:asciiTheme="minorHAnsi" w:hAnsiTheme="minorHAnsi" w:cstheme="minorHAnsi"/>
          <w:bCs/>
          <w:szCs w:val="24"/>
        </w:rPr>
        <w:t>ication</w:t>
      </w:r>
      <w:r>
        <w:rPr>
          <w:rFonts w:asciiTheme="minorHAnsi" w:hAnsiTheme="minorHAnsi" w:cstheme="minorHAnsi"/>
          <w:bCs/>
          <w:szCs w:val="24"/>
        </w:rPr>
        <w:t xml:space="preserve"> amendment to section 447 (2) of the WHS Regulation.</w:t>
      </w:r>
      <w:r w:rsidRPr="003F1364">
        <w:rPr>
          <w:rFonts w:asciiTheme="minorHAnsi" w:hAnsiTheme="minorHAnsi" w:cstheme="minorHAnsi"/>
          <w:bCs/>
          <w:szCs w:val="24"/>
        </w:rPr>
        <w:t xml:space="preserve"> </w:t>
      </w:r>
    </w:p>
    <w:p w14:paraId="09F87308" w14:textId="77777777" w:rsidR="006815C9" w:rsidRDefault="006815C9"/>
    <w:sectPr w:rsidR="006815C9"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5495" w14:textId="77777777" w:rsidR="0076729C" w:rsidRDefault="0076729C" w:rsidP="006815C9">
      <w:r>
        <w:separator/>
      </w:r>
    </w:p>
  </w:endnote>
  <w:endnote w:type="continuationSeparator" w:id="0">
    <w:p w14:paraId="403F63C7" w14:textId="77777777" w:rsidR="0076729C" w:rsidRDefault="0076729C"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B6C2"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C8E0" w14:textId="5C443A49" w:rsidR="00091D34" w:rsidRPr="00782FD3" w:rsidRDefault="00782FD3" w:rsidP="00782FD3">
    <w:pPr>
      <w:pStyle w:val="Footer"/>
      <w:jc w:val="center"/>
      <w:rPr>
        <w:rFonts w:cs="Arial"/>
        <w:sz w:val="14"/>
      </w:rPr>
    </w:pPr>
    <w:r w:rsidRPr="00782FD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BDB3"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1487" w14:textId="77777777" w:rsidR="0076729C" w:rsidRDefault="0076729C" w:rsidP="006815C9">
      <w:r>
        <w:separator/>
      </w:r>
    </w:p>
  </w:footnote>
  <w:footnote w:type="continuationSeparator" w:id="0">
    <w:p w14:paraId="5E08F13B" w14:textId="77777777" w:rsidR="0076729C" w:rsidRDefault="0076729C"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1326"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336"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2D7D"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2B205F"/>
    <w:multiLevelType w:val="hybridMultilevel"/>
    <w:tmpl w:val="0B38A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9413853"/>
    <w:multiLevelType w:val="hybridMultilevel"/>
    <w:tmpl w:val="C42422EA"/>
    <w:lvl w:ilvl="0" w:tplc="9182AF08">
      <w:start w:val="1"/>
      <w:numFmt w:val="decimal"/>
      <w:lvlText w:val="Clause %1"/>
      <w:lvlJc w:val="left"/>
      <w:pPr>
        <w:ind w:left="360" w:hanging="360"/>
      </w:pPr>
      <w:rPr>
        <w:rFonts w:hint="default"/>
        <w:b/>
        <w:bCs w:val="0"/>
        <w:i w:val="0"/>
      </w:rPr>
    </w:lvl>
    <w:lvl w:ilvl="1" w:tplc="0C090019">
      <w:start w:val="1"/>
      <w:numFmt w:val="lowerLetter"/>
      <w:lvlText w:val="%2."/>
      <w:lvlJc w:val="left"/>
      <w:pPr>
        <w:ind w:left="1080" w:hanging="360"/>
      </w:pPr>
    </w:lvl>
    <w:lvl w:ilvl="2" w:tplc="E14E1C56">
      <w:numFmt w:val="bullet"/>
      <w:lvlText w:val="•"/>
      <w:lvlJc w:val="left"/>
      <w:pPr>
        <w:ind w:left="1980" w:hanging="360"/>
      </w:pPr>
      <w:rPr>
        <w:rFonts w:ascii="Arial" w:eastAsia="Times New Roman"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880168652">
    <w:abstractNumId w:val="3"/>
  </w:num>
  <w:num w:numId="2" w16cid:durableId="1111507427">
    <w:abstractNumId w:val="0"/>
  </w:num>
  <w:num w:numId="3" w16cid:durableId="1658994153">
    <w:abstractNumId w:val="4"/>
  </w:num>
  <w:num w:numId="4" w16cid:durableId="1606040272">
    <w:abstractNumId w:val="7"/>
  </w:num>
  <w:num w:numId="5" w16cid:durableId="314529039">
    <w:abstractNumId w:val="10"/>
  </w:num>
  <w:num w:numId="6" w16cid:durableId="1701977879">
    <w:abstractNumId w:val="2"/>
  </w:num>
  <w:num w:numId="7" w16cid:durableId="1213080390">
    <w:abstractNumId w:val="5"/>
  </w:num>
  <w:num w:numId="8" w16cid:durableId="1558977538">
    <w:abstractNumId w:val="6"/>
  </w:num>
  <w:num w:numId="9" w16cid:durableId="101539578">
    <w:abstractNumId w:val="9"/>
  </w:num>
  <w:num w:numId="10" w16cid:durableId="1636331997">
    <w:abstractNumId w:val="1"/>
  </w:num>
  <w:num w:numId="11" w16cid:durableId="355232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83F11"/>
    <w:rsid w:val="00091D34"/>
    <w:rsid w:val="001938B1"/>
    <w:rsid w:val="001F49A4"/>
    <w:rsid w:val="00221ABD"/>
    <w:rsid w:val="0028302E"/>
    <w:rsid w:val="00284229"/>
    <w:rsid w:val="003A02CE"/>
    <w:rsid w:val="004338F8"/>
    <w:rsid w:val="004F6CCF"/>
    <w:rsid w:val="005A4F93"/>
    <w:rsid w:val="005B6BF2"/>
    <w:rsid w:val="006815C9"/>
    <w:rsid w:val="006E7046"/>
    <w:rsid w:val="0076729C"/>
    <w:rsid w:val="00782FD3"/>
    <w:rsid w:val="0082313A"/>
    <w:rsid w:val="008511EC"/>
    <w:rsid w:val="008910DA"/>
    <w:rsid w:val="008D72CF"/>
    <w:rsid w:val="008F3E7B"/>
    <w:rsid w:val="009115CA"/>
    <w:rsid w:val="00954658"/>
    <w:rsid w:val="009C6698"/>
    <w:rsid w:val="00C1618B"/>
    <w:rsid w:val="00CB5641"/>
    <w:rsid w:val="00EE5197"/>
    <w:rsid w:val="00F53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BBC6A"/>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5B6BF2"/>
    <w:pPr>
      <w:ind w:left="720"/>
    </w:pPr>
    <w:rPr>
      <w:rFonts w:ascii="Calibri" w:hAnsi="Calibri" w:cs="Calibri"/>
      <w:sz w:val="22"/>
      <w:szCs w:val="22"/>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5B6BF2"/>
    <w:rPr>
      <w:rFonts w:ascii="Calibri" w:hAnsi="Calibri" w:cs="Calibri"/>
      <w:sz w:val="22"/>
      <w:szCs w:val="22"/>
    </w:rPr>
  </w:style>
  <w:style w:type="character" w:customStyle="1" w:styleId="Heading2Char">
    <w:name w:val="Heading 2 Char"/>
    <w:basedOn w:val="DefaultParagraphFont"/>
    <w:link w:val="Heading2"/>
    <w:rsid w:val="005B6BF2"/>
    <w:rPr>
      <w:rFonts w:ascii="Arial" w:hAnsi="Arial" w:cs="Arial"/>
      <w:i/>
      <w:iCs/>
      <w:sz w:val="16"/>
      <w:szCs w:val="16"/>
      <w:lang w:eastAsia="en-US"/>
    </w:rPr>
  </w:style>
  <w:style w:type="character" w:customStyle="1" w:styleId="Heading3Char">
    <w:name w:val="Heading 3 Char"/>
    <w:basedOn w:val="DefaultParagraphFont"/>
    <w:link w:val="Heading3"/>
    <w:rsid w:val="00954658"/>
    <w:rPr>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2416</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Stonham, Joshua</cp:lastModifiedBy>
  <cp:revision>4</cp:revision>
  <cp:lastPrinted>2006-03-31T04:28:00Z</cp:lastPrinted>
  <dcterms:created xsi:type="dcterms:W3CDTF">2025-11-28T05:08:00Z</dcterms:created>
  <dcterms:modified xsi:type="dcterms:W3CDTF">2025-11-28T05:08:00Z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2025-11-24T11:08:57Z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0897c052-7949-4ac9-921e-2b4fb5d196a0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