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91B6E3" w14:textId="77777777" w:rsidR="00C17FAB" w:rsidRDefault="00C17FAB">
      <w:pPr>
        <w:spacing w:before="120"/>
        <w:rPr>
          <w:rFonts w:ascii="Arial" w:hAnsi="Arial" w:cs="Arial"/>
        </w:rPr>
      </w:pPr>
      <w:bookmarkStart w:id="0" w:name="_Toc44738651"/>
      <w:r>
        <w:rPr>
          <w:rFonts w:ascii="Arial" w:hAnsi="Arial" w:cs="Arial"/>
        </w:rPr>
        <w:t>Australian Capital Territory</w:t>
      </w:r>
    </w:p>
    <w:p w14:paraId="2E220299" w14:textId="5806D885" w:rsidR="00C17FAB" w:rsidRDefault="002B124E">
      <w:pPr>
        <w:pStyle w:val="Billname"/>
        <w:spacing w:before="700"/>
      </w:pPr>
      <w:r>
        <w:t xml:space="preserve">Water Resources Environmental Flow Guidelines </w:t>
      </w:r>
      <w:r w:rsidRPr="00574071">
        <w:t>202</w:t>
      </w:r>
      <w:r w:rsidR="00574071" w:rsidRPr="00574071">
        <w:t>6</w:t>
      </w:r>
    </w:p>
    <w:p w14:paraId="69CA8324" w14:textId="22586B16" w:rsidR="00C17FAB" w:rsidRDefault="002D7C60" w:rsidP="00DA3B00">
      <w:pPr>
        <w:spacing w:before="340"/>
        <w:rPr>
          <w:rFonts w:ascii="Arial" w:hAnsi="Arial" w:cs="Arial"/>
          <w:b/>
          <w:bCs/>
        </w:rPr>
      </w:pPr>
      <w:r>
        <w:rPr>
          <w:rFonts w:ascii="Arial" w:hAnsi="Arial" w:cs="Arial"/>
          <w:b/>
          <w:bCs/>
        </w:rPr>
        <w:t xml:space="preserve">Disallowable instrument </w:t>
      </w:r>
      <w:r w:rsidRPr="00DF5C90">
        <w:rPr>
          <w:rFonts w:ascii="Arial" w:hAnsi="Arial" w:cs="Arial"/>
          <w:b/>
          <w:bCs/>
        </w:rPr>
        <w:t>DI</w:t>
      </w:r>
      <w:r w:rsidR="002B124E" w:rsidRPr="00DF5C90">
        <w:rPr>
          <w:rFonts w:ascii="Arial" w:hAnsi="Arial" w:cs="Arial"/>
          <w:b/>
          <w:bCs/>
        </w:rPr>
        <w:t>202</w:t>
      </w:r>
      <w:r w:rsidR="00554CAF" w:rsidRPr="00DF5C90">
        <w:rPr>
          <w:rFonts w:ascii="Arial" w:hAnsi="Arial" w:cs="Arial"/>
          <w:b/>
          <w:bCs/>
        </w:rPr>
        <w:t>6</w:t>
      </w:r>
      <w:r w:rsidR="00C17FAB" w:rsidRPr="00DF5C90">
        <w:rPr>
          <w:rFonts w:ascii="Arial" w:hAnsi="Arial" w:cs="Arial"/>
          <w:b/>
          <w:bCs/>
        </w:rPr>
        <w:t>–</w:t>
      </w:r>
      <w:r w:rsidR="00D24FEC">
        <w:rPr>
          <w:rFonts w:ascii="Arial" w:hAnsi="Arial" w:cs="Arial"/>
          <w:b/>
          <w:bCs/>
        </w:rPr>
        <w:t>11</w:t>
      </w:r>
    </w:p>
    <w:p w14:paraId="1915FAEF" w14:textId="77777777" w:rsidR="00C17FAB" w:rsidRDefault="00C17FAB" w:rsidP="00DA3B00">
      <w:pPr>
        <w:pStyle w:val="madeunder"/>
        <w:spacing w:before="300" w:after="0"/>
      </w:pPr>
      <w:r>
        <w:t xml:space="preserve">made under the  </w:t>
      </w:r>
    </w:p>
    <w:p w14:paraId="7B486A27" w14:textId="058A48C1" w:rsidR="00C17FAB" w:rsidRDefault="002B124E" w:rsidP="00DA3B00">
      <w:pPr>
        <w:pStyle w:val="CoverActName"/>
        <w:spacing w:before="320" w:after="0"/>
        <w:rPr>
          <w:rFonts w:cs="Arial"/>
          <w:sz w:val="20"/>
        </w:rPr>
      </w:pPr>
      <w:r>
        <w:rPr>
          <w:rFonts w:cs="Arial"/>
          <w:sz w:val="20"/>
        </w:rPr>
        <w:t xml:space="preserve">Water Resources Act 2007, s 12 (Environmental </w:t>
      </w:r>
      <w:r w:rsidR="00B23DD3">
        <w:rPr>
          <w:rFonts w:cs="Arial"/>
          <w:sz w:val="20"/>
        </w:rPr>
        <w:t>f</w:t>
      </w:r>
      <w:r>
        <w:rPr>
          <w:rFonts w:cs="Arial"/>
          <w:sz w:val="20"/>
        </w:rPr>
        <w:t xml:space="preserve">low </w:t>
      </w:r>
      <w:r w:rsidR="00B23DD3">
        <w:rPr>
          <w:rFonts w:cs="Arial"/>
          <w:sz w:val="20"/>
        </w:rPr>
        <w:t>g</w:t>
      </w:r>
      <w:r>
        <w:rPr>
          <w:rFonts w:cs="Arial"/>
          <w:sz w:val="20"/>
        </w:rPr>
        <w:t>uidelines)</w:t>
      </w:r>
    </w:p>
    <w:p w14:paraId="241D5760" w14:textId="77777777" w:rsidR="00C17FAB" w:rsidRDefault="00C17FAB">
      <w:pPr>
        <w:spacing w:before="360"/>
        <w:ind w:right="565"/>
        <w:rPr>
          <w:rFonts w:ascii="Arial" w:hAnsi="Arial" w:cs="Arial"/>
          <w:b/>
          <w:bCs/>
          <w:sz w:val="28"/>
          <w:szCs w:val="28"/>
        </w:rPr>
      </w:pPr>
      <w:r>
        <w:rPr>
          <w:rFonts w:ascii="Arial" w:hAnsi="Arial" w:cs="Arial"/>
          <w:b/>
          <w:bCs/>
          <w:sz w:val="28"/>
          <w:szCs w:val="28"/>
        </w:rPr>
        <w:t>EXPLANATORY STATEMENT</w:t>
      </w:r>
    </w:p>
    <w:p w14:paraId="14ADC56F" w14:textId="77777777" w:rsidR="00C17FAB" w:rsidRDefault="00C17FAB">
      <w:pPr>
        <w:pStyle w:val="N-line3"/>
        <w:pBdr>
          <w:bottom w:val="none" w:sz="0" w:space="0" w:color="auto"/>
        </w:pBdr>
      </w:pPr>
    </w:p>
    <w:p w14:paraId="697BF8B5" w14:textId="77777777" w:rsidR="00C17FAB" w:rsidRDefault="00C17FAB">
      <w:pPr>
        <w:pStyle w:val="N-line3"/>
        <w:pBdr>
          <w:top w:val="single" w:sz="12" w:space="1" w:color="auto"/>
          <w:bottom w:val="none" w:sz="0" w:space="0" w:color="auto"/>
        </w:pBdr>
      </w:pPr>
    </w:p>
    <w:bookmarkEnd w:id="0"/>
    <w:p w14:paraId="6AB89DF4" w14:textId="77777777" w:rsidR="00B04894" w:rsidRPr="005327C6" w:rsidRDefault="00B04894" w:rsidP="002B124E">
      <w:pPr>
        <w:rPr>
          <w:b/>
          <w:bCs/>
          <w:szCs w:val="24"/>
        </w:rPr>
      </w:pPr>
      <w:r w:rsidRPr="005327C6">
        <w:rPr>
          <w:b/>
          <w:bCs/>
          <w:szCs w:val="24"/>
        </w:rPr>
        <w:t>Overview</w:t>
      </w:r>
    </w:p>
    <w:p w14:paraId="1AC68E88" w14:textId="1EF87783" w:rsidR="002B124E" w:rsidRDefault="002B124E" w:rsidP="002B124E">
      <w:pPr>
        <w:rPr>
          <w:szCs w:val="24"/>
        </w:rPr>
      </w:pPr>
      <w:r w:rsidRPr="00165671">
        <w:rPr>
          <w:szCs w:val="24"/>
        </w:rPr>
        <w:t xml:space="preserve">Section 12 of the </w:t>
      </w:r>
      <w:r w:rsidRPr="00165671">
        <w:rPr>
          <w:i/>
          <w:iCs/>
          <w:szCs w:val="24"/>
        </w:rPr>
        <w:t>Water Resources Act 2007</w:t>
      </w:r>
      <w:r w:rsidRPr="00165671">
        <w:rPr>
          <w:szCs w:val="24"/>
        </w:rPr>
        <w:t xml:space="preserve"> (the </w:t>
      </w:r>
      <w:r w:rsidRPr="005327C6">
        <w:rPr>
          <w:b/>
          <w:bCs/>
          <w:i/>
          <w:iCs/>
          <w:szCs w:val="24"/>
        </w:rPr>
        <w:t>Act</w:t>
      </w:r>
      <w:r w:rsidRPr="00165671">
        <w:rPr>
          <w:szCs w:val="24"/>
        </w:rPr>
        <w:t>) provides that the Minister may approve guidelines for working out the flow of water that is needed to maintain aquatic ecosystems. These are known as Environmental Flow Guidelines (the</w:t>
      </w:r>
      <w:r w:rsidR="00B23DD3">
        <w:rPr>
          <w:szCs w:val="24"/>
        </w:rPr>
        <w:t> </w:t>
      </w:r>
      <w:r w:rsidRPr="005327C6">
        <w:rPr>
          <w:b/>
          <w:bCs/>
          <w:i/>
          <w:iCs/>
          <w:szCs w:val="24"/>
        </w:rPr>
        <w:t>Guidelines</w:t>
      </w:r>
      <w:r w:rsidRPr="00165671">
        <w:rPr>
          <w:szCs w:val="24"/>
        </w:rPr>
        <w:t>).</w:t>
      </w:r>
    </w:p>
    <w:p w14:paraId="4E56AE2E" w14:textId="77777777" w:rsidR="002B124E" w:rsidRPr="00165671" w:rsidRDefault="002B124E" w:rsidP="002B124E">
      <w:pPr>
        <w:rPr>
          <w:szCs w:val="24"/>
        </w:rPr>
      </w:pPr>
    </w:p>
    <w:p w14:paraId="6E64EC15" w14:textId="77777777" w:rsidR="002B124E" w:rsidRDefault="002B124E" w:rsidP="002B124E">
      <w:pPr>
        <w:rPr>
          <w:szCs w:val="24"/>
        </w:rPr>
      </w:pPr>
      <w:r>
        <w:rPr>
          <w:szCs w:val="24"/>
        </w:rPr>
        <w:t>T</w:t>
      </w:r>
      <w:r w:rsidRPr="00903FA1">
        <w:rPr>
          <w:szCs w:val="24"/>
        </w:rPr>
        <w:t>he purpose of the Guidelines is to manage the water flow in the ACT’s streams, rivers and impoundments necessary to maintain aquatic ecosystems. The Guidelines support the legislative framework to ensure that ecological processes in ACT water bodies are protected</w:t>
      </w:r>
      <w:r w:rsidRPr="00165671">
        <w:rPr>
          <w:szCs w:val="24"/>
        </w:rPr>
        <w:t xml:space="preserve">. </w:t>
      </w:r>
    </w:p>
    <w:p w14:paraId="30C1C582" w14:textId="77777777" w:rsidR="002B124E" w:rsidRPr="00165671" w:rsidRDefault="002B124E" w:rsidP="002B124E">
      <w:pPr>
        <w:rPr>
          <w:szCs w:val="24"/>
        </w:rPr>
      </w:pPr>
    </w:p>
    <w:p w14:paraId="14C2EB04" w14:textId="3D0D8F04" w:rsidR="002B124E" w:rsidRDefault="005327C6" w:rsidP="002B124E">
      <w:pPr>
        <w:rPr>
          <w:szCs w:val="24"/>
        </w:rPr>
      </w:pPr>
      <w:r>
        <w:rPr>
          <w:szCs w:val="24"/>
        </w:rPr>
        <w:t>S</w:t>
      </w:r>
      <w:r w:rsidR="002B124E" w:rsidRPr="00903FA1">
        <w:rPr>
          <w:szCs w:val="24"/>
        </w:rPr>
        <w:t>ection 13 of the Act</w:t>
      </w:r>
      <w:r w:rsidR="00B04894">
        <w:rPr>
          <w:szCs w:val="24"/>
        </w:rPr>
        <w:t xml:space="preserve"> requires that the Director-General must prepare draft guidelines. In preparing the draft guidelines, the Director-General must consider principally</w:t>
      </w:r>
      <w:r w:rsidR="002B124E" w:rsidRPr="00903FA1">
        <w:rPr>
          <w:szCs w:val="24"/>
        </w:rPr>
        <w:t xml:space="preserve"> </w:t>
      </w:r>
      <w:r w:rsidR="00B04894">
        <w:rPr>
          <w:szCs w:val="24"/>
        </w:rPr>
        <w:t xml:space="preserve">the </w:t>
      </w:r>
      <w:r w:rsidR="002B124E" w:rsidRPr="00903FA1">
        <w:rPr>
          <w:szCs w:val="24"/>
        </w:rPr>
        <w:t>ecological needs of aquatic ecosystems</w:t>
      </w:r>
      <w:r w:rsidR="00B04894">
        <w:rPr>
          <w:szCs w:val="24"/>
        </w:rPr>
        <w:t>; and may consider the environmental, economic and social impact of the guidelines.</w:t>
      </w:r>
      <w:r w:rsidR="002B124E" w:rsidRPr="00903FA1">
        <w:rPr>
          <w:szCs w:val="24"/>
        </w:rPr>
        <w:t xml:space="preserve"> The</w:t>
      </w:r>
      <w:r w:rsidR="00B04894">
        <w:rPr>
          <w:szCs w:val="24"/>
        </w:rPr>
        <w:t xml:space="preserve"> draft guidelines</w:t>
      </w:r>
      <w:r w:rsidR="002B124E" w:rsidRPr="00903FA1">
        <w:rPr>
          <w:szCs w:val="24"/>
        </w:rPr>
        <w:t xml:space="preserve"> </w:t>
      </w:r>
      <w:r w:rsidR="00E56BCB">
        <w:rPr>
          <w:szCs w:val="24"/>
        </w:rPr>
        <w:t>may</w:t>
      </w:r>
      <w:r w:rsidR="00B04894">
        <w:rPr>
          <w:szCs w:val="24"/>
        </w:rPr>
        <w:t xml:space="preserve"> also</w:t>
      </w:r>
      <w:r w:rsidR="002B124E" w:rsidRPr="00903FA1">
        <w:rPr>
          <w:szCs w:val="24"/>
        </w:rPr>
        <w:t xml:space="preserve"> </w:t>
      </w:r>
      <w:r w:rsidR="00E56BCB">
        <w:rPr>
          <w:szCs w:val="24"/>
        </w:rPr>
        <w:t xml:space="preserve">be </w:t>
      </w:r>
      <w:r w:rsidR="002B124E" w:rsidRPr="00903FA1">
        <w:rPr>
          <w:szCs w:val="24"/>
        </w:rPr>
        <w:t>informed by ACT laws and strategies, Commonwealth threatened species laws, the Murray–Darling Basin Plan, and current research.</w:t>
      </w:r>
    </w:p>
    <w:p w14:paraId="0A7EA65B" w14:textId="77777777" w:rsidR="005D39C6" w:rsidRDefault="005D39C6" w:rsidP="002B124E">
      <w:pPr>
        <w:rPr>
          <w:szCs w:val="24"/>
        </w:rPr>
      </w:pPr>
    </w:p>
    <w:p w14:paraId="7A0475EB" w14:textId="7F7043CF" w:rsidR="00A440F9" w:rsidRDefault="005D39C6" w:rsidP="002B124E">
      <w:pPr>
        <w:rPr>
          <w:szCs w:val="24"/>
        </w:rPr>
      </w:pPr>
      <w:r w:rsidRPr="00165671">
        <w:rPr>
          <w:szCs w:val="24"/>
        </w:rPr>
        <w:t>This instrument revokes the </w:t>
      </w:r>
      <w:r w:rsidRPr="005327C6">
        <w:rPr>
          <w:i/>
          <w:iCs/>
          <w:szCs w:val="24"/>
        </w:rPr>
        <w:t>Water Resources Environmental Flow Guidelines 2019</w:t>
      </w:r>
      <w:r w:rsidRPr="00165671">
        <w:rPr>
          <w:i/>
          <w:iCs/>
          <w:szCs w:val="24"/>
        </w:rPr>
        <w:t> </w:t>
      </w:r>
      <w:r w:rsidR="005E4780">
        <w:rPr>
          <w:i/>
          <w:iCs/>
          <w:szCs w:val="24"/>
        </w:rPr>
        <w:t>(No 2)</w:t>
      </w:r>
      <w:r w:rsidR="005E4780">
        <w:rPr>
          <w:szCs w:val="24"/>
        </w:rPr>
        <w:t xml:space="preserve"> </w:t>
      </w:r>
      <w:r w:rsidRPr="00165671">
        <w:rPr>
          <w:szCs w:val="24"/>
        </w:rPr>
        <w:t>(DI2019-190).</w:t>
      </w:r>
    </w:p>
    <w:p w14:paraId="79364ADF" w14:textId="77777777" w:rsidR="005D39C6" w:rsidRDefault="005D39C6" w:rsidP="002B124E">
      <w:pPr>
        <w:rPr>
          <w:szCs w:val="24"/>
        </w:rPr>
      </w:pPr>
    </w:p>
    <w:p w14:paraId="4793BCDF" w14:textId="4EDBB452" w:rsidR="00574071" w:rsidRPr="00574071" w:rsidRDefault="00574071" w:rsidP="002B124E">
      <w:pPr>
        <w:rPr>
          <w:b/>
          <w:bCs/>
          <w:szCs w:val="24"/>
        </w:rPr>
      </w:pPr>
      <w:r>
        <w:rPr>
          <w:b/>
          <w:bCs/>
          <w:szCs w:val="24"/>
        </w:rPr>
        <w:t>Updates to the Guidelines</w:t>
      </w:r>
    </w:p>
    <w:p w14:paraId="07F6792F" w14:textId="77777777" w:rsidR="005327C6" w:rsidRPr="005327C6" w:rsidRDefault="005327C6" w:rsidP="005327C6">
      <w:pPr>
        <w:pStyle w:val="CS-Paragraphnumbering"/>
        <w:numPr>
          <w:ilvl w:val="0"/>
          <w:numId w:val="0"/>
        </w:numPr>
        <w:rPr>
          <w:rFonts w:ascii="Times New Roman" w:eastAsia="Times New Roman" w:hAnsi="Times New Roman" w:cs="Times New Roman"/>
        </w:rPr>
      </w:pPr>
      <w:r w:rsidRPr="005327C6">
        <w:rPr>
          <w:rFonts w:ascii="Times New Roman" w:eastAsia="Times New Roman" w:hAnsi="Times New Roman" w:cs="Times New Roman"/>
        </w:rPr>
        <w:t>Key updates to the Guidelines include:</w:t>
      </w:r>
    </w:p>
    <w:p w14:paraId="1593C3F6" w14:textId="4C346FA8" w:rsidR="005327C6" w:rsidRPr="005327C6" w:rsidRDefault="005327C6" w:rsidP="005327C6">
      <w:pPr>
        <w:pStyle w:val="ListParagraph"/>
        <w:numPr>
          <w:ilvl w:val="1"/>
          <w:numId w:val="10"/>
        </w:numPr>
        <w:tabs>
          <w:tab w:val="left" w:pos="426"/>
        </w:tabs>
        <w:spacing w:before="0" w:after="0"/>
        <w:ind w:left="426" w:right="-45" w:hanging="426"/>
        <w:rPr>
          <w:rFonts w:ascii="Times New Roman" w:hAnsi="Times New Roman"/>
          <w:iCs w:val="0"/>
          <w:lang w:val="en-AU"/>
        </w:rPr>
      </w:pPr>
      <w:r w:rsidRPr="005327C6">
        <w:rPr>
          <w:rFonts w:ascii="Times New Roman" w:hAnsi="Times New Roman"/>
          <w:iCs w:val="0"/>
          <w:lang w:val="en-AU"/>
        </w:rPr>
        <w:t xml:space="preserve">Terminology alignment – Language has been updated to reflect terminology commonly used across the Murray-Darling Basin. </w:t>
      </w:r>
    </w:p>
    <w:p w14:paraId="60D17D92" w14:textId="77777777" w:rsidR="005327C6" w:rsidRPr="005327C6" w:rsidRDefault="005327C6" w:rsidP="005327C6">
      <w:pPr>
        <w:pStyle w:val="ListParagraph"/>
        <w:numPr>
          <w:ilvl w:val="1"/>
          <w:numId w:val="10"/>
        </w:numPr>
        <w:tabs>
          <w:tab w:val="left" w:pos="426"/>
        </w:tabs>
        <w:spacing w:before="0" w:after="0"/>
        <w:ind w:left="426" w:right="-45" w:hanging="426"/>
        <w:rPr>
          <w:rFonts w:ascii="Times New Roman" w:hAnsi="Times New Roman"/>
          <w:iCs w:val="0"/>
          <w:lang w:val="en-AU"/>
        </w:rPr>
      </w:pPr>
      <w:r w:rsidRPr="005327C6">
        <w:rPr>
          <w:rFonts w:ascii="Times New Roman" w:hAnsi="Times New Roman"/>
          <w:iCs w:val="0"/>
          <w:lang w:val="en-AU"/>
        </w:rPr>
        <w:t xml:space="preserve">Minimum flow values – For most reaches, minimum flow values have been established based on the rules outlined in the previous version of the Guidelines. </w:t>
      </w:r>
    </w:p>
    <w:p w14:paraId="5FCB35A2" w14:textId="77777777" w:rsidR="005327C6" w:rsidRPr="005327C6" w:rsidRDefault="005327C6" w:rsidP="005327C6">
      <w:pPr>
        <w:pStyle w:val="ListParagraph"/>
        <w:numPr>
          <w:ilvl w:val="1"/>
          <w:numId w:val="10"/>
        </w:numPr>
        <w:tabs>
          <w:tab w:val="left" w:pos="426"/>
        </w:tabs>
        <w:spacing w:before="0" w:after="0"/>
        <w:ind w:left="426" w:right="-45" w:hanging="426"/>
        <w:rPr>
          <w:rFonts w:ascii="Times New Roman" w:hAnsi="Times New Roman"/>
          <w:iCs w:val="0"/>
          <w:lang w:val="en-AU"/>
        </w:rPr>
      </w:pPr>
      <w:r w:rsidRPr="005327C6">
        <w:rPr>
          <w:rFonts w:ascii="Times New Roman" w:hAnsi="Times New Roman"/>
          <w:iCs w:val="0"/>
          <w:lang w:val="en-AU"/>
        </w:rPr>
        <w:t xml:space="preserve">The Guideline’s goals – The Guidelines introduce long-term ecological objectives, short-term ecological outcomes, targets and indicators building on the objectives and indicators included in the previous versions. </w:t>
      </w:r>
    </w:p>
    <w:p w14:paraId="4092F932" w14:textId="77777777" w:rsidR="005327C6" w:rsidRDefault="005327C6" w:rsidP="002B124E">
      <w:pPr>
        <w:rPr>
          <w:szCs w:val="24"/>
        </w:rPr>
      </w:pPr>
    </w:p>
    <w:p w14:paraId="7C22F4B7" w14:textId="57CE7F4E" w:rsidR="00B04894" w:rsidRPr="005327C6" w:rsidRDefault="00B04894" w:rsidP="002B124E">
      <w:pPr>
        <w:rPr>
          <w:b/>
          <w:bCs/>
          <w:szCs w:val="24"/>
        </w:rPr>
      </w:pPr>
      <w:r w:rsidRPr="005327C6">
        <w:rPr>
          <w:b/>
          <w:bCs/>
          <w:szCs w:val="24"/>
        </w:rPr>
        <w:lastRenderedPageBreak/>
        <w:t>Consultation</w:t>
      </w:r>
    </w:p>
    <w:p w14:paraId="22BB977F" w14:textId="3977FE17" w:rsidR="00E56BCB" w:rsidRDefault="00E56BCB" w:rsidP="002B124E">
      <w:pPr>
        <w:rPr>
          <w:szCs w:val="24"/>
        </w:rPr>
      </w:pPr>
      <w:r>
        <w:rPr>
          <w:szCs w:val="24"/>
        </w:rPr>
        <w:t>Under section 13 (3) of the Act, the Director-General is required to consult with the Environment Protection Authority (EPA) in preparing the draft guidelines. The EPA was consulted on the draft guidelines.</w:t>
      </w:r>
    </w:p>
    <w:p w14:paraId="6750C71A" w14:textId="77777777" w:rsidR="00E56BCB" w:rsidRDefault="00E56BCB" w:rsidP="002B124E">
      <w:pPr>
        <w:rPr>
          <w:szCs w:val="24"/>
        </w:rPr>
      </w:pPr>
    </w:p>
    <w:p w14:paraId="3A45EE09" w14:textId="12AC6CC1" w:rsidR="009F64F8" w:rsidRDefault="00B04894" w:rsidP="002B124E">
      <w:pPr>
        <w:rPr>
          <w:szCs w:val="24"/>
        </w:rPr>
      </w:pPr>
      <w:r>
        <w:rPr>
          <w:szCs w:val="24"/>
        </w:rPr>
        <w:t>In accordance with section 14 of the Act, t</w:t>
      </w:r>
      <w:r w:rsidR="002B124E" w:rsidRPr="00903FA1">
        <w:rPr>
          <w:szCs w:val="24"/>
        </w:rPr>
        <w:t xml:space="preserve">he draft </w:t>
      </w:r>
      <w:r>
        <w:rPr>
          <w:szCs w:val="24"/>
        </w:rPr>
        <w:t>g</w:t>
      </w:r>
      <w:r w:rsidR="002B124E" w:rsidRPr="00903FA1">
        <w:rPr>
          <w:szCs w:val="24"/>
        </w:rPr>
        <w:t xml:space="preserve">uidelines were released for public </w:t>
      </w:r>
      <w:r w:rsidR="00E56BCB">
        <w:rPr>
          <w:szCs w:val="24"/>
        </w:rPr>
        <w:t>consultation</w:t>
      </w:r>
      <w:r w:rsidR="002B124E" w:rsidRPr="00903FA1">
        <w:rPr>
          <w:szCs w:val="24"/>
        </w:rPr>
        <w:t xml:space="preserve"> </w:t>
      </w:r>
      <w:r w:rsidR="005327C6">
        <w:rPr>
          <w:szCs w:val="24"/>
        </w:rPr>
        <w:t>from</w:t>
      </w:r>
      <w:r w:rsidR="002B124E" w:rsidRPr="00903FA1">
        <w:rPr>
          <w:szCs w:val="24"/>
        </w:rPr>
        <w:t xml:space="preserve"> </w:t>
      </w:r>
      <w:r w:rsidR="002B124E">
        <w:rPr>
          <w:szCs w:val="24"/>
        </w:rPr>
        <w:t>2</w:t>
      </w:r>
      <w:r w:rsidR="009F64F8">
        <w:rPr>
          <w:szCs w:val="24"/>
        </w:rPr>
        <w:t>4</w:t>
      </w:r>
      <w:r w:rsidR="002B124E">
        <w:rPr>
          <w:szCs w:val="24"/>
        </w:rPr>
        <w:t xml:space="preserve"> October 2025</w:t>
      </w:r>
      <w:r w:rsidR="005327C6">
        <w:rPr>
          <w:szCs w:val="24"/>
        </w:rPr>
        <w:t xml:space="preserve"> to 22 December 2025</w:t>
      </w:r>
      <w:r w:rsidR="002B124E" w:rsidRPr="00903FA1">
        <w:rPr>
          <w:szCs w:val="24"/>
        </w:rPr>
        <w:t xml:space="preserve">. </w:t>
      </w:r>
    </w:p>
    <w:p w14:paraId="7D16381A" w14:textId="77777777" w:rsidR="009F64F8" w:rsidRDefault="009F64F8" w:rsidP="002B124E">
      <w:pPr>
        <w:rPr>
          <w:szCs w:val="24"/>
        </w:rPr>
      </w:pPr>
    </w:p>
    <w:p w14:paraId="708C0A01" w14:textId="1F2F1123" w:rsidR="002B124E" w:rsidRPr="00165671" w:rsidRDefault="002B124E" w:rsidP="002B124E">
      <w:pPr>
        <w:rPr>
          <w:szCs w:val="24"/>
        </w:rPr>
      </w:pPr>
      <w:r>
        <w:rPr>
          <w:szCs w:val="24"/>
        </w:rPr>
        <w:t xml:space="preserve">A range of stakeholders provided input into the draft </w:t>
      </w:r>
      <w:r w:rsidR="009F64F8">
        <w:rPr>
          <w:szCs w:val="24"/>
        </w:rPr>
        <w:t xml:space="preserve">of the Guidelines </w:t>
      </w:r>
      <w:r>
        <w:rPr>
          <w:szCs w:val="24"/>
        </w:rPr>
        <w:t xml:space="preserve">including </w:t>
      </w:r>
      <w:r w:rsidRPr="00903FA1">
        <w:rPr>
          <w:szCs w:val="24"/>
        </w:rPr>
        <w:t>ACT Government agencies, Icon Water, the ACT and Region Catchment Management Coordination Group, the Murray–Darling Basin Authority, the National Capital Authority, the NSW Department of Planning and Environment, Traditional Custodians, academic experts, and community groups. Feedback was considered and incorporated into the Guidelines where appropriate</w:t>
      </w:r>
      <w:r>
        <w:rPr>
          <w:szCs w:val="24"/>
        </w:rPr>
        <w:t>.</w:t>
      </w:r>
    </w:p>
    <w:p w14:paraId="4768AF51" w14:textId="77777777" w:rsidR="002B124E" w:rsidRPr="00165671" w:rsidRDefault="002B124E" w:rsidP="002B124E">
      <w:pPr>
        <w:rPr>
          <w:i/>
          <w:szCs w:val="24"/>
        </w:rPr>
      </w:pPr>
    </w:p>
    <w:p w14:paraId="17F996C8" w14:textId="3964FC23" w:rsidR="00A56E96" w:rsidRPr="005327C6" w:rsidRDefault="00A56E96" w:rsidP="002B124E">
      <w:pPr>
        <w:rPr>
          <w:b/>
          <w:bCs/>
          <w:szCs w:val="24"/>
        </w:rPr>
      </w:pPr>
      <w:r w:rsidRPr="005327C6">
        <w:rPr>
          <w:b/>
          <w:bCs/>
          <w:szCs w:val="24"/>
        </w:rPr>
        <w:t>Human rights</w:t>
      </w:r>
    </w:p>
    <w:p w14:paraId="799A9729" w14:textId="55B26328" w:rsidR="00A56E96" w:rsidRDefault="00882ED3" w:rsidP="002B124E">
      <w:pPr>
        <w:rPr>
          <w:szCs w:val="24"/>
        </w:rPr>
      </w:pPr>
      <w:r w:rsidRPr="00882ED3">
        <w:rPr>
          <w:szCs w:val="24"/>
        </w:rPr>
        <w:t>Environmental flow guidelines in the ACT help fulfill the human right to a clean, healthy, and sustainable environment by ensuring rivers maintain ecological health, water quality, and biodiversity essential for that right</w:t>
      </w:r>
      <w:r>
        <w:rPr>
          <w:szCs w:val="24"/>
        </w:rPr>
        <w:t>.</w:t>
      </w:r>
    </w:p>
    <w:p w14:paraId="4804C7D9" w14:textId="77777777" w:rsidR="00882ED3" w:rsidRPr="00165671" w:rsidRDefault="00882ED3" w:rsidP="002B124E">
      <w:pPr>
        <w:rPr>
          <w:szCs w:val="24"/>
        </w:rPr>
      </w:pPr>
    </w:p>
    <w:p w14:paraId="3884ADE2" w14:textId="77777777" w:rsidR="002B124E" w:rsidRPr="00165671" w:rsidRDefault="002B124E" w:rsidP="002B124E">
      <w:pPr>
        <w:rPr>
          <w:szCs w:val="24"/>
        </w:rPr>
      </w:pPr>
      <w:r w:rsidRPr="00165671">
        <w:rPr>
          <w:b/>
          <w:bCs/>
          <w:szCs w:val="24"/>
        </w:rPr>
        <w:t>Regulatory impact statement</w:t>
      </w:r>
    </w:p>
    <w:p w14:paraId="550F8121" w14:textId="1FAD2821" w:rsidR="002B124E" w:rsidRDefault="002B124E" w:rsidP="002B124E">
      <w:pPr>
        <w:rPr>
          <w:szCs w:val="24"/>
        </w:rPr>
      </w:pPr>
      <w:r w:rsidRPr="00165671">
        <w:rPr>
          <w:szCs w:val="24"/>
        </w:rPr>
        <w:t>Section 34 of the </w:t>
      </w:r>
      <w:r w:rsidRPr="00165671">
        <w:rPr>
          <w:i/>
          <w:iCs/>
          <w:szCs w:val="24"/>
        </w:rPr>
        <w:t>Legislation Act 2001</w:t>
      </w:r>
      <w:r w:rsidRPr="00165671">
        <w:rPr>
          <w:szCs w:val="24"/>
        </w:rPr>
        <w:t> </w:t>
      </w:r>
      <w:r w:rsidR="003C4B44">
        <w:rPr>
          <w:szCs w:val="24"/>
        </w:rPr>
        <w:t xml:space="preserve">(the </w:t>
      </w:r>
      <w:r w:rsidR="003C4B44" w:rsidRPr="005327C6">
        <w:rPr>
          <w:b/>
          <w:bCs/>
          <w:i/>
          <w:iCs/>
          <w:szCs w:val="24"/>
        </w:rPr>
        <w:t>Legislation Act</w:t>
      </w:r>
      <w:r w:rsidR="003C4B44">
        <w:rPr>
          <w:szCs w:val="24"/>
        </w:rPr>
        <w:t xml:space="preserve">) </w:t>
      </w:r>
      <w:r w:rsidRPr="00165671">
        <w:rPr>
          <w:szCs w:val="24"/>
        </w:rPr>
        <w:t xml:space="preserve">provides that if a proposed subordinate law or disallowable instrument (the </w:t>
      </w:r>
      <w:r w:rsidRPr="005327C6">
        <w:rPr>
          <w:b/>
          <w:bCs/>
          <w:i/>
          <w:iCs/>
          <w:szCs w:val="24"/>
        </w:rPr>
        <w:t>proposed law</w:t>
      </w:r>
      <w:r w:rsidRPr="00165671">
        <w:rPr>
          <w:szCs w:val="24"/>
        </w:rPr>
        <w:t>) is likely to impose appreciable costs on the community, or a part of the community, then, before the proposed law is made, the Minister administering the authorising law must arrange for a regulatory impact statement to be prepared for the proposed law.</w:t>
      </w:r>
    </w:p>
    <w:p w14:paraId="4ED9BA83" w14:textId="77777777" w:rsidR="002B124E" w:rsidRPr="00165671" w:rsidRDefault="002B124E" w:rsidP="002B124E">
      <w:pPr>
        <w:rPr>
          <w:szCs w:val="24"/>
        </w:rPr>
      </w:pPr>
    </w:p>
    <w:p w14:paraId="11D5002B" w14:textId="50D0B9CC" w:rsidR="002B124E" w:rsidRPr="00165671" w:rsidRDefault="003C4B44" w:rsidP="002B124E">
      <w:pPr>
        <w:rPr>
          <w:szCs w:val="24"/>
        </w:rPr>
      </w:pPr>
      <w:r>
        <w:rPr>
          <w:szCs w:val="24"/>
        </w:rPr>
        <w:t>In this case, a</w:t>
      </w:r>
      <w:r w:rsidR="002B124E" w:rsidRPr="00165671">
        <w:rPr>
          <w:szCs w:val="24"/>
        </w:rPr>
        <w:t xml:space="preserve"> regulatory impact statement is not required for this instrument as it is not expected to impose appreciable costs on the community or part of the community</w:t>
      </w:r>
      <w:r>
        <w:rPr>
          <w:szCs w:val="24"/>
        </w:rPr>
        <w:t xml:space="preserve"> (section 34 (1) of the Legislation Act)</w:t>
      </w:r>
      <w:r w:rsidR="002B124E" w:rsidRPr="00165671">
        <w:rPr>
          <w:szCs w:val="24"/>
        </w:rPr>
        <w:t>.</w:t>
      </w:r>
    </w:p>
    <w:p w14:paraId="5401193C" w14:textId="7076DB43" w:rsidR="00C17FAB" w:rsidRDefault="00C17FAB"/>
    <w:p w14:paraId="31916D6A" w14:textId="77777777" w:rsidR="009469F3" w:rsidRDefault="009469F3"/>
    <w:sectPr w:rsidR="009469F3" w:rsidSect="007346AC">
      <w:headerReference w:type="even" r:id="rId8"/>
      <w:headerReference w:type="default" r:id="rId9"/>
      <w:footerReference w:type="even" r:id="rId10"/>
      <w:footerReference w:type="default" r:id="rId11"/>
      <w:headerReference w:type="first" r:id="rId12"/>
      <w:footerReference w:type="first" r:id="rId13"/>
      <w:pgSz w:w="11907" w:h="16839" w:code="9"/>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CCA0F7" w14:textId="77777777" w:rsidR="00F66B53" w:rsidRDefault="00F66B53" w:rsidP="00C17FAB">
      <w:r>
        <w:separator/>
      </w:r>
    </w:p>
  </w:endnote>
  <w:endnote w:type="continuationSeparator" w:id="0">
    <w:p w14:paraId="373FF09B" w14:textId="77777777" w:rsidR="00F66B53" w:rsidRDefault="00F66B53" w:rsidP="00C17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A498F" w14:textId="77777777" w:rsidR="008869FC" w:rsidRDefault="008869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77E2A" w14:textId="63173CDD" w:rsidR="0006773B" w:rsidRDefault="0006773B">
    <w:pPr>
      <w:pStyle w:val="Footer"/>
      <w:jc w:val="center"/>
    </w:pPr>
  </w:p>
  <w:p w14:paraId="1E215164" w14:textId="56D5BCE4" w:rsidR="00DA3B00" w:rsidRPr="008869FC" w:rsidRDefault="008869FC" w:rsidP="008869FC">
    <w:pPr>
      <w:pStyle w:val="Footer"/>
      <w:jc w:val="center"/>
      <w:rPr>
        <w:rFonts w:cs="Arial"/>
        <w:sz w:val="14"/>
      </w:rPr>
    </w:pPr>
    <w:r w:rsidRPr="008869FC">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DBCEE" w14:textId="77777777" w:rsidR="008869FC" w:rsidRDefault="00886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7BAE9D" w14:textId="77777777" w:rsidR="00F66B53" w:rsidRDefault="00F66B53" w:rsidP="00C17FAB">
      <w:r>
        <w:separator/>
      </w:r>
    </w:p>
  </w:footnote>
  <w:footnote w:type="continuationSeparator" w:id="0">
    <w:p w14:paraId="7D2C669F" w14:textId="77777777" w:rsidR="00F66B53" w:rsidRDefault="00F66B53" w:rsidP="00C17F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9D880" w14:textId="77777777" w:rsidR="008869FC" w:rsidRDefault="008869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BB890" w14:textId="77777777" w:rsidR="008869FC" w:rsidRDefault="008869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F2695" w14:textId="77777777" w:rsidR="008869FC" w:rsidRDefault="008869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3"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35872B8"/>
    <w:multiLevelType w:val="hybridMultilevel"/>
    <w:tmpl w:val="39944286"/>
    <w:lvl w:ilvl="0" w:tplc="6DBAF65E">
      <w:start w:val="1"/>
      <w:numFmt w:val="decimal"/>
      <w:pStyle w:val="CS-Paragraphnumbering"/>
      <w:lvlText w:val="%1."/>
      <w:lvlJc w:val="left"/>
      <w:pPr>
        <w:ind w:left="720" w:hanging="360"/>
      </w:pPr>
      <w:rPr>
        <w:sz w:val="24"/>
        <w:szCs w:val="24"/>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start w:val="1"/>
      <w:numFmt w:val="bullet"/>
      <w:lvlText w:val=""/>
      <w:lvlJc w:val="left"/>
      <w:pPr>
        <w:tabs>
          <w:tab w:val="num" w:pos="2250"/>
        </w:tabs>
        <w:ind w:left="2250" w:hanging="360"/>
      </w:pPr>
      <w:rPr>
        <w:rFonts w:ascii="Wingdings" w:hAnsi="Wingdings" w:cs="Times New Roman" w:hint="default"/>
      </w:rPr>
    </w:lvl>
    <w:lvl w:ilvl="3" w:tplc="04090001">
      <w:start w:val="1"/>
      <w:numFmt w:val="bullet"/>
      <w:lvlText w:val=""/>
      <w:lvlJc w:val="left"/>
      <w:pPr>
        <w:tabs>
          <w:tab w:val="num" w:pos="2970"/>
        </w:tabs>
        <w:ind w:left="2970" w:hanging="360"/>
      </w:pPr>
      <w:rPr>
        <w:rFonts w:ascii="Symbol" w:hAnsi="Symbol" w:cs="Times New Roman" w:hint="default"/>
      </w:rPr>
    </w:lvl>
    <w:lvl w:ilvl="4" w:tplc="04090003">
      <w:start w:val="1"/>
      <w:numFmt w:val="bullet"/>
      <w:lvlText w:val="o"/>
      <w:lvlJc w:val="left"/>
      <w:pPr>
        <w:tabs>
          <w:tab w:val="num" w:pos="3690"/>
        </w:tabs>
        <w:ind w:left="3690" w:hanging="360"/>
      </w:pPr>
      <w:rPr>
        <w:rFonts w:ascii="Courier New" w:hAnsi="Courier New" w:cs="Courier New" w:hint="default"/>
      </w:rPr>
    </w:lvl>
    <w:lvl w:ilvl="5" w:tplc="04090005">
      <w:start w:val="1"/>
      <w:numFmt w:val="bullet"/>
      <w:lvlText w:val=""/>
      <w:lvlJc w:val="left"/>
      <w:pPr>
        <w:tabs>
          <w:tab w:val="num" w:pos="4410"/>
        </w:tabs>
        <w:ind w:left="4410" w:hanging="360"/>
      </w:pPr>
      <w:rPr>
        <w:rFonts w:ascii="Wingdings" w:hAnsi="Wingdings" w:cs="Times New Roman" w:hint="default"/>
      </w:rPr>
    </w:lvl>
    <w:lvl w:ilvl="6" w:tplc="04090001">
      <w:start w:val="1"/>
      <w:numFmt w:val="bullet"/>
      <w:lvlText w:val=""/>
      <w:lvlJc w:val="left"/>
      <w:pPr>
        <w:tabs>
          <w:tab w:val="num" w:pos="5130"/>
        </w:tabs>
        <w:ind w:left="5130" w:hanging="360"/>
      </w:pPr>
      <w:rPr>
        <w:rFonts w:ascii="Symbol" w:hAnsi="Symbol" w:cs="Times New Roman" w:hint="default"/>
      </w:rPr>
    </w:lvl>
    <w:lvl w:ilvl="7" w:tplc="04090003">
      <w:start w:val="1"/>
      <w:numFmt w:val="bullet"/>
      <w:lvlText w:val="o"/>
      <w:lvlJc w:val="left"/>
      <w:pPr>
        <w:tabs>
          <w:tab w:val="num" w:pos="5850"/>
        </w:tabs>
        <w:ind w:left="5850" w:hanging="360"/>
      </w:pPr>
      <w:rPr>
        <w:rFonts w:ascii="Courier New" w:hAnsi="Courier New" w:cs="Courier New" w:hint="default"/>
      </w:rPr>
    </w:lvl>
    <w:lvl w:ilvl="8" w:tplc="04090005">
      <w:start w:val="1"/>
      <w:numFmt w:val="bullet"/>
      <w:lvlText w:val=""/>
      <w:lvlJc w:val="left"/>
      <w:pPr>
        <w:tabs>
          <w:tab w:val="num" w:pos="6570"/>
        </w:tabs>
        <w:ind w:left="6570" w:hanging="360"/>
      </w:pPr>
      <w:rPr>
        <w:rFonts w:ascii="Wingdings" w:hAnsi="Wingdings" w:cs="Times New Roman" w:hint="default"/>
      </w:rPr>
    </w:lvl>
  </w:abstractNum>
  <w:abstractNum w:abstractNumId="6"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hint="default"/>
      </w:rPr>
    </w:lvl>
    <w:lvl w:ilvl="1" w:tplc="04090019">
      <w:start w:val="1"/>
      <w:numFmt w:val="lowerLetter"/>
      <w:lvlText w:val="%2."/>
      <w:lvlJc w:val="left"/>
      <w:pPr>
        <w:tabs>
          <w:tab w:val="num" w:pos="1114"/>
        </w:tabs>
        <w:ind w:left="1114" w:hanging="360"/>
      </w:pPr>
    </w:lvl>
    <w:lvl w:ilvl="2" w:tplc="0409001B">
      <w:start w:val="1"/>
      <w:numFmt w:val="lowerRoman"/>
      <w:lvlText w:val="%3."/>
      <w:lvlJc w:val="right"/>
      <w:pPr>
        <w:tabs>
          <w:tab w:val="num" w:pos="1834"/>
        </w:tabs>
        <w:ind w:left="1834" w:hanging="180"/>
      </w:pPr>
    </w:lvl>
    <w:lvl w:ilvl="3" w:tplc="0409000F">
      <w:start w:val="1"/>
      <w:numFmt w:val="decimal"/>
      <w:lvlText w:val="%4."/>
      <w:lvlJc w:val="left"/>
      <w:pPr>
        <w:tabs>
          <w:tab w:val="num" w:pos="2554"/>
        </w:tabs>
        <w:ind w:left="2554" w:hanging="360"/>
      </w:pPr>
    </w:lvl>
    <w:lvl w:ilvl="4" w:tplc="04090019">
      <w:start w:val="1"/>
      <w:numFmt w:val="lowerLetter"/>
      <w:lvlText w:val="%5."/>
      <w:lvlJc w:val="left"/>
      <w:pPr>
        <w:tabs>
          <w:tab w:val="num" w:pos="3274"/>
        </w:tabs>
        <w:ind w:left="3274" w:hanging="360"/>
      </w:pPr>
    </w:lvl>
    <w:lvl w:ilvl="5" w:tplc="0409001B">
      <w:start w:val="1"/>
      <w:numFmt w:val="lowerRoman"/>
      <w:lvlText w:val="%6."/>
      <w:lvlJc w:val="right"/>
      <w:pPr>
        <w:tabs>
          <w:tab w:val="num" w:pos="3994"/>
        </w:tabs>
        <w:ind w:left="3994" w:hanging="180"/>
      </w:pPr>
    </w:lvl>
    <w:lvl w:ilvl="6" w:tplc="0409000F">
      <w:start w:val="1"/>
      <w:numFmt w:val="decimal"/>
      <w:lvlText w:val="%7."/>
      <w:lvlJc w:val="left"/>
      <w:pPr>
        <w:tabs>
          <w:tab w:val="num" w:pos="4714"/>
        </w:tabs>
        <w:ind w:left="4714" w:hanging="360"/>
      </w:pPr>
    </w:lvl>
    <w:lvl w:ilvl="7" w:tplc="04090019">
      <w:start w:val="1"/>
      <w:numFmt w:val="lowerLetter"/>
      <w:lvlText w:val="%8."/>
      <w:lvlJc w:val="left"/>
      <w:pPr>
        <w:tabs>
          <w:tab w:val="num" w:pos="5434"/>
        </w:tabs>
        <w:ind w:left="5434" w:hanging="360"/>
      </w:pPr>
    </w:lvl>
    <w:lvl w:ilvl="8" w:tplc="0409001B">
      <w:start w:val="1"/>
      <w:numFmt w:val="lowerRoman"/>
      <w:lvlText w:val="%9."/>
      <w:lvlJc w:val="right"/>
      <w:pPr>
        <w:tabs>
          <w:tab w:val="num" w:pos="6154"/>
        </w:tabs>
        <w:ind w:left="6154" w:hanging="180"/>
      </w:pPr>
    </w:lvl>
  </w:abstractNum>
  <w:abstractNum w:abstractNumId="7"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8"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9" w15:restartNumberingAfterBreak="0">
    <w:nsid w:val="7A89259E"/>
    <w:multiLevelType w:val="multilevel"/>
    <w:tmpl w:val="A59A850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num w:numId="1" w16cid:durableId="2125298063">
    <w:abstractNumId w:val="2"/>
  </w:num>
  <w:num w:numId="2" w16cid:durableId="646397262">
    <w:abstractNumId w:val="0"/>
  </w:num>
  <w:num w:numId="3" w16cid:durableId="1606040949">
    <w:abstractNumId w:val="3"/>
  </w:num>
  <w:num w:numId="4" w16cid:durableId="396897298">
    <w:abstractNumId w:val="7"/>
  </w:num>
  <w:num w:numId="5" w16cid:durableId="613558064">
    <w:abstractNumId w:val="8"/>
  </w:num>
  <w:num w:numId="6" w16cid:durableId="1025015405">
    <w:abstractNumId w:val="1"/>
  </w:num>
  <w:num w:numId="7" w16cid:durableId="853228258">
    <w:abstractNumId w:val="5"/>
  </w:num>
  <w:num w:numId="8" w16cid:durableId="1668435271">
    <w:abstractNumId w:val="6"/>
  </w:num>
  <w:num w:numId="9" w16cid:durableId="204489811">
    <w:abstractNumId w:val="9"/>
  </w:num>
  <w:num w:numId="10" w16cid:durableId="6802015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proofState w:spelling="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D7C60"/>
    <w:rsid w:val="0006773B"/>
    <w:rsid w:val="001D62EE"/>
    <w:rsid w:val="00281E10"/>
    <w:rsid w:val="002B124E"/>
    <w:rsid w:val="002D7C60"/>
    <w:rsid w:val="003057D0"/>
    <w:rsid w:val="00391A88"/>
    <w:rsid w:val="00397377"/>
    <w:rsid w:val="003C4B44"/>
    <w:rsid w:val="003D455F"/>
    <w:rsid w:val="004007F3"/>
    <w:rsid w:val="004452CC"/>
    <w:rsid w:val="00445B9B"/>
    <w:rsid w:val="005327C6"/>
    <w:rsid w:val="00554CAF"/>
    <w:rsid w:val="00574071"/>
    <w:rsid w:val="005D39C6"/>
    <w:rsid w:val="005E4780"/>
    <w:rsid w:val="0070020D"/>
    <w:rsid w:val="007346AC"/>
    <w:rsid w:val="00854ABB"/>
    <w:rsid w:val="00882ED3"/>
    <w:rsid w:val="008869FC"/>
    <w:rsid w:val="00890518"/>
    <w:rsid w:val="009279D5"/>
    <w:rsid w:val="009469F3"/>
    <w:rsid w:val="009508A5"/>
    <w:rsid w:val="009867D3"/>
    <w:rsid w:val="009F64F8"/>
    <w:rsid w:val="00A440F9"/>
    <w:rsid w:val="00A56E96"/>
    <w:rsid w:val="00AB0A79"/>
    <w:rsid w:val="00B04894"/>
    <w:rsid w:val="00B23DD3"/>
    <w:rsid w:val="00B72CAD"/>
    <w:rsid w:val="00C17FAB"/>
    <w:rsid w:val="00C33921"/>
    <w:rsid w:val="00CA756E"/>
    <w:rsid w:val="00CE599C"/>
    <w:rsid w:val="00D0008D"/>
    <w:rsid w:val="00D24FEC"/>
    <w:rsid w:val="00D679CF"/>
    <w:rsid w:val="00D9510F"/>
    <w:rsid w:val="00DA3B00"/>
    <w:rsid w:val="00DF5C90"/>
    <w:rsid w:val="00E56BCB"/>
    <w:rsid w:val="00E97BF8"/>
    <w:rsid w:val="00EB6006"/>
    <w:rsid w:val="00F30AE5"/>
    <w:rsid w:val="00F50581"/>
    <w:rsid w:val="00F65791"/>
    <w:rsid w:val="00F66B53"/>
    <w:rsid w:val="00FB033A"/>
    <w:rsid w:val="00FD75C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CCB13B"/>
  <w15:docId w15:val="{B48BEE36-EDC5-49B2-B827-FE37BB74D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46AC"/>
    <w:rPr>
      <w:sz w:val="24"/>
      <w:lang w:eastAsia="en-US"/>
    </w:rPr>
  </w:style>
  <w:style w:type="paragraph" w:styleId="Heading1">
    <w:name w:val="heading 1"/>
    <w:basedOn w:val="Normal"/>
    <w:next w:val="Normal"/>
    <w:qFormat/>
    <w:rsid w:val="007346AC"/>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qFormat/>
    <w:rsid w:val="007346AC"/>
    <w:pPr>
      <w:keepNext/>
      <w:widowControl w:val="0"/>
      <w:jc w:val="center"/>
      <w:outlineLvl w:val="1"/>
    </w:pPr>
    <w:rPr>
      <w:rFonts w:ascii="Arial" w:hAnsi="Arial" w:cs="Arial"/>
      <w:i/>
      <w:iCs/>
      <w:sz w:val="16"/>
      <w:szCs w:val="16"/>
    </w:rPr>
  </w:style>
  <w:style w:type="paragraph" w:styleId="Heading3">
    <w:name w:val="heading 3"/>
    <w:basedOn w:val="Normal"/>
    <w:next w:val="Normal"/>
    <w:qFormat/>
    <w:rsid w:val="007346AC"/>
    <w:pPr>
      <w:keepNext/>
      <w:pBdr>
        <w:right w:val="single" w:sz="4" w:space="4" w:color="auto"/>
      </w:pBdr>
      <w:outlineLvl w:val="2"/>
    </w:pPr>
    <w:rPr>
      <w:i/>
      <w:iCs/>
      <w:sz w:val="22"/>
      <w:szCs w:val="22"/>
    </w:rPr>
  </w:style>
  <w:style w:type="paragraph" w:styleId="Heading4">
    <w:name w:val="heading 4"/>
    <w:basedOn w:val="Normal"/>
    <w:next w:val="Normal"/>
    <w:qFormat/>
    <w:rsid w:val="007346AC"/>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346AC"/>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link w:val="FooterChar"/>
    <w:uiPriority w:val="99"/>
    <w:rsid w:val="007346AC"/>
    <w:pPr>
      <w:tabs>
        <w:tab w:val="left" w:pos="2880"/>
      </w:tabs>
      <w:spacing w:before="120" w:after="60" w:line="240" w:lineRule="exact"/>
    </w:pPr>
    <w:rPr>
      <w:rFonts w:ascii="Arial" w:hAnsi="Arial"/>
      <w:sz w:val="18"/>
    </w:rPr>
  </w:style>
  <w:style w:type="paragraph" w:customStyle="1" w:styleId="Billname">
    <w:name w:val="Billname"/>
    <w:basedOn w:val="Normal"/>
    <w:rsid w:val="007346AC"/>
    <w:pPr>
      <w:tabs>
        <w:tab w:val="left" w:pos="2400"/>
        <w:tab w:val="left" w:pos="2880"/>
      </w:tabs>
      <w:spacing w:before="1220" w:after="100"/>
    </w:pPr>
    <w:rPr>
      <w:rFonts w:ascii="Arial" w:hAnsi="Arial"/>
      <w:b/>
      <w:sz w:val="40"/>
    </w:rPr>
  </w:style>
  <w:style w:type="paragraph" w:customStyle="1" w:styleId="Amain">
    <w:name w:val="A main"/>
    <w:basedOn w:val="Normal"/>
    <w:rsid w:val="007346AC"/>
    <w:pPr>
      <w:tabs>
        <w:tab w:val="right" w:pos="500"/>
        <w:tab w:val="left" w:pos="700"/>
      </w:tabs>
      <w:spacing w:before="80" w:after="60"/>
      <w:ind w:left="700" w:hanging="700"/>
      <w:jc w:val="both"/>
      <w:outlineLvl w:val="5"/>
    </w:pPr>
  </w:style>
  <w:style w:type="paragraph" w:customStyle="1" w:styleId="N-line3">
    <w:name w:val="N-line3"/>
    <w:basedOn w:val="Normal"/>
    <w:next w:val="Normal"/>
    <w:rsid w:val="007346AC"/>
    <w:pPr>
      <w:pBdr>
        <w:bottom w:val="single" w:sz="12" w:space="1" w:color="auto"/>
      </w:pBdr>
      <w:jc w:val="both"/>
    </w:pPr>
  </w:style>
  <w:style w:type="paragraph" w:customStyle="1" w:styleId="madeunder">
    <w:name w:val="made under"/>
    <w:basedOn w:val="Normal"/>
    <w:rsid w:val="007346AC"/>
    <w:pPr>
      <w:spacing w:before="180" w:after="60"/>
      <w:jc w:val="both"/>
    </w:pPr>
  </w:style>
  <w:style w:type="paragraph" w:customStyle="1" w:styleId="CoverActName">
    <w:name w:val="CoverActName"/>
    <w:basedOn w:val="Normal"/>
    <w:rsid w:val="007346AC"/>
    <w:pPr>
      <w:tabs>
        <w:tab w:val="left" w:pos="2600"/>
      </w:tabs>
      <w:spacing w:before="200" w:after="60"/>
      <w:jc w:val="both"/>
    </w:pPr>
    <w:rPr>
      <w:rFonts w:ascii="Arial" w:hAnsi="Arial"/>
      <w:b/>
    </w:rPr>
  </w:style>
  <w:style w:type="paragraph" w:customStyle="1" w:styleId="06Copyright">
    <w:name w:val="06Copyright"/>
    <w:basedOn w:val="Normal"/>
    <w:rsid w:val="007346AC"/>
    <w:pPr>
      <w:tabs>
        <w:tab w:val="left" w:pos="2880"/>
      </w:tabs>
    </w:pPr>
  </w:style>
  <w:style w:type="paragraph" w:customStyle="1" w:styleId="Apara">
    <w:name w:val="A para"/>
    <w:basedOn w:val="Normal"/>
    <w:rsid w:val="007346AC"/>
    <w:pPr>
      <w:numPr>
        <w:ilvl w:val="6"/>
        <w:numId w:val="9"/>
      </w:numPr>
      <w:spacing w:before="80" w:after="60"/>
      <w:jc w:val="both"/>
      <w:outlineLvl w:val="6"/>
    </w:pPr>
  </w:style>
  <w:style w:type="paragraph" w:customStyle="1" w:styleId="Asubpara">
    <w:name w:val="A subpara"/>
    <w:basedOn w:val="Normal"/>
    <w:rsid w:val="007346AC"/>
    <w:pPr>
      <w:numPr>
        <w:ilvl w:val="7"/>
        <w:numId w:val="9"/>
      </w:numPr>
      <w:spacing w:before="80" w:after="60"/>
      <w:jc w:val="both"/>
      <w:outlineLvl w:val="7"/>
    </w:pPr>
  </w:style>
  <w:style w:type="paragraph" w:customStyle="1" w:styleId="Asubsubpara">
    <w:name w:val="A subsubpara"/>
    <w:basedOn w:val="Normal"/>
    <w:rsid w:val="007346AC"/>
    <w:pPr>
      <w:numPr>
        <w:ilvl w:val="8"/>
        <w:numId w:val="9"/>
      </w:numPr>
      <w:spacing w:before="80" w:after="60"/>
      <w:jc w:val="both"/>
      <w:outlineLvl w:val="8"/>
    </w:pPr>
  </w:style>
  <w:style w:type="paragraph" w:customStyle="1" w:styleId="AH5Sec">
    <w:name w:val="A H5 Sec"/>
    <w:basedOn w:val="Normal"/>
    <w:next w:val="Amain"/>
    <w:rsid w:val="007346AC"/>
    <w:pPr>
      <w:keepNext/>
      <w:numPr>
        <w:ilvl w:val="4"/>
        <w:numId w:val="1"/>
      </w:numPr>
      <w:spacing w:before="180" w:after="60"/>
      <w:outlineLvl w:val="4"/>
    </w:pPr>
    <w:rPr>
      <w:rFonts w:ascii="Arial" w:hAnsi="Arial"/>
      <w:b/>
    </w:rPr>
  </w:style>
  <w:style w:type="paragraph" w:styleId="Header">
    <w:name w:val="header"/>
    <w:basedOn w:val="Normal"/>
    <w:semiHidden/>
    <w:rsid w:val="007346AC"/>
    <w:pPr>
      <w:tabs>
        <w:tab w:val="left" w:pos="2880"/>
        <w:tab w:val="center" w:pos="4153"/>
        <w:tab w:val="right" w:pos="8306"/>
      </w:tabs>
    </w:pPr>
  </w:style>
  <w:style w:type="paragraph" w:customStyle="1" w:styleId="ref">
    <w:name w:val="ref"/>
    <w:basedOn w:val="Normal"/>
    <w:next w:val="Normal"/>
    <w:rsid w:val="007346AC"/>
    <w:pPr>
      <w:spacing w:after="60"/>
      <w:jc w:val="both"/>
    </w:pPr>
    <w:rPr>
      <w:sz w:val="18"/>
    </w:rPr>
  </w:style>
  <w:style w:type="character" w:customStyle="1" w:styleId="CharDivText">
    <w:name w:val="CharDivText"/>
    <w:basedOn w:val="DefaultParagraphFont"/>
    <w:rsid w:val="007346AC"/>
  </w:style>
  <w:style w:type="paragraph" w:customStyle="1" w:styleId="CoverInForce">
    <w:name w:val="CoverInForce"/>
    <w:basedOn w:val="Normal"/>
    <w:rsid w:val="007346AC"/>
    <w:pPr>
      <w:tabs>
        <w:tab w:val="left" w:pos="2600"/>
      </w:tabs>
      <w:spacing w:before="200" w:after="60"/>
      <w:jc w:val="both"/>
    </w:pPr>
    <w:rPr>
      <w:rFonts w:ascii="Arial" w:hAnsi="Arial"/>
    </w:rPr>
  </w:style>
  <w:style w:type="paragraph" w:customStyle="1" w:styleId="AFHdg">
    <w:name w:val="AFHdg"/>
    <w:basedOn w:val="Normal"/>
    <w:rsid w:val="007346AC"/>
    <w:pPr>
      <w:tabs>
        <w:tab w:val="left" w:pos="2600"/>
      </w:tabs>
      <w:spacing w:before="80" w:after="60"/>
      <w:jc w:val="both"/>
    </w:pPr>
    <w:rPr>
      <w:rFonts w:ascii="Arial" w:hAnsi="Arial"/>
      <w:b/>
      <w:sz w:val="32"/>
    </w:rPr>
  </w:style>
  <w:style w:type="paragraph" w:customStyle="1" w:styleId="ApprFormHd">
    <w:name w:val="ApprFormHd"/>
    <w:basedOn w:val="Normal"/>
    <w:rsid w:val="007346AC"/>
    <w:pPr>
      <w:keepNext/>
      <w:tabs>
        <w:tab w:val="left" w:pos="2600"/>
      </w:tabs>
      <w:spacing w:before="320" w:after="60"/>
      <w:outlineLvl w:val="0"/>
    </w:pPr>
    <w:rPr>
      <w:rFonts w:ascii="Arial" w:hAnsi="Arial"/>
      <w:b/>
      <w:sz w:val="34"/>
    </w:rPr>
  </w:style>
  <w:style w:type="character" w:styleId="PageNumber">
    <w:name w:val="page number"/>
    <w:basedOn w:val="DefaultParagraphFont"/>
    <w:semiHidden/>
    <w:rsid w:val="007346AC"/>
  </w:style>
  <w:style w:type="paragraph" w:customStyle="1" w:styleId="Aparabullet">
    <w:name w:val="A para bullet"/>
    <w:basedOn w:val="Normal"/>
    <w:rsid w:val="007346AC"/>
    <w:pPr>
      <w:numPr>
        <w:numId w:val="4"/>
      </w:numPr>
    </w:pPr>
  </w:style>
  <w:style w:type="paragraph" w:styleId="TOC1">
    <w:name w:val="toc 1"/>
    <w:basedOn w:val="Normal"/>
    <w:next w:val="Normal"/>
    <w:autoRedefine/>
    <w:semiHidden/>
    <w:rsid w:val="007346AC"/>
  </w:style>
  <w:style w:type="paragraph" w:styleId="TOC2">
    <w:name w:val="toc 2"/>
    <w:basedOn w:val="Normal"/>
    <w:next w:val="Normal"/>
    <w:autoRedefine/>
    <w:semiHidden/>
    <w:rsid w:val="007346AC"/>
    <w:pPr>
      <w:ind w:left="240"/>
    </w:pPr>
  </w:style>
  <w:style w:type="paragraph" w:styleId="TOC3">
    <w:name w:val="toc 3"/>
    <w:basedOn w:val="Normal"/>
    <w:next w:val="Normal"/>
    <w:autoRedefine/>
    <w:semiHidden/>
    <w:rsid w:val="007346AC"/>
    <w:pPr>
      <w:ind w:left="480"/>
    </w:pPr>
  </w:style>
  <w:style w:type="paragraph" w:styleId="TOC4">
    <w:name w:val="toc 4"/>
    <w:basedOn w:val="Normal"/>
    <w:next w:val="Normal"/>
    <w:autoRedefine/>
    <w:semiHidden/>
    <w:rsid w:val="007346AC"/>
    <w:pPr>
      <w:ind w:left="720"/>
    </w:pPr>
  </w:style>
  <w:style w:type="paragraph" w:styleId="TOC5">
    <w:name w:val="toc 5"/>
    <w:basedOn w:val="Normal"/>
    <w:next w:val="Normal"/>
    <w:autoRedefine/>
    <w:semiHidden/>
    <w:rsid w:val="007346AC"/>
    <w:pPr>
      <w:ind w:left="960"/>
    </w:pPr>
  </w:style>
  <w:style w:type="paragraph" w:styleId="TOC6">
    <w:name w:val="toc 6"/>
    <w:basedOn w:val="Normal"/>
    <w:next w:val="Normal"/>
    <w:autoRedefine/>
    <w:semiHidden/>
    <w:rsid w:val="007346AC"/>
    <w:pPr>
      <w:ind w:left="1200"/>
    </w:pPr>
  </w:style>
  <w:style w:type="paragraph" w:styleId="TOC7">
    <w:name w:val="toc 7"/>
    <w:basedOn w:val="Normal"/>
    <w:next w:val="Normal"/>
    <w:autoRedefine/>
    <w:semiHidden/>
    <w:rsid w:val="007346AC"/>
    <w:pPr>
      <w:ind w:left="1440"/>
    </w:pPr>
  </w:style>
  <w:style w:type="paragraph" w:styleId="TOC8">
    <w:name w:val="toc 8"/>
    <w:basedOn w:val="Normal"/>
    <w:next w:val="Normal"/>
    <w:autoRedefine/>
    <w:semiHidden/>
    <w:rsid w:val="007346AC"/>
    <w:pPr>
      <w:ind w:left="1680"/>
    </w:pPr>
  </w:style>
  <w:style w:type="paragraph" w:styleId="TOC9">
    <w:name w:val="toc 9"/>
    <w:basedOn w:val="Normal"/>
    <w:next w:val="Normal"/>
    <w:autoRedefine/>
    <w:semiHidden/>
    <w:rsid w:val="007346AC"/>
    <w:pPr>
      <w:ind w:left="1920"/>
    </w:pPr>
  </w:style>
  <w:style w:type="character" w:styleId="Hyperlink">
    <w:name w:val="Hyperlink"/>
    <w:basedOn w:val="DefaultParagraphFont"/>
    <w:semiHidden/>
    <w:rsid w:val="007346AC"/>
    <w:rPr>
      <w:color w:val="0000FF"/>
      <w:u w:val="single"/>
    </w:rPr>
  </w:style>
  <w:style w:type="paragraph" w:styleId="BodyTextIndent">
    <w:name w:val="Body Text Indent"/>
    <w:basedOn w:val="Normal"/>
    <w:semiHidden/>
    <w:rsid w:val="007346AC"/>
    <w:pPr>
      <w:spacing w:before="120" w:after="60"/>
      <w:ind w:left="709"/>
    </w:pPr>
  </w:style>
  <w:style w:type="paragraph" w:customStyle="1" w:styleId="Minister">
    <w:name w:val="Minister"/>
    <w:basedOn w:val="Normal"/>
    <w:rsid w:val="007346AC"/>
    <w:pPr>
      <w:spacing w:before="880" w:after="60"/>
      <w:jc w:val="right"/>
    </w:pPr>
    <w:rPr>
      <w:caps/>
      <w:szCs w:val="24"/>
    </w:rPr>
  </w:style>
  <w:style w:type="paragraph" w:customStyle="1" w:styleId="DateLine">
    <w:name w:val="DateLine"/>
    <w:basedOn w:val="Normal"/>
    <w:rsid w:val="007346AC"/>
    <w:pPr>
      <w:tabs>
        <w:tab w:val="left" w:pos="4320"/>
      </w:tabs>
      <w:spacing w:before="80" w:after="60"/>
      <w:jc w:val="both"/>
    </w:pPr>
    <w:rPr>
      <w:szCs w:val="24"/>
    </w:rPr>
  </w:style>
  <w:style w:type="paragraph" w:customStyle="1" w:styleId="MinisterWord">
    <w:name w:val="MinisterWord"/>
    <w:basedOn w:val="Normal"/>
    <w:rsid w:val="007346AC"/>
    <w:pPr>
      <w:tabs>
        <w:tab w:val="left" w:pos="2880"/>
      </w:tabs>
      <w:jc w:val="right"/>
    </w:pPr>
    <w:rPr>
      <w:szCs w:val="24"/>
    </w:rPr>
  </w:style>
  <w:style w:type="character" w:styleId="FollowedHyperlink">
    <w:name w:val="FollowedHyperlink"/>
    <w:basedOn w:val="DefaultParagraphFont"/>
    <w:semiHidden/>
    <w:rsid w:val="007346AC"/>
    <w:rPr>
      <w:color w:val="800080"/>
      <w:u w:val="single"/>
    </w:rPr>
  </w:style>
  <w:style w:type="character" w:styleId="FootnoteReference">
    <w:name w:val="footnote reference"/>
    <w:basedOn w:val="DefaultParagraphFont"/>
    <w:semiHidden/>
    <w:rsid w:val="007346AC"/>
    <w:rPr>
      <w:rFonts w:ascii="Times New Roman" w:hAnsi="Times New Roman" w:cs="Times New Roman"/>
      <w:sz w:val="24"/>
      <w:szCs w:val="24"/>
      <w:vertAlign w:val="superscript"/>
    </w:rPr>
  </w:style>
  <w:style w:type="paragraph" w:styleId="FootnoteText">
    <w:name w:val="footnote text"/>
    <w:basedOn w:val="Normal"/>
    <w:semiHidden/>
    <w:rsid w:val="007346AC"/>
    <w:pPr>
      <w:spacing w:before="80" w:after="60"/>
      <w:jc w:val="both"/>
    </w:pPr>
    <w:rPr>
      <w:szCs w:val="24"/>
    </w:rPr>
  </w:style>
  <w:style w:type="paragraph" w:customStyle="1" w:styleId="ShadedSchClause">
    <w:name w:val="Shaded Sch Clause"/>
    <w:basedOn w:val="Normal"/>
    <w:next w:val="Normal"/>
    <w:rsid w:val="007346AC"/>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7346AC"/>
  </w:style>
  <w:style w:type="character" w:styleId="CommentReference">
    <w:name w:val="annotation reference"/>
    <w:basedOn w:val="DefaultParagraphFont"/>
    <w:uiPriority w:val="99"/>
    <w:semiHidden/>
    <w:unhideWhenUsed/>
    <w:rsid w:val="00B23DD3"/>
    <w:rPr>
      <w:sz w:val="16"/>
      <w:szCs w:val="16"/>
    </w:rPr>
  </w:style>
  <w:style w:type="paragraph" w:styleId="CommentText">
    <w:name w:val="annotation text"/>
    <w:basedOn w:val="Normal"/>
    <w:link w:val="CommentTextChar"/>
    <w:uiPriority w:val="99"/>
    <w:unhideWhenUsed/>
    <w:rsid w:val="00B23DD3"/>
    <w:rPr>
      <w:sz w:val="20"/>
    </w:rPr>
  </w:style>
  <w:style w:type="character" w:customStyle="1" w:styleId="CommentTextChar">
    <w:name w:val="Comment Text Char"/>
    <w:basedOn w:val="DefaultParagraphFont"/>
    <w:link w:val="CommentText"/>
    <w:uiPriority w:val="99"/>
    <w:rsid w:val="00B23DD3"/>
    <w:rPr>
      <w:lang w:eastAsia="en-US"/>
    </w:rPr>
  </w:style>
  <w:style w:type="paragraph" w:styleId="CommentSubject">
    <w:name w:val="annotation subject"/>
    <w:basedOn w:val="CommentText"/>
    <w:next w:val="CommentText"/>
    <w:link w:val="CommentSubjectChar"/>
    <w:uiPriority w:val="99"/>
    <w:semiHidden/>
    <w:unhideWhenUsed/>
    <w:rsid w:val="00B23DD3"/>
    <w:rPr>
      <w:b/>
      <w:bCs/>
    </w:rPr>
  </w:style>
  <w:style w:type="character" w:customStyle="1" w:styleId="CommentSubjectChar">
    <w:name w:val="Comment Subject Char"/>
    <w:basedOn w:val="CommentTextChar"/>
    <w:link w:val="CommentSubject"/>
    <w:uiPriority w:val="99"/>
    <w:semiHidden/>
    <w:rsid w:val="00B23DD3"/>
    <w:rPr>
      <w:b/>
      <w:bCs/>
      <w:lang w:eastAsia="en-US"/>
    </w:rPr>
  </w:style>
  <w:style w:type="paragraph" w:styleId="Revision">
    <w:name w:val="Revision"/>
    <w:hidden/>
    <w:uiPriority w:val="99"/>
    <w:semiHidden/>
    <w:rsid w:val="00B23DD3"/>
    <w:rPr>
      <w:sz w:val="24"/>
      <w:lang w:eastAsia="en-US"/>
    </w:rPr>
  </w:style>
  <w:style w:type="paragraph" w:customStyle="1" w:styleId="CS-Paragraphnumbering">
    <w:name w:val="CS - Paragraph numbering"/>
    <w:basedOn w:val="Normal"/>
    <w:rsid w:val="005327C6"/>
    <w:pPr>
      <w:numPr>
        <w:numId w:val="10"/>
      </w:numPr>
      <w:spacing w:before="100" w:after="120" w:line="280" w:lineRule="exact"/>
      <w:ind w:right="-45"/>
    </w:pPr>
    <w:rPr>
      <w:rFonts w:asciiTheme="minorHAnsi" w:eastAsiaTheme="minorHAnsi" w:hAnsiTheme="minorHAnsi" w:cstheme="minorBidi"/>
      <w:szCs w:val="24"/>
    </w:rPr>
  </w:style>
  <w:style w:type="paragraph" w:styleId="ListParagraph">
    <w:name w:val="List Paragraph"/>
    <w:aliases w:val="List Paragraph1,Recommendation,List Paragraph11,List Paragraph111,L,F5 List Paragraph,Dot pt,CV text,Table text,Medium Grid 1 - Accent 21,Numbered Paragraph,List Paragraph2,NFP GP Bulleted List,FooterText,numbered,Paragraphe de liste1,列出段"/>
    <w:basedOn w:val="Normal"/>
    <w:link w:val="ListParagraphChar"/>
    <w:uiPriority w:val="34"/>
    <w:qFormat/>
    <w:rsid w:val="005327C6"/>
    <w:pPr>
      <w:widowControl w:val="0"/>
      <w:spacing w:before="120" w:after="120"/>
      <w:ind w:left="720"/>
    </w:pPr>
    <w:rPr>
      <w:rFonts w:ascii="Calibri" w:hAnsi="Calibri"/>
      <w:iCs/>
      <w:szCs w:val="24"/>
      <w:lang w:val="en-US"/>
    </w:rPr>
  </w:style>
  <w:style w:type="character" w:customStyle="1" w:styleId="ListParagraphChar">
    <w:name w:val="List Paragraph Char"/>
    <w:aliases w:val="List Paragraph1 Char,Recommendation Char,List Paragraph11 Char,List Paragraph111 Char,L Char,F5 List Paragraph Char,Dot pt Char,CV text Char,Table text Char,Medium Grid 1 - Accent 21 Char,Numbered Paragraph Char,List Paragraph2 Char"/>
    <w:link w:val="ListParagraph"/>
    <w:uiPriority w:val="34"/>
    <w:locked/>
    <w:rsid w:val="005327C6"/>
    <w:rPr>
      <w:rFonts w:ascii="Calibri" w:hAnsi="Calibri"/>
      <w:iCs/>
      <w:sz w:val="24"/>
      <w:szCs w:val="24"/>
      <w:lang w:val="en-US" w:eastAsia="en-US"/>
    </w:rPr>
  </w:style>
  <w:style w:type="character" w:customStyle="1" w:styleId="FooterChar">
    <w:name w:val="Footer Char"/>
    <w:basedOn w:val="DefaultParagraphFont"/>
    <w:link w:val="Footer"/>
    <w:uiPriority w:val="99"/>
    <w:rsid w:val="0006773B"/>
    <w:rPr>
      <w:rFonts w:ascii="Arial"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4FEB93B0D38B3BDFE05400144FFB2061" version="1.0.0">
  <systemFields>
    <field name="Objective-Id">
      <value order="0">A40844781</value>
    </field>
    <field name="Objective-Title">
      <value order="0">Attachment B - Environmental Flow Guidelines 2026 - Explanatory Statement</value>
    </field>
    <field name="Objective-Description">
      <value order="0"/>
    </field>
    <field name="Objective-CreationStamp">
      <value order="0">2023-02-16T22:27:30Z</value>
    </field>
    <field name="Objective-IsApproved">
      <value order="0">false</value>
    </field>
    <field name="Objective-IsPublished">
      <value order="0">true</value>
    </field>
    <field name="Objective-DatePublished">
      <value order="0">2026-01-26T22:11:00Z</value>
    </field>
    <field name="Objective-ModificationStamp">
      <value order="0">2026-01-26T22:11:00Z</value>
    </field>
    <field name="Objective-Owner">
      <value order="0">Nigel Dears</value>
    </field>
    <field name="Objective-Path">
      <value order="0">Whole of ACT Government:EPSDD - Environment Planning and Sustainable Development Directorate:07. Ministerial, Cabinet and Government Relations:06. Ministerials:2026 - Ministerial Briefs and Correspondence:Climate Change, Energy &amp; Water:26/0007381 Ministerial-Information Brief - Orr - Environmental Flow Guidelines 2026</value>
    </field>
    <field name="Objective-Parent">
      <value order="0">26/0007381 Ministerial-Information Brief - Orr - Environmental Flow Guidelines 2026</value>
    </field>
    <field name="Objective-State">
      <value order="0">Published</value>
    </field>
    <field name="Objective-VersionId">
      <value order="0">vA75969612</value>
    </field>
    <field name="Objective-Version">
      <value order="0">14.0</value>
    </field>
    <field name="Objective-VersionNumber">
      <value order="0">20</value>
    </field>
    <field name="Objective-VersionComment">
      <value order="0"/>
    </field>
    <field name="Objective-FileNumber">
      <value order="0">1-2026/0007381</value>
    </field>
    <field name="Objective-Classification">
      <value order="0"/>
    </field>
    <field name="Objective-Caveats">
      <value order="0"/>
    </field>
  </systemFields>
  <catalogues>
    <catalogue name="Document Type Catalogue" type="type" ori="id:cA11">
      <field name="Objective-Owner Agency">
        <value order="0">EPSDD</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field name="Objective-Status">
        <value order="0"/>
      </field>
      <field name="Objective-S28 Exemption Number">
        <value order="0"/>
      </field>
      <field name="Objective-S28 Exemption">
        <value order="0"/>
      </field>
      <field name="Objective-S28 Exemption Reason">
        <value order="0"/>
      </field>
      <field name="Objective-S28 Comments if partial exemption">
        <value order="0"/>
      </field>
      <field name="Objective-S28 Date Approved">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519</Words>
  <Characters>3024</Characters>
  <Application>Microsoft Office Word</Application>
  <DocSecurity>0</DocSecurity>
  <Lines>71</Lines>
  <Paragraphs>25</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3525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PCODCS</cp:lastModifiedBy>
  <cp:revision>4</cp:revision>
  <cp:lastPrinted>2006-03-31T04:28:00Z</cp:lastPrinted>
  <dcterms:created xsi:type="dcterms:W3CDTF">2026-02-08T22:37:00Z</dcterms:created>
  <dcterms:modified xsi:type="dcterms:W3CDTF">2026-02-08T22:37:00Z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2025-11-04T23:43:41Z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974cf5f5-2a89-4327-9200-0d62b883b5d2</vt:lpwstr>
  </property>
  <property fmtid="{D5CDD505-2E9C-101B-9397-08002B2CF9AE}" pid="8" name="MSIP_Label_69af8531-eb46-4968-8cb3-105d2f5ea87e_ContentBits">
    <vt:lpwstr>0</vt:lpwstr>
  </property>
  <property fmtid="{D5CDD505-2E9C-101B-9397-08002B2CF9AE}" pid="9" name="MSIP_Label_69af8531-eb46-4968-8cb3-105d2f5ea87e_Tag">
    <vt:lpwstr>10, 3, 0, 1</vt:lpwstr>
  </property>
  <property fmtid="{D5CDD505-2E9C-101B-9397-08002B2CF9AE}" pid="10" name="Objective-Comment">
    <vt:lpwstr/>
  </property>
  <property fmtid="{D5CDD505-2E9C-101B-9397-08002B2CF9AE}" pid="11" name="Customer-Id">
    <vt:lpwstr>4FEB93B0D38B3BDFE05400144FFB2061</vt:lpwstr>
  </property>
  <property fmtid="{D5CDD505-2E9C-101B-9397-08002B2CF9AE}" pid="12" name="Objective-Id">
    <vt:lpwstr>A40844781</vt:lpwstr>
  </property>
  <property fmtid="{D5CDD505-2E9C-101B-9397-08002B2CF9AE}" pid="13" name="Objective-Title">
    <vt:lpwstr>Attachment B - Environmental Flow Guidelines 2026 - Explanatory Statement</vt:lpwstr>
  </property>
  <property fmtid="{D5CDD505-2E9C-101B-9397-08002B2CF9AE}" pid="14" name="Objective-Description">
    <vt:lpwstr/>
  </property>
  <property fmtid="{D5CDD505-2E9C-101B-9397-08002B2CF9AE}" pid="15" name="Objective-CreationStamp">
    <vt:filetime>2023-02-16T22:27:30Z</vt:filetime>
  </property>
  <property fmtid="{D5CDD505-2E9C-101B-9397-08002B2CF9AE}" pid="16" name="Objective-IsApproved">
    <vt:bool>false</vt:bool>
  </property>
  <property fmtid="{D5CDD505-2E9C-101B-9397-08002B2CF9AE}" pid="17" name="Objective-IsPublished">
    <vt:bool>true</vt:bool>
  </property>
  <property fmtid="{D5CDD505-2E9C-101B-9397-08002B2CF9AE}" pid="18" name="Objective-DatePublished">
    <vt:filetime>2026-01-26T22:11:00Z</vt:filetime>
  </property>
  <property fmtid="{D5CDD505-2E9C-101B-9397-08002B2CF9AE}" pid="19" name="Objective-ModificationStamp">
    <vt:filetime>2026-01-26T22:11:00Z</vt:filetime>
  </property>
  <property fmtid="{D5CDD505-2E9C-101B-9397-08002B2CF9AE}" pid="20" name="Objective-Owner">
    <vt:lpwstr>Nigel Dears</vt:lpwstr>
  </property>
  <property fmtid="{D5CDD505-2E9C-101B-9397-08002B2CF9AE}" pid="21" name="Objective-Path">
    <vt:lpwstr>Whole of ACT Government:EPSDD - Environment Planning and Sustainable Development Directorate:07. Ministerial, Cabinet and Government Relations:06. Ministerials:2026 - Ministerial Briefs and Correspondence:Climate Change, Energy &amp; Water:26/0007381 Ministerial-Information Brief - Orr - Environmental Flow Guidelines 2026:</vt:lpwstr>
  </property>
  <property fmtid="{D5CDD505-2E9C-101B-9397-08002B2CF9AE}" pid="22" name="Objective-Parent">
    <vt:lpwstr>26/0007381 Ministerial-Information Brief - Orr - Environmental Flow Guidelines 2026</vt:lpwstr>
  </property>
  <property fmtid="{D5CDD505-2E9C-101B-9397-08002B2CF9AE}" pid="23" name="Objective-State">
    <vt:lpwstr>Published</vt:lpwstr>
  </property>
  <property fmtid="{D5CDD505-2E9C-101B-9397-08002B2CF9AE}" pid="24" name="Objective-VersionId">
    <vt:lpwstr>vA75969612</vt:lpwstr>
  </property>
  <property fmtid="{D5CDD505-2E9C-101B-9397-08002B2CF9AE}" pid="25" name="Objective-Version">
    <vt:lpwstr>14.0</vt:lpwstr>
  </property>
  <property fmtid="{D5CDD505-2E9C-101B-9397-08002B2CF9AE}" pid="26" name="Objective-VersionNumber">
    <vt:r8>20</vt:r8>
  </property>
  <property fmtid="{D5CDD505-2E9C-101B-9397-08002B2CF9AE}" pid="27" name="Objective-VersionComment">
    <vt:lpwstr/>
  </property>
  <property fmtid="{D5CDD505-2E9C-101B-9397-08002B2CF9AE}" pid="28" name="Objective-FileNumber">
    <vt:lpwstr>1-2026/0007381</vt:lpwstr>
  </property>
  <property fmtid="{D5CDD505-2E9C-101B-9397-08002B2CF9AE}" pid="29" name="Objective-Classification">
    <vt:lpwstr>[Inherited - none]</vt:lpwstr>
  </property>
  <property fmtid="{D5CDD505-2E9C-101B-9397-08002B2CF9AE}" pid="30" name="Objective-Caveats">
    <vt:lpwstr/>
  </property>
  <property fmtid="{D5CDD505-2E9C-101B-9397-08002B2CF9AE}" pid="31" name="Objective-Owner Agency">
    <vt:lpwstr>EPSDD</vt:lpwstr>
  </property>
  <property fmtid="{D5CDD505-2E9C-101B-9397-08002B2CF9AE}" pid="32" name="Objective-Document Type">
    <vt:lpwstr>0-Document</vt:lpwstr>
  </property>
  <property fmtid="{D5CDD505-2E9C-101B-9397-08002B2CF9AE}" pid="33" name="Objective-Language">
    <vt:lpwstr>English (en)</vt:lpwstr>
  </property>
  <property fmtid="{D5CDD505-2E9C-101B-9397-08002B2CF9AE}" pid="34" name="Objective-Jurisdiction">
    <vt:lpwstr>ACT</vt:lpwstr>
  </property>
  <property fmtid="{D5CDD505-2E9C-101B-9397-08002B2CF9AE}" pid="35" name="Objective-Customers">
    <vt:lpwstr/>
  </property>
  <property fmtid="{D5CDD505-2E9C-101B-9397-08002B2CF9AE}" pid="36" name="Objective-Places">
    <vt:lpwstr/>
  </property>
  <property fmtid="{D5CDD505-2E9C-101B-9397-08002B2CF9AE}" pid="37" name="Objective-Transaction Reference">
    <vt:lpwstr/>
  </property>
  <property fmtid="{D5CDD505-2E9C-101B-9397-08002B2CF9AE}" pid="38" name="Objective-Document Created By">
    <vt:lpwstr/>
  </property>
  <property fmtid="{D5CDD505-2E9C-101B-9397-08002B2CF9AE}" pid="39" name="Objective-Document Created On">
    <vt:lpwstr/>
  </property>
  <property fmtid="{D5CDD505-2E9C-101B-9397-08002B2CF9AE}" pid="40" name="Objective-Covers Period From">
    <vt:lpwstr/>
  </property>
  <property fmtid="{D5CDD505-2E9C-101B-9397-08002B2CF9AE}" pid="41" name="Objective-Covers Period To">
    <vt:lpwstr/>
  </property>
  <property fmtid="{D5CDD505-2E9C-101B-9397-08002B2CF9AE}" pid="42" name="Objective-Status">
    <vt:lpwstr/>
  </property>
  <property fmtid="{D5CDD505-2E9C-101B-9397-08002B2CF9AE}" pid="43" name="Objective-S28 Exemption Number">
    <vt:lpwstr/>
  </property>
  <property fmtid="{D5CDD505-2E9C-101B-9397-08002B2CF9AE}" pid="44" name="Objective-S28 Exemption">
    <vt:lpwstr/>
  </property>
  <property fmtid="{D5CDD505-2E9C-101B-9397-08002B2CF9AE}" pid="45" name="Objective-S28 Exemption Reason">
    <vt:lpwstr/>
  </property>
  <property fmtid="{D5CDD505-2E9C-101B-9397-08002B2CF9AE}" pid="46" name="Objective-S28 Comments if partial exemption">
    <vt:lpwstr/>
  </property>
  <property fmtid="{D5CDD505-2E9C-101B-9397-08002B2CF9AE}" pid="47" name="Objective-S28 Date Approved">
    <vt:lpwstr/>
  </property>
</Properties>
</file>