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4CFC" w14:textId="77777777" w:rsidR="007A2A8B" w:rsidRDefault="007A2A8B" w:rsidP="0072165A">
      <w:pPr>
        <w:pStyle w:val="Header"/>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33C13E2F" w14:textId="4598BA74" w:rsidR="00884A32" w:rsidRDefault="00884A32" w:rsidP="00884A32">
      <w:pPr>
        <w:pStyle w:val="Billname"/>
        <w:spacing w:before="700"/>
      </w:pPr>
      <w:r>
        <w:t>Building (ACT Appendix to the</w:t>
      </w:r>
      <w:r w:rsidR="0048344C">
        <w:t xml:space="preserve"> </w:t>
      </w:r>
      <w:r>
        <w:t>Building Code)</w:t>
      </w:r>
      <w:r w:rsidR="00B6038F">
        <w:t xml:space="preserve"> </w:t>
      </w:r>
      <w:r>
        <w:t xml:space="preserve">Determination </w:t>
      </w:r>
      <w:r w:rsidR="00360A00">
        <w:t>2026</w:t>
      </w:r>
    </w:p>
    <w:p w14:paraId="177B545D" w14:textId="27163D73" w:rsidR="007A2A8B" w:rsidRDefault="008F4F49" w:rsidP="0072165A">
      <w:pPr>
        <w:spacing w:before="340"/>
        <w:outlineLvl w:val="0"/>
        <w:rPr>
          <w:rFonts w:ascii="Arial" w:hAnsi="Arial" w:cs="Arial"/>
          <w:b/>
          <w:bCs/>
          <w:vertAlign w:val="superscript"/>
        </w:rPr>
      </w:pPr>
      <w:r>
        <w:rPr>
          <w:rFonts w:ascii="Arial" w:hAnsi="Arial" w:cs="Arial"/>
          <w:b/>
          <w:bCs/>
        </w:rPr>
        <w:t xml:space="preserve">Disallowable </w:t>
      </w:r>
      <w:r w:rsidR="0038751C">
        <w:rPr>
          <w:rFonts w:ascii="Arial" w:hAnsi="Arial" w:cs="Arial"/>
          <w:b/>
          <w:bCs/>
        </w:rPr>
        <w:t>i</w:t>
      </w:r>
      <w:r>
        <w:rPr>
          <w:rFonts w:ascii="Arial" w:hAnsi="Arial" w:cs="Arial"/>
          <w:b/>
          <w:bCs/>
        </w:rPr>
        <w:t xml:space="preserve">nstrument </w:t>
      </w:r>
      <w:bookmarkStart w:id="0" w:name="_Hlk133235645"/>
      <w:r>
        <w:rPr>
          <w:rFonts w:ascii="Arial" w:hAnsi="Arial" w:cs="Arial"/>
          <w:b/>
          <w:bCs/>
        </w:rPr>
        <w:t>DI20</w:t>
      </w:r>
      <w:r w:rsidR="00DD3C85">
        <w:rPr>
          <w:rFonts w:ascii="Arial" w:hAnsi="Arial" w:cs="Arial"/>
          <w:b/>
          <w:bCs/>
        </w:rPr>
        <w:t>2</w:t>
      </w:r>
      <w:r w:rsidR="00360A00">
        <w:rPr>
          <w:rFonts w:ascii="Arial" w:hAnsi="Arial" w:cs="Arial"/>
          <w:b/>
          <w:bCs/>
        </w:rPr>
        <w:t>6</w:t>
      </w:r>
      <w:bookmarkEnd w:id="0"/>
      <w:r w:rsidR="00532F9A">
        <w:rPr>
          <w:rFonts w:ascii="Arial" w:hAnsi="Arial" w:cs="Arial"/>
          <w:b/>
          <w:bCs/>
        </w:rPr>
        <w:t>–</w:t>
      </w:r>
      <w:r w:rsidR="00FF6F88">
        <w:rPr>
          <w:rFonts w:ascii="Arial" w:hAnsi="Arial" w:cs="Arial"/>
          <w:b/>
          <w:bCs/>
        </w:rPr>
        <w:t>42</w:t>
      </w:r>
    </w:p>
    <w:p w14:paraId="71602B9B" w14:textId="77777777" w:rsidR="007A2A8B" w:rsidRDefault="007A2A8B" w:rsidP="0072165A">
      <w:pPr>
        <w:pStyle w:val="madeunder"/>
        <w:spacing w:before="300" w:after="0"/>
      </w:pPr>
      <w:r>
        <w:t>made under the</w:t>
      </w:r>
    </w:p>
    <w:p w14:paraId="1175BF84" w14:textId="77777777" w:rsidR="00D868EC" w:rsidRDefault="00B6038F" w:rsidP="0038751C">
      <w:pPr>
        <w:pStyle w:val="CoverActName"/>
        <w:spacing w:before="320" w:after="0"/>
        <w:jc w:val="left"/>
        <w:rPr>
          <w:sz w:val="20"/>
          <w:szCs w:val="20"/>
        </w:rPr>
      </w:pPr>
      <w:r>
        <w:rPr>
          <w:sz w:val="20"/>
          <w:szCs w:val="20"/>
        </w:rPr>
        <w:t>Building Act</w:t>
      </w:r>
      <w:r w:rsidR="000D2583">
        <w:rPr>
          <w:sz w:val="20"/>
          <w:szCs w:val="20"/>
        </w:rPr>
        <w:t xml:space="preserve"> 2004</w:t>
      </w:r>
      <w:r>
        <w:rPr>
          <w:sz w:val="20"/>
          <w:szCs w:val="20"/>
        </w:rPr>
        <w:t xml:space="preserve">, </w:t>
      </w:r>
      <w:r w:rsidR="009E5A23">
        <w:rPr>
          <w:sz w:val="20"/>
          <w:szCs w:val="20"/>
        </w:rPr>
        <w:t xml:space="preserve">s </w:t>
      </w:r>
      <w:r>
        <w:rPr>
          <w:sz w:val="20"/>
          <w:szCs w:val="20"/>
        </w:rPr>
        <w:t>136</w:t>
      </w:r>
      <w:r w:rsidR="00884A32">
        <w:rPr>
          <w:sz w:val="20"/>
          <w:szCs w:val="20"/>
        </w:rPr>
        <w:t xml:space="preserve"> (Building code</w:t>
      </w:r>
      <w:r w:rsidR="00D868EC" w:rsidRPr="00D868EC">
        <w:rPr>
          <w:sz w:val="20"/>
          <w:szCs w:val="20"/>
        </w:rPr>
        <w:t>)</w:t>
      </w:r>
    </w:p>
    <w:p w14:paraId="6D40D523" w14:textId="77777777" w:rsidR="007A2A8B" w:rsidRDefault="007A2A8B" w:rsidP="0038751C">
      <w:pPr>
        <w:pStyle w:val="CoverActName"/>
        <w:spacing w:before="360" w:after="0"/>
        <w:rPr>
          <w:b w:val="0"/>
          <w:bCs w:val="0"/>
          <w:sz w:val="28"/>
          <w:szCs w:val="28"/>
        </w:rPr>
      </w:pPr>
      <w:r>
        <w:rPr>
          <w:sz w:val="28"/>
          <w:szCs w:val="28"/>
        </w:rPr>
        <w:t>EXPLANATORY STATEMENT</w:t>
      </w:r>
    </w:p>
    <w:p w14:paraId="6B3D83AB" w14:textId="77777777" w:rsidR="007A2A8B" w:rsidRPr="0072165A" w:rsidRDefault="007A2A8B">
      <w:pPr>
        <w:pStyle w:val="Header"/>
        <w:pBdr>
          <w:bottom w:val="single" w:sz="12" w:space="1" w:color="auto"/>
        </w:pBdr>
        <w:tabs>
          <w:tab w:val="clear" w:pos="4153"/>
          <w:tab w:val="clear" w:pos="8306"/>
        </w:tabs>
        <w:rPr>
          <w:rFonts w:ascii="Arial" w:hAnsi="Arial" w:cs="Arial"/>
          <w:bCs/>
        </w:rPr>
      </w:pPr>
    </w:p>
    <w:p w14:paraId="31F11CF3" w14:textId="77777777" w:rsidR="007A2A8B" w:rsidRPr="0072165A" w:rsidRDefault="007A2A8B">
      <w:pPr>
        <w:pStyle w:val="Header"/>
        <w:tabs>
          <w:tab w:val="clear" w:pos="4153"/>
          <w:tab w:val="clear" w:pos="8306"/>
        </w:tabs>
        <w:rPr>
          <w:bCs/>
        </w:rPr>
      </w:pPr>
    </w:p>
    <w:p w14:paraId="09F06A6D" w14:textId="77777777" w:rsidR="00036F02" w:rsidRDefault="00CE1CAB" w:rsidP="00036F02">
      <w:pPr>
        <w:spacing w:after="160" w:line="259" w:lineRule="auto"/>
        <w:rPr>
          <w:b/>
        </w:rPr>
      </w:pPr>
      <w:r w:rsidRPr="004E2275">
        <w:rPr>
          <w:b/>
        </w:rPr>
        <w:t>Overview</w:t>
      </w:r>
    </w:p>
    <w:p w14:paraId="06843366" w14:textId="7F0F143E" w:rsidR="00CC6BF7" w:rsidRDefault="00CC6BF7" w:rsidP="00E82DC6">
      <w:pPr>
        <w:ind w:right="-356"/>
      </w:pPr>
      <w:r>
        <w:t xml:space="preserve">This explanatory statement relates to the </w:t>
      </w:r>
      <w:r w:rsidRPr="00E82DC6">
        <w:rPr>
          <w:i/>
          <w:iCs/>
        </w:rPr>
        <w:t>Building (ACT Appendix to the Building Code) Determination 2026</w:t>
      </w:r>
      <w:r>
        <w:t xml:space="preserve"> </w:t>
      </w:r>
      <w:r w:rsidRPr="00CC6BF7">
        <w:t xml:space="preserve">(the </w:t>
      </w:r>
      <w:r w:rsidRPr="00E82DC6">
        <w:rPr>
          <w:b/>
          <w:bCs/>
          <w:i/>
          <w:iCs/>
        </w:rPr>
        <w:t>instrument</w:t>
      </w:r>
      <w:r w:rsidRPr="00CC6BF7">
        <w:t xml:space="preserve">) as presented to the Legislative Assembly (the </w:t>
      </w:r>
      <w:r w:rsidRPr="00E82DC6">
        <w:rPr>
          <w:b/>
          <w:bCs/>
          <w:i/>
          <w:iCs/>
        </w:rPr>
        <w:t>Assembly</w:t>
      </w:r>
      <w:r w:rsidRPr="00CC6BF7">
        <w:t>). It has been prepared to assist the reader of the instrument. It does not form part of the instrument and has not been endorsed by the Assembly. The Statement must be read in conjunction with the instrument. It is not, and is not meant to be, a comprehensive description of the instrument.</w:t>
      </w:r>
    </w:p>
    <w:p w14:paraId="1AF3173B" w14:textId="77777777" w:rsidR="00CC6BF7" w:rsidRPr="00CC6BF7" w:rsidRDefault="00CC6BF7" w:rsidP="00E82DC6">
      <w:pPr>
        <w:ind w:right="-356"/>
      </w:pPr>
    </w:p>
    <w:p w14:paraId="672F8A66" w14:textId="1FFDB058" w:rsidR="00036F02" w:rsidRPr="00036F02" w:rsidRDefault="00036F02" w:rsidP="00036F02">
      <w:pPr>
        <w:ind w:right="-356"/>
        <w:jc w:val="both"/>
      </w:pPr>
      <w:r w:rsidRPr="00036F02">
        <w:t xml:space="preserve">This instrument is made under section 136 of the </w:t>
      </w:r>
      <w:r w:rsidRPr="00036F02">
        <w:rPr>
          <w:i/>
          <w:iCs/>
        </w:rPr>
        <w:t>Building Act 2004</w:t>
      </w:r>
      <w:r>
        <w:t xml:space="preserve"> (the </w:t>
      </w:r>
      <w:r w:rsidRPr="0055663E">
        <w:rPr>
          <w:b/>
          <w:bCs/>
          <w:i/>
          <w:iCs/>
        </w:rPr>
        <w:t>Act</w:t>
      </w:r>
      <w:r>
        <w:t>).</w:t>
      </w:r>
    </w:p>
    <w:p w14:paraId="25DD4ABD" w14:textId="77777777" w:rsidR="00036F02" w:rsidRDefault="00036F02" w:rsidP="00366411">
      <w:pPr>
        <w:ind w:right="-356"/>
        <w:jc w:val="both"/>
      </w:pPr>
    </w:p>
    <w:p w14:paraId="35890CC7" w14:textId="34554891" w:rsidR="00036F02" w:rsidRDefault="00036F02" w:rsidP="00414DB9">
      <w:pPr>
        <w:ind w:right="-356"/>
      </w:pPr>
      <w:r>
        <w:t xml:space="preserve">The Building Code of Australia </w:t>
      </w:r>
      <w:r w:rsidR="00816CE0">
        <w:t>(</w:t>
      </w:r>
      <w:r w:rsidR="00CF6178">
        <w:t xml:space="preserve">the </w:t>
      </w:r>
      <w:r w:rsidR="00816CE0" w:rsidRPr="0055663E">
        <w:rPr>
          <w:b/>
          <w:bCs/>
          <w:i/>
          <w:iCs/>
        </w:rPr>
        <w:t>BCA</w:t>
      </w:r>
      <w:r w:rsidR="00816CE0">
        <w:t xml:space="preserve">) </w:t>
      </w:r>
      <w:r>
        <w:t>is developed and published by the Australian Building Codes Board (</w:t>
      </w:r>
      <w:r w:rsidR="00CF6178">
        <w:t xml:space="preserve">the </w:t>
      </w:r>
      <w:r w:rsidRPr="0055663E">
        <w:rPr>
          <w:b/>
          <w:bCs/>
          <w:i/>
          <w:iCs/>
        </w:rPr>
        <w:t>ABCB</w:t>
      </w:r>
      <w:r>
        <w:t xml:space="preserve">). The ACT is represented on the ABCB along with representatives from all States, the Northern Territory, the </w:t>
      </w:r>
      <w:r w:rsidR="006D70B4">
        <w:t xml:space="preserve">Australian </w:t>
      </w:r>
      <w:r>
        <w:t>Government and the building industry.</w:t>
      </w:r>
    </w:p>
    <w:p w14:paraId="65BBF925" w14:textId="77777777" w:rsidR="00036F02" w:rsidRDefault="00036F02" w:rsidP="00366411">
      <w:pPr>
        <w:ind w:right="-356"/>
        <w:jc w:val="both"/>
      </w:pPr>
    </w:p>
    <w:p w14:paraId="7751EBE3" w14:textId="2AD63BA9" w:rsidR="00B6038F" w:rsidRDefault="008E65D7" w:rsidP="00414DB9">
      <w:pPr>
        <w:ind w:right="-356"/>
      </w:pPr>
      <w:r>
        <w:t>Section 136 of t</w:t>
      </w:r>
      <w:r w:rsidR="00036F02">
        <w:t>he Act</w:t>
      </w:r>
      <w:r>
        <w:t xml:space="preserve"> </w:t>
      </w:r>
      <w:r w:rsidR="00B6038F">
        <w:t xml:space="preserve">adopts </w:t>
      </w:r>
      <w:r w:rsidR="00884A32">
        <w:t xml:space="preserve">the </w:t>
      </w:r>
      <w:r w:rsidR="00B6038F">
        <w:t>BCA</w:t>
      </w:r>
      <w:r>
        <w:t>,</w:t>
      </w:r>
      <w:r w:rsidR="00B6038F">
        <w:t xml:space="preserve"> including any </w:t>
      </w:r>
      <w:r w:rsidR="00884A32">
        <w:t>ACT</w:t>
      </w:r>
      <w:r w:rsidR="00B6038F">
        <w:t>-specific</w:t>
      </w:r>
      <w:r w:rsidR="00884A32">
        <w:t xml:space="preserve"> requirements as published in the appendices of volume</w:t>
      </w:r>
      <w:r w:rsidR="002F7093">
        <w:t>s</w:t>
      </w:r>
      <w:r w:rsidR="00884A32">
        <w:t xml:space="preserve"> one and two of the BCA</w:t>
      </w:r>
      <w:r w:rsidR="00B6038F">
        <w:t xml:space="preserve"> as part of the building code</w:t>
      </w:r>
      <w:r>
        <w:t>,</w:t>
      </w:r>
      <w:r w:rsidR="00B6038F">
        <w:t xml:space="preserve"> for the purposes of the Act</w:t>
      </w:r>
      <w:r w:rsidR="00884A32">
        <w:t>.</w:t>
      </w:r>
    </w:p>
    <w:p w14:paraId="1CD34F70" w14:textId="77777777" w:rsidR="00B6038F" w:rsidRDefault="00B6038F" w:rsidP="00884A32">
      <w:pPr>
        <w:ind w:right="-356"/>
        <w:jc w:val="both"/>
      </w:pPr>
    </w:p>
    <w:p w14:paraId="719B4BC8" w14:textId="065C8613" w:rsidR="00B6038F" w:rsidRDefault="00B6038F" w:rsidP="00414DB9">
      <w:pPr>
        <w:ind w:right="-356"/>
      </w:pPr>
      <w:r>
        <w:t xml:space="preserve">Section 136 (3) of the Act </w:t>
      </w:r>
      <w:r w:rsidR="00036F02">
        <w:t>entitles</w:t>
      </w:r>
      <w:r>
        <w:t xml:space="preserve"> the Minister to make </w:t>
      </w:r>
      <w:r w:rsidR="009F74FD">
        <w:t xml:space="preserve">an </w:t>
      </w:r>
      <w:r>
        <w:t xml:space="preserve">ACT </w:t>
      </w:r>
      <w:r w:rsidR="007E564F">
        <w:t>A</w:t>
      </w:r>
      <w:r>
        <w:t>ppendi</w:t>
      </w:r>
      <w:r w:rsidR="009F74FD">
        <w:t>x</w:t>
      </w:r>
      <w:r>
        <w:t xml:space="preserve"> to the </w:t>
      </w:r>
      <w:r w:rsidR="00816CE0">
        <w:t>BCA</w:t>
      </w:r>
      <w:r>
        <w:t xml:space="preserve"> to provide a mechanism for the ACT to amend the BCA from time to time, including to amend the date an</w:t>
      </w:r>
      <w:r w:rsidR="003D109B">
        <w:t>d</w:t>
      </w:r>
      <w:r>
        <w:t xml:space="preserve"> edition of the BCA, or a provision of the BCA</w:t>
      </w:r>
      <w:r w:rsidR="003D109B">
        <w:t>.</w:t>
      </w:r>
      <w:r>
        <w:t xml:space="preserve"> </w:t>
      </w:r>
    </w:p>
    <w:p w14:paraId="744D6BDF" w14:textId="59303AC7" w:rsidR="002A0D3D" w:rsidRDefault="002A0D3D" w:rsidP="00414DB9">
      <w:pPr>
        <w:ind w:right="-356"/>
      </w:pPr>
    </w:p>
    <w:p w14:paraId="29E69916" w14:textId="3B4DDE87" w:rsidR="00EB3429" w:rsidRDefault="00884A32" w:rsidP="00414DB9">
      <w:pPr>
        <w:ind w:right="-356"/>
      </w:pPr>
      <w:r>
        <w:t xml:space="preserve">The </w:t>
      </w:r>
      <w:r w:rsidR="00B6038F">
        <w:t xml:space="preserve">BCA </w:t>
      </w:r>
      <w:r>
        <w:t xml:space="preserve">is divided into </w:t>
      </w:r>
      <w:r w:rsidR="003C1874">
        <w:t>two</w:t>
      </w:r>
      <w:r>
        <w:t xml:space="preserve"> volumes. Volume 1 deals with </w:t>
      </w:r>
      <w:r w:rsidR="00EB3429">
        <w:t xml:space="preserve">all </w:t>
      </w:r>
      <w:r>
        <w:t>class 2 to class 9 buildings,</w:t>
      </w:r>
      <w:r w:rsidR="00EB3429">
        <w:t xml:space="preserve"> </w:t>
      </w:r>
      <w:r w:rsidR="00EB3429" w:rsidRPr="00EB3429">
        <w:t xml:space="preserve">access requirements for people with a disability in </w:t>
      </w:r>
      <w:r w:rsidR="00DF5BEA">
        <w:t>c</w:t>
      </w:r>
      <w:r w:rsidR="00EB3429" w:rsidRPr="00EB3429">
        <w:t xml:space="preserve">lass 1b and 10a buildings and certain </w:t>
      </w:r>
      <w:r w:rsidR="00DF5BEA">
        <w:t>c</w:t>
      </w:r>
      <w:r w:rsidR="00EB3429" w:rsidRPr="00EB3429">
        <w:t xml:space="preserve">lass 10b structures including access requirements for people with a disability in </w:t>
      </w:r>
      <w:r w:rsidR="00DF5BEA">
        <w:t>c</w:t>
      </w:r>
      <w:r w:rsidR="00EB3429" w:rsidRPr="00EB3429">
        <w:t>lass 10b</w:t>
      </w:r>
      <w:r w:rsidR="00EB3429">
        <w:t xml:space="preserve"> </w:t>
      </w:r>
      <w:r w:rsidR="00EB3429" w:rsidRPr="00EB3429">
        <w:t>swimming pools</w:t>
      </w:r>
      <w:r w:rsidR="00EB3429">
        <w:t xml:space="preserve">. Class 2 to class 9 buildings as classified under the </w:t>
      </w:r>
      <w:r w:rsidR="00CE1CAB">
        <w:t xml:space="preserve">BCA </w:t>
      </w:r>
      <w:r w:rsidR="00EB3429">
        <w:t>include apartments, commercial residential buildings such as motels, and non-residential buildings.</w:t>
      </w:r>
    </w:p>
    <w:p w14:paraId="0E8BA4F5" w14:textId="77777777" w:rsidR="00EB3429" w:rsidRDefault="00EB3429" w:rsidP="00884A32">
      <w:pPr>
        <w:ind w:right="-356"/>
        <w:jc w:val="both"/>
      </w:pPr>
    </w:p>
    <w:p w14:paraId="1E43F4D1" w14:textId="2AE8A3C6" w:rsidR="00884A32" w:rsidRDefault="00884A32" w:rsidP="00414DB9">
      <w:pPr>
        <w:ind w:right="-356"/>
      </w:pPr>
      <w:r>
        <w:lastRenderedPageBreak/>
        <w:t xml:space="preserve">Volume 2 </w:t>
      </w:r>
      <w:r w:rsidR="00CE1CAB">
        <w:t xml:space="preserve">of the BCA </w:t>
      </w:r>
      <w:r>
        <w:t xml:space="preserve">deals with </w:t>
      </w:r>
      <w:r w:rsidR="00DF5BEA">
        <w:t>c</w:t>
      </w:r>
      <w:r w:rsidR="00EB3429" w:rsidRPr="00EB3429">
        <w:t xml:space="preserve">lass 1 and 10a buildings (other than access requirements for people with a disability in </w:t>
      </w:r>
      <w:r w:rsidR="00DF5BEA">
        <w:t>c</w:t>
      </w:r>
      <w:r w:rsidR="00EB3429" w:rsidRPr="00EB3429">
        <w:t xml:space="preserve">lass 1b and 10a buildings), certain </w:t>
      </w:r>
      <w:r w:rsidR="00DF5BEA">
        <w:t>c</w:t>
      </w:r>
      <w:r w:rsidR="00EB3429" w:rsidRPr="00EB3429">
        <w:t xml:space="preserve">lass 10b structures (other than access requirements for people with a disability in </w:t>
      </w:r>
      <w:r w:rsidR="00DF5BEA">
        <w:t>c</w:t>
      </w:r>
      <w:r w:rsidR="00EB3429" w:rsidRPr="00EB3429">
        <w:t xml:space="preserve">lass 10b swimming pools) and </w:t>
      </w:r>
      <w:r w:rsidR="00DF5BEA">
        <w:t>c</w:t>
      </w:r>
      <w:r w:rsidR="00EB3429" w:rsidRPr="00EB3429">
        <w:t xml:space="preserve">lass 10c private bushfire shelters. </w:t>
      </w:r>
      <w:r w:rsidR="00EB3429">
        <w:t>C</w:t>
      </w:r>
      <w:r>
        <w:t>lass 1 and class 10 buildings</w:t>
      </w:r>
      <w:r w:rsidR="00EB3429">
        <w:t xml:space="preserve"> as classified under the </w:t>
      </w:r>
      <w:r w:rsidR="00CE1CAB">
        <w:t xml:space="preserve">BCA </w:t>
      </w:r>
      <w:r>
        <w:t>include standard houses and non-habitable buildings such as garages, sheds, swimming pools and structures. A third volume, the Plumbing Code of Australia, together with BCA volumes 1 and 2</w:t>
      </w:r>
      <w:r w:rsidR="0055663E">
        <w:t>,</w:t>
      </w:r>
      <w:r>
        <w:t xml:space="preserve"> comprise the National Construction Code.</w:t>
      </w:r>
    </w:p>
    <w:p w14:paraId="5EC8E041" w14:textId="77777777" w:rsidR="006D70B4" w:rsidRDefault="006D70B4" w:rsidP="00414DB9">
      <w:pPr>
        <w:ind w:right="-356"/>
      </w:pPr>
    </w:p>
    <w:p w14:paraId="7F61CE8D" w14:textId="6F716F89" w:rsidR="00F674C8" w:rsidRDefault="00366411" w:rsidP="00414DB9">
      <w:pPr>
        <w:ind w:right="-356"/>
      </w:pPr>
      <w:r>
        <w:t xml:space="preserve">The BCA and its ACT </w:t>
      </w:r>
      <w:r w:rsidR="007E564F">
        <w:t>A</w:t>
      </w:r>
      <w:r>
        <w:t>ppendi</w:t>
      </w:r>
      <w:r w:rsidR="00FD7838">
        <w:t>x</w:t>
      </w:r>
      <w:r>
        <w:t xml:space="preserve"> form part of ACT law. The published ACT appendi</w:t>
      </w:r>
      <w:r w:rsidR="00FD7838">
        <w:t>ces</w:t>
      </w:r>
      <w:r>
        <w:t xml:space="preserve"> in Volumes 1 and 2 of the </w:t>
      </w:r>
      <w:r w:rsidR="00EB3429">
        <w:t>2022</w:t>
      </w:r>
      <w:r>
        <w:t xml:space="preserve"> BCA</w:t>
      </w:r>
      <w:r w:rsidR="00FD7838">
        <w:t xml:space="preserve"> (published on the ABCB website)</w:t>
      </w:r>
      <w:r>
        <w:t xml:space="preserve"> do not include specific provisions but instead refer readers to the ACT Legislation Register</w:t>
      </w:r>
      <w:r w:rsidR="00F674C8">
        <w:t>,</w:t>
      </w:r>
      <w:r w:rsidR="00F674C8" w:rsidRPr="00F674C8">
        <w:t xml:space="preserve"> </w:t>
      </w:r>
      <w:r w:rsidR="00F674C8">
        <w:t>where all instruments made under the Act can be found</w:t>
      </w:r>
      <w:r w:rsidR="00FD7838">
        <w:t xml:space="preserve">, including the ACT </w:t>
      </w:r>
      <w:r w:rsidR="007E564F">
        <w:t>A</w:t>
      </w:r>
      <w:r w:rsidR="00FD7838">
        <w:t>ppendix to the BCA</w:t>
      </w:r>
      <w:r w:rsidR="00F674C8">
        <w:t xml:space="preserve">. This is so that there is a single </w:t>
      </w:r>
      <w:r w:rsidR="00FD7838">
        <w:t xml:space="preserve">source </w:t>
      </w:r>
      <w:r w:rsidR="00F674C8">
        <w:t>for</w:t>
      </w:r>
      <w:r w:rsidR="00FD7838">
        <w:t xml:space="preserve"> the</w:t>
      </w:r>
      <w:r w:rsidR="00F674C8">
        <w:t xml:space="preserve"> ACT </w:t>
      </w:r>
      <w:r w:rsidR="007E564F">
        <w:t>A</w:t>
      </w:r>
      <w:r w:rsidR="00F674C8">
        <w:t>ppendi</w:t>
      </w:r>
      <w:r w:rsidR="00FD7838">
        <w:t>x to the BCA</w:t>
      </w:r>
      <w:r w:rsidR="00F674C8">
        <w:t>, and a single version published as current at any one time, which can be amended as required.</w:t>
      </w:r>
    </w:p>
    <w:p w14:paraId="663DE1D8" w14:textId="77777777" w:rsidR="00366411" w:rsidRDefault="00366411" w:rsidP="00884A32">
      <w:pPr>
        <w:ind w:right="-356"/>
        <w:jc w:val="both"/>
      </w:pPr>
    </w:p>
    <w:p w14:paraId="6F0E0796" w14:textId="42315FA1" w:rsidR="00884A32" w:rsidRDefault="00884A32" w:rsidP="00884A32">
      <w:pPr>
        <w:ind w:right="-356"/>
        <w:jc w:val="both"/>
      </w:pPr>
      <w:bookmarkStart w:id="1" w:name="_Hlk134525534"/>
      <w:r>
        <w:t xml:space="preserve">The ACT </w:t>
      </w:r>
      <w:r w:rsidR="007E564F">
        <w:t>A</w:t>
      </w:r>
      <w:r>
        <w:t>ppendi</w:t>
      </w:r>
      <w:r w:rsidR="00FD7838">
        <w:t>x</w:t>
      </w:r>
      <w:r>
        <w:t xml:space="preserve"> only appl</w:t>
      </w:r>
      <w:r w:rsidR="00FD7838">
        <w:t>ies</w:t>
      </w:r>
      <w:r>
        <w:t xml:space="preserve"> to the ACT and Jervis Bay Territory.</w:t>
      </w:r>
    </w:p>
    <w:p w14:paraId="2B825B6B" w14:textId="77777777" w:rsidR="009633BA" w:rsidRDefault="009633BA" w:rsidP="00884A32">
      <w:pPr>
        <w:ind w:right="-356"/>
        <w:jc w:val="both"/>
      </w:pPr>
    </w:p>
    <w:p w14:paraId="18C8028D" w14:textId="69760FE4" w:rsidR="007B1F3D" w:rsidRPr="00E82DC6" w:rsidRDefault="007B1F3D" w:rsidP="00884A32">
      <w:pPr>
        <w:ind w:right="-356"/>
        <w:jc w:val="both"/>
        <w:rPr>
          <w:u w:val="single"/>
        </w:rPr>
      </w:pPr>
      <w:r w:rsidRPr="00E82DC6">
        <w:rPr>
          <w:u w:val="single"/>
        </w:rPr>
        <w:t>Updates</w:t>
      </w:r>
    </w:p>
    <w:p w14:paraId="7EF30350" w14:textId="77777777" w:rsidR="00CC6BF7" w:rsidRDefault="00CC6BF7" w:rsidP="00884A32">
      <w:pPr>
        <w:ind w:right="-356"/>
        <w:jc w:val="both"/>
      </w:pPr>
    </w:p>
    <w:p w14:paraId="729E3658" w14:textId="32562586" w:rsidR="00CC4045" w:rsidRPr="00CC4045" w:rsidRDefault="00CC4045" w:rsidP="00CC4045">
      <w:pPr>
        <w:ind w:right="-356"/>
        <w:jc w:val="both"/>
      </w:pPr>
      <w:r w:rsidRPr="00CC4045">
        <w:t xml:space="preserve">This instrument </w:t>
      </w:r>
      <w:r w:rsidR="00E82DC6">
        <w:t xml:space="preserve">incorporates updates to the </w:t>
      </w:r>
      <w:r w:rsidR="00853218">
        <w:t xml:space="preserve">ACT Part H6 of Schedule 1 </w:t>
      </w:r>
      <w:r w:rsidRPr="00CC4045">
        <w:t>to</w:t>
      </w:r>
      <w:r w:rsidR="008A470A">
        <w:t xml:space="preserve"> </w:t>
      </w:r>
      <w:r w:rsidR="007B1F3D">
        <w:t xml:space="preserve">give effect to </w:t>
      </w:r>
      <w:r w:rsidR="008A470A">
        <w:t xml:space="preserve">the following </w:t>
      </w:r>
      <w:r w:rsidR="00A4276F">
        <w:t>building reforms as part of tranche 1 of the construction productivity agenda</w:t>
      </w:r>
      <w:r w:rsidR="00743603">
        <w:t xml:space="preserve"> which</w:t>
      </w:r>
      <w:r w:rsidR="007E564F">
        <w:t>:</w:t>
      </w:r>
    </w:p>
    <w:p w14:paraId="48C99CA2" w14:textId="018ED1DE" w:rsidR="00A4276F" w:rsidRPr="006F3A51" w:rsidRDefault="00743603" w:rsidP="00A4276F">
      <w:pPr>
        <w:numPr>
          <w:ilvl w:val="0"/>
          <w:numId w:val="19"/>
        </w:numPr>
        <w:spacing w:before="100" w:beforeAutospacing="1" w:after="96"/>
        <w:rPr>
          <w:iCs/>
          <w:lang w:val="en-US"/>
        </w:rPr>
      </w:pPr>
      <w:r>
        <w:rPr>
          <w:iCs/>
          <w:lang w:val="en-US"/>
        </w:rPr>
        <w:t>S</w:t>
      </w:r>
      <w:r w:rsidR="00A4276F" w:rsidRPr="006F3A51">
        <w:rPr>
          <w:iCs/>
          <w:lang w:val="en-US"/>
        </w:rPr>
        <w:t>implif</w:t>
      </w:r>
      <w:r w:rsidR="003071B8">
        <w:rPr>
          <w:iCs/>
          <w:lang w:val="en-US"/>
        </w:rPr>
        <w:t>ies</w:t>
      </w:r>
      <w:r w:rsidR="00A4276F" w:rsidRPr="006F3A51">
        <w:rPr>
          <w:iCs/>
          <w:lang w:val="en-US"/>
        </w:rPr>
        <w:t xml:space="preserve"> energy efficiency upgrade requirements for extensions and renovations</w:t>
      </w:r>
      <w:r w:rsidR="00A4276F">
        <w:rPr>
          <w:iCs/>
          <w:lang w:val="en-US"/>
        </w:rPr>
        <w:t xml:space="preserve"> by </w:t>
      </w:r>
      <w:r w:rsidR="00A4276F">
        <w:t xml:space="preserve">setting a revised </w:t>
      </w:r>
      <w:r w:rsidR="006137B1">
        <w:t xml:space="preserve">energy efficiency star rating for the </w:t>
      </w:r>
      <w:r w:rsidR="00A4276F">
        <w:t>whole</w:t>
      </w:r>
      <w:r w:rsidR="006137B1">
        <w:t xml:space="preserve"> </w:t>
      </w:r>
      <w:r w:rsidR="00A4276F">
        <w:t xml:space="preserve">house </w:t>
      </w:r>
      <w:r w:rsidR="006137B1">
        <w:t>that is</w:t>
      </w:r>
      <w:r w:rsidR="00A4276F">
        <w:t xml:space="preserve"> proportionate to the area being renovated</w:t>
      </w:r>
      <w:r w:rsidR="003071B8">
        <w:t xml:space="preserve">. The </w:t>
      </w:r>
      <w:r w:rsidR="003071B8" w:rsidRPr="006F3A51">
        <w:t>area-weighted NatHERS Pathway provides an opportunity to achieve an improved energy rating for a building while performing an internal alteration</w:t>
      </w:r>
      <w:r w:rsidR="006137B1">
        <w:t xml:space="preserve">, </w:t>
      </w:r>
      <w:r w:rsidR="003071B8" w:rsidRPr="006F3A51">
        <w:t>an extension</w:t>
      </w:r>
      <w:r w:rsidR="006137B1">
        <w:t>, or both,</w:t>
      </w:r>
      <w:r w:rsidR="003071B8" w:rsidRPr="006F3A51">
        <w:t xml:space="preserve"> to </w:t>
      </w:r>
      <w:r w:rsidR="006137B1">
        <w:t>an</w:t>
      </w:r>
      <w:r w:rsidR="003071B8" w:rsidRPr="006F3A51">
        <w:t xml:space="preserve"> existing building. The formulas 1, 2 and 3 calculating the required star rating that must be </w:t>
      </w:r>
      <w:r w:rsidR="006137B1" w:rsidRPr="006137B1">
        <w:t>met</w:t>
      </w:r>
      <w:r w:rsidR="006137B1">
        <w:t xml:space="preserve"> or bettered</w:t>
      </w:r>
      <w:r w:rsidR="003071B8" w:rsidRPr="006F3A51">
        <w:t>.</w:t>
      </w:r>
    </w:p>
    <w:p w14:paraId="723F7BB8" w14:textId="22A7C3AA" w:rsidR="00743603" w:rsidRPr="006F3A51" w:rsidRDefault="00743603" w:rsidP="00A4276F">
      <w:pPr>
        <w:numPr>
          <w:ilvl w:val="0"/>
          <w:numId w:val="19"/>
        </w:numPr>
        <w:spacing w:before="100" w:beforeAutospacing="1" w:after="96"/>
        <w:rPr>
          <w:iCs/>
          <w:lang w:val="en-US"/>
        </w:rPr>
      </w:pPr>
      <w:r>
        <w:rPr>
          <w:iCs/>
          <w:lang w:val="en-US"/>
        </w:rPr>
        <w:t>Recognise</w:t>
      </w:r>
      <w:r w:rsidR="003071B8">
        <w:rPr>
          <w:iCs/>
          <w:lang w:val="en-US"/>
        </w:rPr>
        <w:t>s</w:t>
      </w:r>
      <w:r>
        <w:rPr>
          <w:iCs/>
          <w:lang w:val="en-US"/>
        </w:rPr>
        <w:t xml:space="preserve"> Passivhaus certification as a compliance pathway for energy efficiency requirements</w:t>
      </w:r>
      <w:r w:rsidR="006137B1">
        <w:rPr>
          <w:iCs/>
          <w:lang w:val="en-US"/>
        </w:rPr>
        <w:t xml:space="preserve"> for</w:t>
      </w:r>
      <w:r>
        <w:rPr>
          <w:iCs/>
          <w:lang w:val="en-US"/>
        </w:rPr>
        <w:t xml:space="preserve"> both new homes, and for the alteration of an existing home. An overview on the certification process for a Passiv</w:t>
      </w:r>
      <w:r w:rsidR="007E564F">
        <w:rPr>
          <w:iCs/>
          <w:lang w:val="en-US"/>
        </w:rPr>
        <w:t>h</w:t>
      </w:r>
      <w:r>
        <w:rPr>
          <w:iCs/>
          <w:lang w:val="en-US"/>
        </w:rPr>
        <w:t>aus can be found at https://www.passivhausassociation.com.au/certification.</w:t>
      </w:r>
    </w:p>
    <w:p w14:paraId="2055642E" w14:textId="7C626040" w:rsidR="003B7223" w:rsidRDefault="00743603" w:rsidP="006F3A51">
      <w:pPr>
        <w:spacing w:before="100" w:beforeAutospacing="1" w:after="96"/>
        <w:rPr>
          <w:iCs/>
          <w:lang w:val="en-US"/>
        </w:rPr>
      </w:pPr>
      <w:r>
        <w:rPr>
          <w:iCs/>
          <w:lang w:val="en-US"/>
        </w:rPr>
        <w:t xml:space="preserve">You can find more information and guidance on the above pathways </w:t>
      </w:r>
      <w:r w:rsidR="00E1288B">
        <w:rPr>
          <w:iCs/>
          <w:lang w:val="en-US"/>
        </w:rPr>
        <w:t>in</w:t>
      </w:r>
      <w:r>
        <w:rPr>
          <w:iCs/>
          <w:lang w:val="en-US"/>
        </w:rPr>
        <w:t xml:space="preserve"> ACT Part H6 of Schedule 1.</w:t>
      </w:r>
    </w:p>
    <w:p w14:paraId="176349A1" w14:textId="72E2F6EE" w:rsidR="00853218" w:rsidRDefault="003B7223">
      <w:pPr>
        <w:spacing w:before="100" w:beforeAutospacing="1" w:after="96"/>
        <w:rPr>
          <w:iCs/>
          <w:lang w:val="en-US"/>
        </w:rPr>
      </w:pPr>
      <w:r>
        <w:rPr>
          <w:iCs/>
          <w:lang w:val="en-US"/>
        </w:rPr>
        <w:t xml:space="preserve">This </w:t>
      </w:r>
      <w:r w:rsidR="00C4507D">
        <w:rPr>
          <w:iCs/>
          <w:lang w:val="en-US"/>
        </w:rPr>
        <w:t xml:space="preserve">instrument </w:t>
      </w:r>
      <w:r>
        <w:rPr>
          <w:iCs/>
          <w:lang w:val="en-US"/>
        </w:rPr>
        <w:t>also</w:t>
      </w:r>
      <w:r w:rsidR="00853218">
        <w:rPr>
          <w:iCs/>
          <w:lang w:val="en-US"/>
        </w:rPr>
        <w:t xml:space="preserve"> </w:t>
      </w:r>
      <w:r w:rsidR="00C4507D">
        <w:rPr>
          <w:iCs/>
          <w:lang w:val="en-US"/>
        </w:rPr>
        <w:t xml:space="preserve">includes </w:t>
      </w:r>
      <w:r w:rsidR="00853218">
        <w:rPr>
          <w:iCs/>
          <w:lang w:val="en-US"/>
        </w:rPr>
        <w:t>editorial changes to:</w:t>
      </w:r>
    </w:p>
    <w:p w14:paraId="620613C6" w14:textId="40E7D6A0" w:rsidR="00853218" w:rsidRDefault="00A16E19" w:rsidP="00853218">
      <w:pPr>
        <w:pStyle w:val="ListParagraph"/>
        <w:numPr>
          <w:ilvl w:val="0"/>
          <w:numId w:val="23"/>
        </w:numPr>
        <w:spacing w:before="100" w:beforeAutospacing="1" w:after="96"/>
      </w:pPr>
      <w:r>
        <w:t>remove Schedule 1 as it has now expired;</w:t>
      </w:r>
    </w:p>
    <w:p w14:paraId="530C52A6" w14:textId="42C0D712" w:rsidR="00A16E19" w:rsidRDefault="00853218" w:rsidP="00853218">
      <w:pPr>
        <w:pStyle w:val="ListParagraph"/>
        <w:numPr>
          <w:ilvl w:val="0"/>
          <w:numId w:val="23"/>
        </w:numPr>
        <w:spacing w:before="100" w:beforeAutospacing="1" w:after="96"/>
      </w:pPr>
      <w:r w:rsidRPr="00853218">
        <w:t>remove the</w:t>
      </w:r>
      <w:r w:rsidR="003B7223" w:rsidRPr="00853218">
        <w:t xml:space="preserve"> expired provisions</w:t>
      </w:r>
      <w:r w:rsidRPr="00853218">
        <w:t xml:space="preserve"> </w:t>
      </w:r>
      <w:r w:rsidR="00A16E19">
        <w:t>in Schedule 2</w:t>
      </w:r>
      <w:r w:rsidRPr="00853218">
        <w:t xml:space="preserve"> </w:t>
      </w:r>
      <w:r w:rsidR="00A16E19">
        <w:t>that</w:t>
      </w:r>
      <w:r w:rsidRPr="00853218">
        <w:t xml:space="preserve"> provide</w:t>
      </w:r>
      <w:r w:rsidR="00A16E19">
        <w:t>d</w:t>
      </w:r>
      <w:r w:rsidRPr="00853218">
        <w:t xml:space="preserve"> for transitional arrangements between 1 May 2023 to 14 January 2024. This time has passed and it is no longer relevant</w:t>
      </w:r>
      <w:r>
        <w:t xml:space="preserve">; </w:t>
      </w:r>
    </w:p>
    <w:p w14:paraId="0869FB25" w14:textId="7EE84B20" w:rsidR="00853218" w:rsidRDefault="00A16E19">
      <w:pPr>
        <w:pStyle w:val="ListParagraph"/>
        <w:numPr>
          <w:ilvl w:val="0"/>
          <w:numId w:val="23"/>
        </w:numPr>
        <w:spacing w:before="100" w:beforeAutospacing="1" w:after="96"/>
      </w:pPr>
      <w:r>
        <w:t>Rename Schedule 2 to Schedule1;</w:t>
      </w:r>
      <w:r w:rsidR="007E564F">
        <w:t xml:space="preserve"> </w:t>
      </w:r>
      <w:r w:rsidR="00853218">
        <w:t>and</w:t>
      </w:r>
      <w:r w:rsidR="00853218" w:rsidRPr="00853218">
        <w:t xml:space="preserve"> </w:t>
      </w:r>
    </w:p>
    <w:p w14:paraId="2C29EB58" w14:textId="1D4CFB83" w:rsidR="007B1F3D" w:rsidRDefault="00E82DC6" w:rsidP="007B1F3D">
      <w:pPr>
        <w:pStyle w:val="ListParagraph"/>
        <w:numPr>
          <w:ilvl w:val="0"/>
          <w:numId w:val="23"/>
        </w:numPr>
        <w:spacing w:before="100" w:beforeAutospacing="1" w:after="96"/>
      </w:pPr>
      <w:r>
        <w:t>A</w:t>
      </w:r>
      <w:r w:rsidR="006137B1">
        <w:t>ddress minor formatting issues.</w:t>
      </w:r>
    </w:p>
    <w:p w14:paraId="6707BF9C" w14:textId="50E541A7" w:rsidR="007B1F3D" w:rsidRDefault="007B1F3D" w:rsidP="00E82DC6">
      <w:pPr>
        <w:spacing w:before="100" w:beforeAutospacing="1" w:after="96"/>
      </w:pPr>
      <w:r>
        <w:t xml:space="preserve">This instrument revokes </w:t>
      </w:r>
      <w:r w:rsidRPr="00CC4045">
        <w:rPr>
          <w:i/>
          <w:iCs/>
        </w:rPr>
        <w:t xml:space="preserve">Building (ACT Appendix to the Building Code) Determination 2023 </w:t>
      </w:r>
      <w:r w:rsidRPr="00CC4045">
        <w:t xml:space="preserve">(No </w:t>
      </w:r>
      <w:r>
        <w:t>3</w:t>
      </w:r>
      <w:r w:rsidRPr="00CC4045">
        <w:t xml:space="preserve">) </w:t>
      </w:r>
      <w:r>
        <w:t xml:space="preserve">(DI2023-304). </w:t>
      </w:r>
      <w:r w:rsidRPr="007B1F3D">
        <w:t xml:space="preserve">The declaration is a disallowable </w:t>
      </w:r>
      <w:r w:rsidRPr="007B1F3D">
        <w:lastRenderedPageBreak/>
        <w:t xml:space="preserve">instrument and must be presented to the Assembly within 6 days after its notification pursuant to section 64 of the </w:t>
      </w:r>
      <w:r w:rsidRPr="00E82DC6">
        <w:rPr>
          <w:i/>
          <w:iCs/>
        </w:rPr>
        <w:t>Legislation Act 2001</w:t>
      </w:r>
      <w:r>
        <w:t xml:space="preserve"> (the </w:t>
      </w:r>
      <w:r w:rsidRPr="00E82DC6">
        <w:rPr>
          <w:b/>
          <w:bCs/>
          <w:i/>
          <w:iCs/>
        </w:rPr>
        <w:t>Legislation Act</w:t>
      </w:r>
      <w:r>
        <w:rPr>
          <w:i/>
          <w:iCs/>
        </w:rPr>
        <w:t>)</w:t>
      </w:r>
      <w:r>
        <w:t>.</w:t>
      </w:r>
    </w:p>
    <w:bookmarkEnd w:id="1"/>
    <w:p w14:paraId="084609D2" w14:textId="77777777" w:rsidR="008D2B37" w:rsidRDefault="008D2B37" w:rsidP="00884A32">
      <w:pPr>
        <w:ind w:right="-356"/>
        <w:jc w:val="both"/>
      </w:pPr>
    </w:p>
    <w:p w14:paraId="38BC6C14" w14:textId="54057D6D" w:rsidR="004F5844" w:rsidRDefault="004F5844" w:rsidP="00E82DC6">
      <w:pPr>
        <w:spacing w:after="160" w:line="259" w:lineRule="auto"/>
        <w:rPr>
          <w:b/>
        </w:rPr>
      </w:pPr>
      <w:r>
        <w:rPr>
          <w:b/>
        </w:rPr>
        <w:t>Regulatory Impact Statement (RIS)</w:t>
      </w:r>
    </w:p>
    <w:p w14:paraId="2F8B1555" w14:textId="2EE36BA4" w:rsidR="004F5844" w:rsidRDefault="004F5844" w:rsidP="00414DB9">
      <w:pPr>
        <w:autoSpaceDE w:val="0"/>
        <w:autoSpaceDN w:val="0"/>
        <w:adjustRightInd w:val="0"/>
        <w:spacing w:after="240"/>
        <w:ind w:right="-334"/>
        <w:rPr>
          <w:lang w:eastAsia="en-AU"/>
        </w:rPr>
      </w:pPr>
      <w:r>
        <w:rPr>
          <w:lang w:eastAsia="en-AU"/>
        </w:rPr>
        <w:t xml:space="preserve">Section 34 of </w:t>
      </w:r>
      <w:r w:rsidR="00CF6178">
        <w:rPr>
          <w:iCs/>
          <w:lang w:eastAsia="en-AU"/>
        </w:rPr>
        <w:t xml:space="preserve">the </w:t>
      </w:r>
      <w:r w:rsidR="00CF6178" w:rsidRPr="00E82DC6">
        <w:rPr>
          <w:iCs/>
          <w:lang w:eastAsia="en-AU"/>
        </w:rPr>
        <w:t>Legislation Act</w:t>
      </w:r>
      <w:r w:rsidR="00CF6178">
        <w:rPr>
          <w:iCs/>
          <w:lang w:eastAsia="en-AU"/>
        </w:rPr>
        <w:t xml:space="preserve"> </w:t>
      </w:r>
      <w:r w:rsidRPr="00CF6178">
        <w:rPr>
          <w:iCs/>
          <w:lang w:eastAsia="en-AU"/>
        </w:rPr>
        <w:t>provides</w:t>
      </w:r>
      <w:r>
        <w:rPr>
          <w:lang w:eastAsia="en-AU"/>
        </w:rPr>
        <w:t xml:space="preserve"> that if a proposed subordinate law or disallowable instrument (the </w:t>
      </w:r>
      <w:r w:rsidRPr="00E82DC6">
        <w:rPr>
          <w:b/>
          <w:bCs/>
          <w:i/>
          <w:iCs/>
          <w:lang w:eastAsia="en-AU"/>
        </w:rPr>
        <w:t>proposed law</w:t>
      </w:r>
      <w:r>
        <w:rPr>
          <w:lang w:eastAsia="en-AU"/>
        </w:rPr>
        <w:t xml:space="preserve">) is likely to impose appreciable costs on the community, or a part of the community, then, before the proposed law is made, the Minister administering the authorising law must arrange for a </w:t>
      </w:r>
      <w:r w:rsidR="00CF6178">
        <w:rPr>
          <w:lang w:eastAsia="en-AU"/>
        </w:rPr>
        <w:t>RIS</w:t>
      </w:r>
      <w:r>
        <w:rPr>
          <w:lang w:eastAsia="en-AU"/>
        </w:rPr>
        <w:t xml:space="preserve"> to be prepared for the proposed law.</w:t>
      </w:r>
    </w:p>
    <w:p w14:paraId="40EB366E" w14:textId="66C74192" w:rsidR="00A4276F" w:rsidRDefault="004F5844" w:rsidP="00C53E02">
      <w:pPr>
        <w:autoSpaceDE w:val="0"/>
        <w:autoSpaceDN w:val="0"/>
        <w:adjustRightInd w:val="0"/>
        <w:spacing w:after="240"/>
      </w:pPr>
      <w:r>
        <w:rPr>
          <w:lang w:eastAsia="en-AU"/>
        </w:rPr>
        <w:t>A RIS is not required for this instrument as</w:t>
      </w:r>
      <w:r w:rsidR="00C53E02">
        <w:rPr>
          <w:lang w:eastAsia="en-AU"/>
        </w:rPr>
        <w:t xml:space="preserve"> </w:t>
      </w:r>
      <w:r w:rsidR="006137B1">
        <w:rPr>
          <w:lang w:eastAsia="en-AU"/>
        </w:rPr>
        <w:t xml:space="preserve">these changes introduce voluntary options </w:t>
      </w:r>
      <w:r w:rsidR="001B557B">
        <w:rPr>
          <w:lang w:eastAsia="en-AU"/>
        </w:rPr>
        <w:t>for complying with existing requirements</w:t>
      </w:r>
      <w:r w:rsidR="006137B1">
        <w:rPr>
          <w:lang w:eastAsia="en-AU"/>
        </w:rPr>
        <w:t xml:space="preserve">. Furthermore, </w:t>
      </w:r>
      <w:r w:rsidR="00D919DD">
        <w:rPr>
          <w:lang w:eastAsia="en-AU"/>
        </w:rPr>
        <w:t xml:space="preserve">they are </w:t>
      </w:r>
      <w:r w:rsidR="00A4276F">
        <w:t>unlikely to impose appreciable costs on the community</w:t>
      </w:r>
      <w:r w:rsidR="00C53E02">
        <w:t>.</w:t>
      </w:r>
      <w:r w:rsidR="00D919DD">
        <w:t xml:space="preserve"> Indeed, </w:t>
      </w:r>
      <w:r w:rsidR="006137B1">
        <w:t>t</w:t>
      </w:r>
      <w:r w:rsidR="00A4276F">
        <w:t>he</w:t>
      </w:r>
      <w:r w:rsidR="007B1F3D">
        <w:t xml:space="preserve"> construction productivity agenda</w:t>
      </w:r>
      <w:r w:rsidR="00A4276F">
        <w:t xml:space="preserve"> building reforms mentioned above are expected to reduce costs for the community by:</w:t>
      </w:r>
    </w:p>
    <w:p w14:paraId="4916C9C6" w14:textId="5E0CDECD" w:rsidR="0032738E" w:rsidRDefault="00A4276F" w:rsidP="00C53E02">
      <w:pPr>
        <w:pStyle w:val="ListParagraph"/>
        <w:numPr>
          <w:ilvl w:val="0"/>
          <w:numId w:val="22"/>
        </w:numPr>
        <w:autoSpaceDE w:val="0"/>
        <w:autoSpaceDN w:val="0"/>
        <w:adjustRightInd w:val="0"/>
        <w:spacing w:after="240"/>
        <w:rPr>
          <w:lang w:eastAsia="en-AU"/>
        </w:rPr>
      </w:pPr>
      <w:r>
        <w:t>addressing the need for complex redesign efforts, higher costs and risks of non-compliance by delivering an alternative pathway for energy efficiency</w:t>
      </w:r>
      <w:r w:rsidR="00CF6178">
        <w:t>,</w:t>
      </w:r>
      <w:r>
        <w:t xml:space="preserve"> making it easier for industry and homeowners to meet their compliance requirements; and</w:t>
      </w:r>
    </w:p>
    <w:p w14:paraId="7C013AAE" w14:textId="17B67EE4" w:rsidR="0032738E" w:rsidRDefault="0032738E" w:rsidP="00C53E02">
      <w:pPr>
        <w:pStyle w:val="ListParagraph"/>
        <w:numPr>
          <w:ilvl w:val="0"/>
          <w:numId w:val="22"/>
        </w:numPr>
        <w:autoSpaceDE w:val="0"/>
        <w:autoSpaceDN w:val="0"/>
        <w:adjustRightInd w:val="0"/>
        <w:spacing w:after="240"/>
        <w:rPr>
          <w:lang w:eastAsia="en-AU"/>
        </w:rPr>
      </w:pPr>
      <w:r w:rsidRPr="007A4841">
        <w:t xml:space="preserve">streamlining processes </w:t>
      </w:r>
      <w:r>
        <w:t>and</w:t>
      </w:r>
      <w:r w:rsidRPr="007A4841">
        <w:t xml:space="preserve"> reducing unnecessary cost and regulatory burden on industry and homeowners</w:t>
      </w:r>
      <w:r>
        <w:t xml:space="preserve"> pursuing passive house construction</w:t>
      </w:r>
      <w:r>
        <w:rPr>
          <w:lang w:eastAsia="en-AU"/>
        </w:rPr>
        <w:t>.</w:t>
      </w:r>
    </w:p>
    <w:p w14:paraId="71525EA4" w14:textId="6AAD9C08" w:rsidR="00C53E02" w:rsidRDefault="002A0D3D" w:rsidP="0032738E">
      <w:pPr>
        <w:autoSpaceDE w:val="0"/>
        <w:autoSpaceDN w:val="0"/>
        <w:adjustRightInd w:val="0"/>
        <w:spacing w:after="240"/>
        <w:rPr>
          <w:lang w:eastAsia="en-AU"/>
        </w:rPr>
      </w:pPr>
      <w:r>
        <w:rPr>
          <w:lang w:eastAsia="en-AU"/>
        </w:rPr>
        <w:t xml:space="preserve">Section 36 (1) (h) of the Legislation Act provides that a </w:t>
      </w:r>
      <w:r w:rsidR="00CF6178">
        <w:rPr>
          <w:lang w:eastAsia="en-AU"/>
        </w:rPr>
        <w:t>RIS</w:t>
      </w:r>
      <w:r>
        <w:rPr>
          <w:lang w:eastAsia="en-AU"/>
        </w:rPr>
        <w:t xml:space="preserve"> is not required for </w:t>
      </w:r>
      <w:r w:rsidRPr="00262752">
        <w:rPr>
          <w:lang w:eastAsia="en-AU"/>
        </w:rPr>
        <w:t>a matter involving the adoption of an Australian or international protocol, standard, code, or intergovernmental agreement or instrument, if an assessment of the benefits and costs has already been made and the assessment was made for, or is relevant to, the ACT</w:t>
      </w:r>
      <w:r>
        <w:rPr>
          <w:lang w:eastAsia="en-AU"/>
        </w:rPr>
        <w:t>.</w:t>
      </w:r>
    </w:p>
    <w:p w14:paraId="70C649EB" w14:textId="6F2CC113" w:rsidR="00141CFF" w:rsidRDefault="00141CFF" w:rsidP="00C53E02">
      <w:pPr>
        <w:autoSpaceDE w:val="0"/>
        <w:autoSpaceDN w:val="0"/>
        <w:adjustRightInd w:val="0"/>
        <w:spacing w:after="240"/>
        <w:rPr>
          <w:lang w:eastAsia="en-AU"/>
        </w:rPr>
      </w:pPr>
      <w:r>
        <w:t xml:space="preserve">A RIS is not required for the ACT variations to the 2022 BCA contained in </w:t>
      </w:r>
      <w:r w:rsidR="0014366C">
        <w:t xml:space="preserve">this instrument as they are not considered to be likely to impose appreciable costs on the community or a part of the community. The ACT variations only apply to </w:t>
      </w:r>
      <w:r w:rsidR="0014366C" w:rsidRPr="0014366C">
        <w:t>existing buildings and lower the cost burden because they allow for certain things not to be complied with, or give alternative, easier requirements as options. None of the ACT variations increase costs above what the ABCB regulatory impact statements for the 2022 BCA</w:t>
      </w:r>
      <w:r w:rsidR="00D40254">
        <w:t xml:space="preserve"> found</w:t>
      </w:r>
      <w:r w:rsidR="0014366C">
        <w:t>.</w:t>
      </w:r>
    </w:p>
    <w:p w14:paraId="3320ECD9" w14:textId="77777777" w:rsidR="004F5844" w:rsidRDefault="004F5844" w:rsidP="00192F90">
      <w:pPr>
        <w:keepNext/>
        <w:autoSpaceDE w:val="0"/>
        <w:autoSpaceDN w:val="0"/>
        <w:adjustRightInd w:val="0"/>
        <w:spacing w:after="160"/>
        <w:rPr>
          <w:b/>
          <w:color w:val="000000"/>
        </w:rPr>
      </w:pPr>
      <w:r>
        <w:rPr>
          <w:b/>
          <w:color w:val="000000"/>
        </w:rPr>
        <w:t>Human Rights</w:t>
      </w:r>
    </w:p>
    <w:p w14:paraId="112B1BB9" w14:textId="47C7A3D5" w:rsidR="008E3FE3" w:rsidRDefault="004F5844" w:rsidP="00414DB9">
      <w:pPr>
        <w:pStyle w:val="Header"/>
        <w:tabs>
          <w:tab w:val="left" w:pos="720"/>
        </w:tabs>
        <w:spacing w:after="240"/>
      </w:pPr>
      <w:r>
        <w:t xml:space="preserve">The Standing Committee on </w:t>
      </w:r>
      <w:r w:rsidR="008774B2">
        <w:t>Legal Affairs</w:t>
      </w:r>
      <w:r>
        <w:t xml:space="preserve"> (Legislative Scrutiny Role) terms of reference require consideration of human rights impacts, among other matters. There are no human rights impacts related to this instrument. </w:t>
      </w:r>
    </w:p>
    <w:p w14:paraId="00B905C5" w14:textId="2E6FB8D3" w:rsidR="004F5844" w:rsidRPr="00E82DC6" w:rsidRDefault="00610614" w:rsidP="00E82DC6">
      <w:pPr>
        <w:keepNext/>
        <w:autoSpaceDE w:val="0"/>
        <w:autoSpaceDN w:val="0"/>
        <w:adjustRightInd w:val="0"/>
        <w:spacing w:after="160"/>
        <w:rPr>
          <w:b/>
          <w:color w:val="000000"/>
        </w:rPr>
      </w:pPr>
      <w:r w:rsidRPr="00E82DC6">
        <w:rPr>
          <w:b/>
          <w:color w:val="000000"/>
        </w:rPr>
        <w:t>Clause Notes</w:t>
      </w:r>
    </w:p>
    <w:p w14:paraId="3B830EFB" w14:textId="48F8F0DB" w:rsidR="0011364A" w:rsidRDefault="0011364A" w:rsidP="0011364A">
      <w:pPr>
        <w:pStyle w:val="NormalWeb"/>
        <w:shd w:val="clear" w:color="auto" w:fill="FFFFFF"/>
        <w:spacing w:before="0" w:beforeAutospacing="0" w:after="0" w:afterAutospacing="0"/>
        <w:rPr>
          <w:color w:val="000000"/>
        </w:rPr>
      </w:pPr>
      <w:r>
        <w:rPr>
          <w:color w:val="000000"/>
        </w:rPr>
        <w:t xml:space="preserve">Clause 1 names the instrument the </w:t>
      </w:r>
      <w:r w:rsidRPr="0011364A">
        <w:rPr>
          <w:i/>
          <w:iCs/>
          <w:color w:val="000000"/>
        </w:rPr>
        <w:t>B</w:t>
      </w:r>
      <w:r>
        <w:rPr>
          <w:i/>
          <w:iCs/>
        </w:rPr>
        <w:t>uilding (</w:t>
      </w:r>
      <w:r w:rsidRPr="00EE07F2">
        <w:rPr>
          <w:i/>
          <w:iCs/>
        </w:rPr>
        <w:t xml:space="preserve">ACT Appendix to the </w:t>
      </w:r>
      <w:r>
        <w:rPr>
          <w:i/>
          <w:iCs/>
        </w:rPr>
        <w:t>Building</w:t>
      </w:r>
      <w:r w:rsidRPr="00EE07F2">
        <w:rPr>
          <w:i/>
          <w:iCs/>
        </w:rPr>
        <w:t xml:space="preserve"> Code) Determination </w:t>
      </w:r>
      <w:r w:rsidR="0032738E">
        <w:rPr>
          <w:i/>
          <w:iCs/>
        </w:rPr>
        <w:t>2026</w:t>
      </w:r>
      <w:r w:rsidR="007A10B7">
        <w:t>.</w:t>
      </w:r>
    </w:p>
    <w:p w14:paraId="657DC7D6" w14:textId="77777777" w:rsidR="0011364A" w:rsidRDefault="0011364A" w:rsidP="0011364A">
      <w:pPr>
        <w:pStyle w:val="NormalWeb"/>
        <w:shd w:val="clear" w:color="auto" w:fill="FFFFFF"/>
        <w:spacing w:before="0" w:beforeAutospacing="0" w:after="0" w:afterAutospacing="0"/>
        <w:rPr>
          <w:color w:val="000000"/>
        </w:rPr>
      </w:pPr>
      <w:r>
        <w:rPr>
          <w:color w:val="000000"/>
        </w:rPr>
        <w:t> </w:t>
      </w:r>
    </w:p>
    <w:p w14:paraId="25685920" w14:textId="6EA8120A" w:rsidR="0011364A" w:rsidRDefault="0011364A" w:rsidP="0011364A">
      <w:pPr>
        <w:pStyle w:val="NormalWeb"/>
        <w:shd w:val="clear" w:color="auto" w:fill="FFFFFF"/>
        <w:spacing w:before="0" w:beforeAutospacing="0" w:after="0" w:afterAutospacing="0"/>
        <w:rPr>
          <w:color w:val="000000"/>
        </w:rPr>
      </w:pPr>
      <w:r>
        <w:rPr>
          <w:color w:val="000000"/>
        </w:rPr>
        <w:t xml:space="preserve">Clause 2 provides that this instrument commences on the day after </w:t>
      </w:r>
      <w:r w:rsidR="00167466">
        <w:rPr>
          <w:color w:val="000000"/>
        </w:rPr>
        <w:t xml:space="preserve">its </w:t>
      </w:r>
      <w:r>
        <w:rPr>
          <w:color w:val="000000"/>
        </w:rPr>
        <w:t>notification</w:t>
      </w:r>
      <w:r w:rsidR="00167466">
        <w:rPr>
          <w:color w:val="000000"/>
        </w:rPr>
        <w:t xml:space="preserve"> day</w:t>
      </w:r>
      <w:r>
        <w:rPr>
          <w:color w:val="000000"/>
        </w:rPr>
        <w:t>.</w:t>
      </w:r>
    </w:p>
    <w:p w14:paraId="2F2FE82F" w14:textId="77777777" w:rsidR="0011364A" w:rsidRDefault="0011364A" w:rsidP="0011364A">
      <w:pPr>
        <w:pStyle w:val="NormalWeb"/>
        <w:shd w:val="clear" w:color="auto" w:fill="FFFFFF"/>
        <w:spacing w:before="0" w:beforeAutospacing="0" w:after="0" w:afterAutospacing="0"/>
        <w:rPr>
          <w:color w:val="000000"/>
        </w:rPr>
      </w:pPr>
      <w:r>
        <w:rPr>
          <w:color w:val="000000"/>
        </w:rPr>
        <w:t> </w:t>
      </w:r>
    </w:p>
    <w:p w14:paraId="5BEB1875" w14:textId="113CED4F" w:rsidR="0011364A" w:rsidRDefault="0011364A" w:rsidP="0011364A">
      <w:pPr>
        <w:pStyle w:val="NormalWeb"/>
        <w:shd w:val="clear" w:color="auto" w:fill="FFFFFF"/>
        <w:spacing w:before="0" w:beforeAutospacing="0" w:after="0" w:afterAutospacing="0"/>
        <w:rPr>
          <w:color w:val="000000"/>
        </w:rPr>
      </w:pPr>
      <w:r>
        <w:rPr>
          <w:color w:val="000000"/>
        </w:rPr>
        <w:t xml:space="preserve">Clause 3 contains the approval of </w:t>
      </w:r>
      <w:r w:rsidR="00C32CE0">
        <w:rPr>
          <w:color w:val="000000"/>
        </w:rPr>
        <w:t>schedule 1</w:t>
      </w:r>
      <w:r>
        <w:rPr>
          <w:color w:val="000000"/>
        </w:rPr>
        <w:t xml:space="preserve"> of the instrument. </w:t>
      </w:r>
    </w:p>
    <w:p w14:paraId="1453D7DD" w14:textId="6F8CE4D1" w:rsidR="0011364A" w:rsidRDefault="0011364A" w:rsidP="0011364A">
      <w:pPr>
        <w:pStyle w:val="NormalWeb"/>
        <w:shd w:val="clear" w:color="auto" w:fill="FFFFFF"/>
        <w:spacing w:before="0" w:beforeAutospacing="0" w:after="0" w:afterAutospacing="0"/>
        <w:rPr>
          <w:color w:val="000000"/>
        </w:rPr>
      </w:pPr>
    </w:p>
    <w:p w14:paraId="0DEAF71D" w14:textId="110E483A" w:rsidR="00167466" w:rsidRDefault="0011364A" w:rsidP="00167466">
      <w:pPr>
        <w:pStyle w:val="NormalWeb"/>
        <w:shd w:val="clear" w:color="auto" w:fill="FFFFFF"/>
        <w:spacing w:before="0" w:beforeAutospacing="0" w:after="0" w:afterAutospacing="0"/>
        <w:rPr>
          <w:color w:val="000000"/>
        </w:rPr>
      </w:pPr>
      <w:r>
        <w:rPr>
          <w:color w:val="000000"/>
        </w:rPr>
        <w:lastRenderedPageBreak/>
        <w:t>Clause 4 provides for when schedule 1 of t</w:t>
      </w:r>
      <w:r w:rsidR="004E1EF0">
        <w:rPr>
          <w:color w:val="000000"/>
        </w:rPr>
        <w:t>his</w:t>
      </w:r>
      <w:r>
        <w:rPr>
          <w:color w:val="000000"/>
        </w:rPr>
        <w:t xml:space="preserve"> instrument applies.</w:t>
      </w:r>
      <w:r w:rsidR="00C360BB">
        <w:rPr>
          <w:color w:val="000000"/>
        </w:rPr>
        <w:t xml:space="preserve"> It applies from the commencement of this instrument</w:t>
      </w:r>
      <w:r w:rsidR="00C32CE0">
        <w:rPr>
          <w:color w:val="000000"/>
        </w:rPr>
        <w:t xml:space="preserve">. </w:t>
      </w:r>
    </w:p>
    <w:p w14:paraId="56E303F5" w14:textId="77777777" w:rsidR="0011364A" w:rsidRDefault="0011364A" w:rsidP="0011364A">
      <w:pPr>
        <w:autoSpaceDE w:val="0"/>
        <w:autoSpaceDN w:val="0"/>
        <w:adjustRightInd w:val="0"/>
        <w:ind w:right="-356"/>
      </w:pPr>
    </w:p>
    <w:p w14:paraId="13264644" w14:textId="66C3549E" w:rsidR="00CC4045" w:rsidRDefault="0011364A" w:rsidP="0011364A">
      <w:pPr>
        <w:autoSpaceDE w:val="0"/>
        <w:autoSpaceDN w:val="0"/>
        <w:adjustRightInd w:val="0"/>
        <w:ind w:right="-356"/>
      </w:pPr>
      <w:r>
        <w:t xml:space="preserve">Clause 5 displaces the requirement in the </w:t>
      </w:r>
      <w:r w:rsidRPr="00742E7C">
        <w:rPr>
          <w:iCs/>
        </w:rPr>
        <w:t>Legislation Act</w:t>
      </w:r>
      <w:r>
        <w:t xml:space="preserve">, section 47 (5). Section 47 (5) provides that </w:t>
      </w:r>
      <w:r w:rsidRPr="00166C2B">
        <w:t xml:space="preserve">the text </w:t>
      </w:r>
      <w:r>
        <w:t>of an instrument applied as in force at a particular time</w:t>
      </w:r>
      <w:r w:rsidRPr="00166C2B">
        <w:t xml:space="preserve"> is taken to be a notifiable instrument made under the relevant instrument</w:t>
      </w:r>
      <w:r>
        <w:t xml:space="preserve">, and therefore must be published on the Legislation Register. </w:t>
      </w:r>
    </w:p>
    <w:p w14:paraId="53A2A8D4" w14:textId="77777777" w:rsidR="00CC4045" w:rsidRDefault="00CC4045" w:rsidP="0011364A">
      <w:pPr>
        <w:autoSpaceDE w:val="0"/>
        <w:autoSpaceDN w:val="0"/>
        <w:adjustRightInd w:val="0"/>
        <w:ind w:right="-356"/>
      </w:pPr>
    </w:p>
    <w:p w14:paraId="4710AEF4" w14:textId="5FA658CA" w:rsidR="0011364A" w:rsidRDefault="008774B2" w:rsidP="0011364A">
      <w:pPr>
        <w:autoSpaceDE w:val="0"/>
        <w:autoSpaceDN w:val="0"/>
        <w:adjustRightInd w:val="0"/>
        <w:ind w:right="-356"/>
      </w:pPr>
      <w:r w:rsidRPr="008774B2">
        <w:t>BCA volumes 1 and 2, comprise the National Construction Code along with volume 3, the Plumbing Code of Australia</w:t>
      </w:r>
      <w:r>
        <w:t xml:space="preserve">. </w:t>
      </w:r>
      <w:r w:rsidR="0011364A">
        <w:t>Copyright to the BCA is collectively owned by the Australian Government and the states and territories.</w:t>
      </w:r>
      <w:r w:rsidR="00CC4045">
        <w:t xml:space="preserve"> </w:t>
      </w:r>
      <w:r w:rsidR="0011364A">
        <w:t>The arrangement between jurisdictions is that the BCA will be published on behalf of the jurisdictions in a single place by the ABCB. It would not be appropriate to publicly notify the code on an ACT Government website. The notes to section 5 of the instrument describe alternative access to the BCA as it is not being notified on the Legislation Register.</w:t>
      </w:r>
    </w:p>
    <w:p w14:paraId="4EC64F7C" w14:textId="77777777" w:rsidR="00CC4045" w:rsidRDefault="00CC4045" w:rsidP="0011364A">
      <w:pPr>
        <w:autoSpaceDE w:val="0"/>
        <w:autoSpaceDN w:val="0"/>
        <w:adjustRightInd w:val="0"/>
        <w:ind w:right="-356"/>
      </w:pPr>
    </w:p>
    <w:p w14:paraId="501F49EF" w14:textId="359C5C48" w:rsidR="00587A5D" w:rsidRDefault="00CC4045" w:rsidP="00587A5D">
      <w:pPr>
        <w:autoSpaceDE w:val="0"/>
        <w:autoSpaceDN w:val="0"/>
        <w:adjustRightInd w:val="0"/>
        <w:ind w:right="-356"/>
      </w:pPr>
      <w:r>
        <w:t>The BCA incorporates a number of Australian Standards, Australian/New Zealand Standards and International Standards.</w:t>
      </w:r>
      <w:r w:rsidR="007A10B7">
        <w:t xml:space="preserve"> The standards are technical standards used by the building and construction sector to meet regulatory requirements across jurisdictions. </w:t>
      </w:r>
      <w:r w:rsidR="00587A5D">
        <w:t>The sector is generally expected to have knowledge of the standards relevant to undertaking their professional services. It is noted that there are often two or more versions of the Building Code applicable to building</w:t>
      </w:r>
      <w:r w:rsidR="00587A5D">
        <w:rPr>
          <w:spacing w:val="-2"/>
        </w:rPr>
        <w:t xml:space="preserve"> </w:t>
      </w:r>
      <w:r w:rsidR="00587A5D">
        <w:t>work at any</w:t>
      </w:r>
      <w:r w:rsidR="00587A5D">
        <w:rPr>
          <w:spacing w:val="-1"/>
        </w:rPr>
        <w:t xml:space="preserve"> </w:t>
      </w:r>
      <w:r w:rsidR="00587A5D">
        <w:t>one time</w:t>
      </w:r>
      <w:r w:rsidR="00587A5D">
        <w:rPr>
          <w:spacing w:val="-1"/>
        </w:rPr>
        <w:t xml:space="preserve"> </w:t>
      </w:r>
      <w:r w:rsidR="00587A5D">
        <w:t>and</w:t>
      </w:r>
      <w:r w:rsidR="00587A5D">
        <w:rPr>
          <w:spacing w:val="-4"/>
        </w:rPr>
        <w:t xml:space="preserve"> </w:t>
      </w:r>
      <w:r w:rsidR="00587A5D">
        <w:t>as</w:t>
      </w:r>
      <w:r w:rsidR="00587A5D">
        <w:rPr>
          <w:spacing w:val="-4"/>
        </w:rPr>
        <w:t xml:space="preserve"> </w:t>
      </w:r>
      <w:r w:rsidR="00587A5D">
        <w:t>such there</w:t>
      </w:r>
      <w:r w:rsidR="00587A5D">
        <w:rPr>
          <w:spacing w:val="-4"/>
        </w:rPr>
        <w:t xml:space="preserve"> </w:t>
      </w:r>
      <w:r w:rsidR="00587A5D">
        <w:t>are</w:t>
      </w:r>
      <w:r w:rsidR="00587A5D">
        <w:rPr>
          <w:spacing w:val="-4"/>
        </w:rPr>
        <w:t xml:space="preserve"> </w:t>
      </w:r>
      <w:r w:rsidR="00587A5D">
        <w:t>a</w:t>
      </w:r>
      <w:r w:rsidR="00587A5D">
        <w:rPr>
          <w:spacing w:val="-4"/>
        </w:rPr>
        <w:t xml:space="preserve"> </w:t>
      </w:r>
      <w:r w:rsidR="00587A5D">
        <w:t>significant</w:t>
      </w:r>
      <w:r w:rsidR="00587A5D">
        <w:rPr>
          <w:spacing w:val="-2"/>
        </w:rPr>
        <w:t xml:space="preserve"> </w:t>
      </w:r>
      <w:r w:rsidR="00587A5D">
        <w:t>number</w:t>
      </w:r>
      <w:r w:rsidR="00587A5D">
        <w:rPr>
          <w:spacing w:val="-5"/>
        </w:rPr>
        <w:t xml:space="preserve"> </w:t>
      </w:r>
      <w:r w:rsidR="00587A5D">
        <w:t>of</w:t>
      </w:r>
      <w:r w:rsidR="00587A5D">
        <w:rPr>
          <w:spacing w:val="-3"/>
        </w:rPr>
        <w:t xml:space="preserve"> </w:t>
      </w:r>
      <w:r w:rsidR="00587A5D">
        <w:t>Australian</w:t>
      </w:r>
      <w:r w:rsidR="00587A5D">
        <w:rPr>
          <w:spacing w:val="-4"/>
        </w:rPr>
        <w:t xml:space="preserve"> </w:t>
      </w:r>
      <w:r w:rsidR="00587A5D">
        <w:t>Standards</w:t>
      </w:r>
      <w:r w:rsidR="00587A5D">
        <w:rPr>
          <w:spacing w:val="-4"/>
        </w:rPr>
        <w:t xml:space="preserve"> </w:t>
      </w:r>
      <w:r w:rsidR="00587A5D">
        <w:t>and versions</w:t>
      </w:r>
      <w:r w:rsidR="00587A5D">
        <w:rPr>
          <w:spacing w:val="-4"/>
        </w:rPr>
        <w:t xml:space="preserve"> </w:t>
      </w:r>
      <w:r w:rsidR="00587A5D">
        <w:t>of</w:t>
      </w:r>
      <w:r w:rsidR="00587A5D">
        <w:rPr>
          <w:spacing w:val="-3"/>
        </w:rPr>
        <w:t xml:space="preserve"> </w:t>
      </w:r>
      <w:r w:rsidR="00587A5D">
        <w:t>Australian Standards that industry and regulators require access to.</w:t>
      </w:r>
    </w:p>
    <w:p w14:paraId="1F0BAF97" w14:textId="5B642446" w:rsidR="007A10B7" w:rsidRDefault="007A10B7" w:rsidP="007A10B7">
      <w:pPr>
        <w:autoSpaceDE w:val="0"/>
        <w:autoSpaceDN w:val="0"/>
        <w:adjustRightInd w:val="0"/>
        <w:ind w:right="-356"/>
      </w:pPr>
    </w:p>
    <w:p w14:paraId="7E3C4091" w14:textId="30232262" w:rsidR="007A10B7" w:rsidRDefault="00587A5D" w:rsidP="007A10B7">
      <w:pPr>
        <w:autoSpaceDE w:val="0"/>
        <w:autoSpaceDN w:val="0"/>
        <w:adjustRightInd w:val="0"/>
        <w:ind w:right="-356"/>
      </w:pPr>
      <w:r>
        <w:t xml:space="preserve">The standards referenced in the BCA are available for purchase from </w:t>
      </w:r>
      <w:hyperlink r:id="rId10" w:history="1">
        <w:r w:rsidRPr="006E6C5A">
          <w:rPr>
            <w:rStyle w:val="Hyperlink"/>
          </w:rPr>
          <w:t>www.standards.org.au</w:t>
        </w:r>
      </w:hyperlink>
      <w:r>
        <w:t xml:space="preserve">. </w:t>
      </w:r>
      <w:r w:rsidR="007A10B7">
        <w:t>There are challenges relating to the ability to provide public access to Australian Standards due to copyright issues.</w:t>
      </w:r>
      <w:r w:rsidR="00853218">
        <w:t xml:space="preserve"> </w:t>
      </w:r>
      <w:r w:rsidR="007A10B7">
        <w:t>Standards Australia has an initiative (Reader Room) that provides limited, no-fee access to the entire catalogue of Australian Standards for non- commercial</w:t>
      </w:r>
      <w:r w:rsidR="007A10B7">
        <w:rPr>
          <w:spacing w:val="-4"/>
        </w:rPr>
        <w:t xml:space="preserve"> </w:t>
      </w:r>
      <w:r w:rsidR="007A10B7">
        <w:t>purposes,</w:t>
      </w:r>
      <w:r w:rsidR="007A10B7">
        <w:rPr>
          <w:spacing w:val="-5"/>
        </w:rPr>
        <w:t xml:space="preserve"> </w:t>
      </w:r>
      <w:r w:rsidR="007A10B7">
        <w:t>that</w:t>
      </w:r>
      <w:r w:rsidR="007A10B7">
        <w:rPr>
          <w:spacing w:val="-5"/>
        </w:rPr>
        <w:t xml:space="preserve"> </w:t>
      </w:r>
      <w:r w:rsidR="007A10B7">
        <w:t>is</w:t>
      </w:r>
      <w:r w:rsidR="007A10B7">
        <w:rPr>
          <w:spacing w:val="-3"/>
        </w:rPr>
        <w:t xml:space="preserve"> </w:t>
      </w:r>
      <w:r w:rsidR="007A10B7">
        <w:t>for</w:t>
      </w:r>
      <w:r w:rsidR="007A10B7">
        <w:rPr>
          <w:spacing w:val="-4"/>
        </w:rPr>
        <w:t xml:space="preserve"> </w:t>
      </w:r>
      <w:r w:rsidR="007A10B7">
        <w:t>personal,</w:t>
      </w:r>
      <w:r w:rsidR="007A10B7">
        <w:rPr>
          <w:spacing w:val="-1"/>
        </w:rPr>
        <w:t xml:space="preserve"> </w:t>
      </w:r>
      <w:r w:rsidR="007A10B7">
        <w:t>domestic</w:t>
      </w:r>
      <w:r w:rsidR="007A10B7">
        <w:rPr>
          <w:spacing w:val="-6"/>
        </w:rPr>
        <w:t xml:space="preserve"> </w:t>
      </w:r>
      <w:r w:rsidR="007A10B7">
        <w:t>or</w:t>
      </w:r>
      <w:r w:rsidR="007A10B7">
        <w:rPr>
          <w:spacing w:val="-4"/>
        </w:rPr>
        <w:t xml:space="preserve"> </w:t>
      </w:r>
      <w:r w:rsidR="007A10B7">
        <w:t>household</w:t>
      </w:r>
      <w:r w:rsidR="007A10B7">
        <w:rPr>
          <w:spacing w:val="-3"/>
        </w:rPr>
        <w:t xml:space="preserve"> </w:t>
      </w:r>
      <w:r w:rsidR="007A10B7">
        <w:t>use.</w:t>
      </w:r>
      <w:r w:rsidR="007A10B7">
        <w:rPr>
          <w:spacing w:val="-5"/>
        </w:rPr>
        <w:t xml:space="preserve"> </w:t>
      </w:r>
      <w:r w:rsidR="007A10B7">
        <w:t xml:space="preserve">This initiative provides access for free to a maximum of three standards every 12 months, with access for 24 hours at a time. The Reader Room is available at </w:t>
      </w:r>
      <w:hyperlink r:id="rId11" w:history="1">
        <w:r w:rsidRPr="006E6C5A">
          <w:rPr>
            <w:rStyle w:val="Hyperlink"/>
          </w:rPr>
          <w:t>https://readerroom.standards.org.au/</w:t>
        </w:r>
      </w:hyperlink>
      <w:r w:rsidR="007A10B7">
        <w:t>.</w:t>
      </w:r>
    </w:p>
    <w:p w14:paraId="11EAE780" w14:textId="77777777" w:rsidR="00587A5D" w:rsidRDefault="00587A5D" w:rsidP="007A10B7">
      <w:pPr>
        <w:autoSpaceDE w:val="0"/>
        <w:autoSpaceDN w:val="0"/>
        <w:adjustRightInd w:val="0"/>
        <w:ind w:right="-356"/>
      </w:pPr>
    </w:p>
    <w:p w14:paraId="1D22A674" w14:textId="0465BD4A" w:rsidR="0011364A" w:rsidRDefault="0011364A" w:rsidP="0011364A">
      <w:pPr>
        <w:pStyle w:val="NormalWeb"/>
        <w:shd w:val="clear" w:color="auto" w:fill="FFFFFF"/>
        <w:spacing w:before="0" w:beforeAutospacing="0" w:after="0" w:afterAutospacing="0"/>
        <w:rPr>
          <w:color w:val="000000"/>
        </w:rPr>
      </w:pPr>
      <w:r>
        <w:rPr>
          <w:color w:val="000000"/>
        </w:rPr>
        <w:t xml:space="preserve">Clause 6 revokes the </w:t>
      </w:r>
      <w:r w:rsidR="004E1EF0" w:rsidRPr="0011364A">
        <w:rPr>
          <w:i/>
          <w:iCs/>
          <w:color w:val="000000"/>
        </w:rPr>
        <w:t>B</w:t>
      </w:r>
      <w:r w:rsidR="004E1EF0">
        <w:rPr>
          <w:i/>
          <w:iCs/>
        </w:rPr>
        <w:t>uilding (</w:t>
      </w:r>
      <w:r w:rsidR="004E1EF0" w:rsidRPr="00EE07F2">
        <w:rPr>
          <w:i/>
          <w:iCs/>
        </w:rPr>
        <w:t xml:space="preserve">ACT Appendix to the </w:t>
      </w:r>
      <w:r w:rsidR="004E1EF0">
        <w:rPr>
          <w:i/>
          <w:iCs/>
        </w:rPr>
        <w:t>Building</w:t>
      </w:r>
      <w:r w:rsidR="004E1EF0" w:rsidRPr="00EE07F2">
        <w:rPr>
          <w:i/>
          <w:iCs/>
        </w:rPr>
        <w:t xml:space="preserve"> Code) Determination 20</w:t>
      </w:r>
      <w:r w:rsidR="004E1EF0">
        <w:rPr>
          <w:i/>
          <w:iCs/>
        </w:rPr>
        <w:t>23</w:t>
      </w:r>
      <w:r w:rsidR="004E1EF0" w:rsidRPr="00167466">
        <w:rPr>
          <w:i/>
          <w:iCs/>
        </w:rPr>
        <w:t xml:space="preserve"> </w:t>
      </w:r>
      <w:r w:rsidR="004E1EF0" w:rsidRPr="00742E7C">
        <w:rPr>
          <w:i/>
          <w:iCs/>
        </w:rPr>
        <w:t xml:space="preserve">(No </w:t>
      </w:r>
      <w:r w:rsidR="00C32CE0">
        <w:rPr>
          <w:i/>
          <w:iCs/>
        </w:rPr>
        <w:t>3</w:t>
      </w:r>
      <w:r w:rsidR="004E1EF0" w:rsidRPr="00742E7C">
        <w:rPr>
          <w:i/>
          <w:iCs/>
        </w:rPr>
        <w:t>)</w:t>
      </w:r>
      <w:r w:rsidR="004E1EF0" w:rsidRPr="007A10B7">
        <w:t xml:space="preserve"> </w:t>
      </w:r>
      <w:r w:rsidR="00853218">
        <w:t>(DI2023-304)</w:t>
      </w:r>
      <w:r>
        <w:rPr>
          <w:color w:val="000000"/>
        </w:rPr>
        <w:t>.</w:t>
      </w:r>
    </w:p>
    <w:p w14:paraId="603927A9" w14:textId="77777777" w:rsidR="00640143" w:rsidRDefault="00640143" w:rsidP="00640143">
      <w:pPr>
        <w:autoSpaceDE w:val="0"/>
        <w:autoSpaceDN w:val="0"/>
        <w:adjustRightInd w:val="0"/>
        <w:ind w:right="-356"/>
        <w:rPr>
          <w:color w:val="000000"/>
        </w:rPr>
      </w:pPr>
    </w:p>
    <w:p w14:paraId="0BE13928" w14:textId="7A293EDA" w:rsidR="00640143" w:rsidRPr="00C42C12" w:rsidRDefault="00640143" w:rsidP="00640143">
      <w:pPr>
        <w:autoSpaceDE w:val="0"/>
        <w:autoSpaceDN w:val="0"/>
        <w:adjustRightInd w:val="0"/>
        <w:ind w:right="-356"/>
      </w:pPr>
      <w:r>
        <w:rPr>
          <w:color w:val="000000"/>
        </w:rPr>
        <w:t xml:space="preserve">Schedule </w:t>
      </w:r>
      <w:r w:rsidR="00853218">
        <w:rPr>
          <w:color w:val="000000"/>
        </w:rPr>
        <w:t>1</w:t>
      </w:r>
      <w:r>
        <w:rPr>
          <w:color w:val="000000"/>
        </w:rPr>
        <w:t xml:space="preserve"> contains the </w:t>
      </w:r>
      <w:r>
        <w:t xml:space="preserve">ACT specific variations to </w:t>
      </w:r>
      <w:r w:rsidR="00CF6178">
        <w:t xml:space="preserve">the </w:t>
      </w:r>
      <w:r w:rsidR="00C360BB">
        <w:t>Building Code of Australia (volumes</w:t>
      </w:r>
      <w:r w:rsidR="0075678C">
        <w:t> </w:t>
      </w:r>
      <w:r w:rsidR="00C360BB">
        <w:t>1 and 2 of the National Construction Code). T</w:t>
      </w:r>
      <w:r>
        <w:t xml:space="preserve">he </w:t>
      </w:r>
      <w:r w:rsidR="00C360BB">
        <w:t xml:space="preserve">new </w:t>
      </w:r>
      <w:r>
        <w:t>energy efficiency provision</w:t>
      </w:r>
      <w:r w:rsidR="00C360BB">
        <w:t xml:space="preserve"> options</w:t>
      </w:r>
      <w:r>
        <w:t xml:space="preserve"> covered by ACT Part H6 continues the ACT’s flexible and practical approach to applying energy efficiency upgrades to alterations and substantial alterations of existing buildings. The</w:t>
      </w:r>
      <w:r w:rsidR="007A10B7">
        <w:t xml:space="preserve"> variations</w:t>
      </w:r>
      <w:r>
        <w:t xml:space="preserve"> should be read in conjunction with t</w:t>
      </w:r>
      <w:r w:rsidRPr="00C42C12">
        <w:t xml:space="preserve">he </w:t>
      </w:r>
      <w:r w:rsidRPr="00C42C12">
        <w:rPr>
          <w:i/>
        </w:rPr>
        <w:t>Building (General) Regulation 2008</w:t>
      </w:r>
      <w:r w:rsidRPr="00C42C12">
        <w:t xml:space="preserve"> and the </w:t>
      </w:r>
      <w:r w:rsidRPr="00C42C12">
        <w:rPr>
          <w:i/>
          <w:iCs/>
        </w:rPr>
        <w:t>Building (General) (Alternative requirements for unaltered parts) Determination</w:t>
      </w:r>
      <w:r>
        <w:rPr>
          <w:i/>
          <w:iCs/>
        </w:rPr>
        <w:t xml:space="preserve"> </w:t>
      </w:r>
      <w:r>
        <w:t>(as amended from time to time)</w:t>
      </w:r>
      <w:r>
        <w:rPr>
          <w:i/>
          <w:iCs/>
        </w:rPr>
        <w:t>.</w:t>
      </w:r>
      <w:r>
        <w:t xml:space="preserve"> </w:t>
      </w:r>
    </w:p>
    <w:p w14:paraId="3400EC81" w14:textId="2C5DF7D0" w:rsidR="00640143" w:rsidRDefault="00640143" w:rsidP="00640143"/>
    <w:sectPr w:rsidR="00640143" w:rsidSect="0072165A">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A0F2" w14:textId="77777777" w:rsidR="009124F7" w:rsidRDefault="009124F7" w:rsidP="0072165A">
      <w:r>
        <w:separator/>
      </w:r>
    </w:p>
  </w:endnote>
  <w:endnote w:type="continuationSeparator" w:id="0">
    <w:p w14:paraId="4DE3480A" w14:textId="77777777" w:rsidR="009124F7" w:rsidRDefault="009124F7" w:rsidP="0072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C1E9" w14:textId="77777777" w:rsidR="00B6403B" w:rsidRDefault="00B6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88C9" w14:textId="6D02AE46" w:rsidR="00862DFE" w:rsidRPr="00B6403B" w:rsidRDefault="00B6403B" w:rsidP="00B6403B">
    <w:pPr>
      <w:pStyle w:val="Footer"/>
      <w:jc w:val="center"/>
      <w:rPr>
        <w:rFonts w:ascii="Arial" w:hAnsi="Arial" w:cs="Arial"/>
        <w:sz w:val="14"/>
      </w:rPr>
    </w:pPr>
    <w:r w:rsidRPr="00B6403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5B6A" w14:textId="77777777" w:rsidR="00B6403B" w:rsidRDefault="00B6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FEFC" w14:textId="77777777" w:rsidR="009124F7" w:rsidRDefault="009124F7" w:rsidP="0072165A">
      <w:r>
        <w:separator/>
      </w:r>
    </w:p>
  </w:footnote>
  <w:footnote w:type="continuationSeparator" w:id="0">
    <w:p w14:paraId="0585A251" w14:textId="77777777" w:rsidR="009124F7" w:rsidRDefault="009124F7" w:rsidP="0072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9D21" w14:textId="77777777" w:rsidR="00B6403B" w:rsidRDefault="00B64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0DD5" w14:textId="77777777" w:rsidR="00B6403B" w:rsidRDefault="00B64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A748" w14:textId="77777777" w:rsidR="00B6403B" w:rsidRDefault="00B6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Chapter %1"/>
      <w:legacy w:legacy="1" w:legacySpace="120" w:legacyIndent="360"/>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3F85E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0663A"/>
    <w:multiLevelType w:val="hybridMultilevel"/>
    <w:tmpl w:val="FFFFFFFF"/>
    <w:lvl w:ilvl="0" w:tplc="0C090019">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 w15:restartNumberingAfterBreak="0">
    <w:nsid w:val="0B6F40F7"/>
    <w:multiLevelType w:val="hybridMultilevel"/>
    <w:tmpl w:val="FFFFFFFF"/>
    <w:lvl w:ilvl="0" w:tplc="0C090001">
      <w:start w:val="1"/>
      <w:numFmt w:val="bullet"/>
      <w:lvlText w:val=""/>
      <w:lvlJc w:val="left"/>
      <w:pPr>
        <w:ind w:left="720" w:hanging="360"/>
      </w:pPr>
      <w:rPr>
        <w:rFonts w:ascii="Symbol" w:hAnsi="Symbol" w:hint="default"/>
      </w:rPr>
    </w:lvl>
    <w:lvl w:ilvl="1" w:tplc="FFFFFFFF">
      <w:start w:val="45"/>
      <w:numFmt w:val="bullet"/>
      <w:lvlText w:val="-"/>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5911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F5F6E"/>
    <w:multiLevelType w:val="singleLevel"/>
    <w:tmpl w:val="FFFFFFFF"/>
    <w:lvl w:ilvl="0">
      <w:start w:val="1"/>
      <w:numFmt w:val="decimal"/>
      <w:lvlText w:val="%1."/>
      <w:lvlJc w:val="left"/>
      <w:pPr>
        <w:tabs>
          <w:tab w:val="num" w:pos="360"/>
        </w:tabs>
        <w:ind w:left="360" w:hanging="360"/>
      </w:pPr>
      <w:rPr>
        <w:rFonts w:cs="Times New Roman"/>
      </w:rPr>
    </w:lvl>
  </w:abstractNum>
  <w:abstractNum w:abstractNumId="6" w15:restartNumberingAfterBreak="0">
    <w:nsid w:val="1930040E"/>
    <w:multiLevelType w:val="hybridMultilevel"/>
    <w:tmpl w:val="FFFFFFFF"/>
    <w:lvl w:ilvl="0" w:tplc="CAAA4F60">
      <w:start w:val="1"/>
      <w:numFmt w:val="decimal"/>
      <w:lvlText w:val="(%1)"/>
      <w:lvlJc w:val="left"/>
      <w:pPr>
        <w:ind w:left="720" w:hanging="360"/>
      </w:pPr>
      <w:rPr>
        <w:rFonts w:cs="Times New Roman" w:hint="default"/>
        <w:color w:val="0000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AB8399C"/>
    <w:multiLevelType w:val="hybridMultilevel"/>
    <w:tmpl w:val="B2804D26"/>
    <w:lvl w:ilvl="0" w:tplc="0C090001">
      <w:start w:val="1"/>
      <w:numFmt w:val="bullet"/>
      <w:lvlText w:val=""/>
      <w:lvlJc w:val="left"/>
      <w:pPr>
        <w:ind w:left="720" w:hanging="360"/>
      </w:pPr>
      <w:rPr>
        <w:rFonts w:ascii="Symbol" w:eastAsia="Times New Roman" w:hAnsi="Symbol" w:cs="Times New Roman"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2F7D8A"/>
    <w:multiLevelType w:val="multilevel"/>
    <w:tmpl w:val="C932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8780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0" w15:restartNumberingAfterBreak="0">
    <w:nsid w:val="335872B8"/>
    <w:multiLevelType w:val="hybridMultilevel"/>
    <w:tmpl w:val="FFFFFFFF"/>
    <w:lvl w:ilvl="0" w:tplc="A63CC0A4">
      <w:start w:val="1"/>
      <w:numFmt w:val="decimal"/>
      <w:lvlText w:val="%1."/>
      <w:lvlJc w:val="left"/>
      <w:pPr>
        <w:ind w:left="720" w:hanging="360"/>
      </w:pPr>
      <w:rPr>
        <w:rFonts w:cs="Times New Roman"/>
        <w:color w:val="auto"/>
        <w:sz w:val="24"/>
        <w:szCs w:val="24"/>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346C3F30"/>
    <w:multiLevelType w:val="hybridMultilevel"/>
    <w:tmpl w:val="FFFFFFFF"/>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04ECB"/>
    <w:multiLevelType w:val="hybridMultilevel"/>
    <w:tmpl w:val="ED6A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102938"/>
    <w:multiLevelType w:val="hybridMultilevel"/>
    <w:tmpl w:val="FFFFFFFF"/>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301539"/>
    <w:multiLevelType w:val="hybridMultilevel"/>
    <w:tmpl w:val="A31E30B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5" w15:restartNumberingAfterBreak="0">
    <w:nsid w:val="51173158"/>
    <w:multiLevelType w:val="singleLevel"/>
    <w:tmpl w:val="FFFFFFFF"/>
    <w:lvl w:ilvl="0">
      <w:start w:val="45"/>
      <w:numFmt w:val="bullet"/>
      <w:lvlText w:val="-"/>
      <w:lvlJc w:val="left"/>
      <w:pPr>
        <w:tabs>
          <w:tab w:val="num" w:pos="360"/>
        </w:tabs>
        <w:ind w:left="360" w:hanging="360"/>
      </w:pPr>
      <w:rPr>
        <w:rFonts w:hint="default"/>
      </w:rPr>
    </w:lvl>
  </w:abstractNum>
  <w:abstractNum w:abstractNumId="16" w15:restartNumberingAfterBreak="0">
    <w:nsid w:val="52CA5F97"/>
    <w:multiLevelType w:val="multilevel"/>
    <w:tmpl w:val="C1C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97682"/>
    <w:multiLevelType w:val="hybridMultilevel"/>
    <w:tmpl w:val="FFFFFFFF"/>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5C9D2A29"/>
    <w:multiLevelType w:val="hybridMultilevel"/>
    <w:tmpl w:val="FFFFFFFF"/>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07DDE"/>
    <w:multiLevelType w:val="hybridMultilevel"/>
    <w:tmpl w:val="076CF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1A503F"/>
    <w:multiLevelType w:val="hybridMultilevel"/>
    <w:tmpl w:val="FFFFFFFF"/>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56E6D"/>
    <w:multiLevelType w:val="hybridMultilevel"/>
    <w:tmpl w:val="2F0C2F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101149568">
    <w:abstractNumId w:val="20"/>
  </w:num>
  <w:num w:numId="2" w16cid:durableId="953246236">
    <w:abstractNumId w:val="13"/>
  </w:num>
  <w:num w:numId="3" w16cid:durableId="703166881">
    <w:abstractNumId w:val="18"/>
  </w:num>
  <w:num w:numId="4" w16cid:durableId="1859347132">
    <w:abstractNumId w:val="18"/>
  </w:num>
  <w:num w:numId="5" w16cid:durableId="95289898">
    <w:abstractNumId w:val="15"/>
  </w:num>
  <w:num w:numId="6" w16cid:durableId="1185439794">
    <w:abstractNumId w:val="0"/>
  </w:num>
  <w:num w:numId="7" w16cid:durableId="769159028">
    <w:abstractNumId w:val="5"/>
  </w:num>
  <w:num w:numId="8" w16cid:durableId="2053995717">
    <w:abstractNumId w:val="9"/>
  </w:num>
  <w:num w:numId="9" w16cid:durableId="1656910195">
    <w:abstractNumId w:val="11"/>
  </w:num>
  <w:num w:numId="10" w16cid:durableId="127092056">
    <w:abstractNumId w:val="10"/>
  </w:num>
  <w:num w:numId="11" w16cid:durableId="1917350564">
    <w:abstractNumId w:val="17"/>
  </w:num>
  <w:num w:numId="12" w16cid:durableId="1504783691">
    <w:abstractNumId w:val="6"/>
  </w:num>
  <w:num w:numId="13" w16cid:durableId="1286043534">
    <w:abstractNumId w:val="1"/>
  </w:num>
  <w:num w:numId="14" w16cid:durableId="1617254437">
    <w:abstractNumId w:val="4"/>
  </w:num>
  <w:num w:numId="15" w16cid:durableId="1380862995">
    <w:abstractNumId w:val="3"/>
  </w:num>
  <w:num w:numId="16" w16cid:durableId="702364567">
    <w:abstractNumId w:val="2"/>
  </w:num>
  <w:num w:numId="17" w16cid:durableId="1823616995">
    <w:abstractNumId w:val="7"/>
  </w:num>
  <w:num w:numId="18" w16cid:durableId="325596995">
    <w:abstractNumId w:val="14"/>
  </w:num>
  <w:num w:numId="19" w16cid:durableId="748385969">
    <w:abstractNumId w:val="12"/>
  </w:num>
  <w:num w:numId="20" w16cid:durableId="1775788005">
    <w:abstractNumId w:val="8"/>
  </w:num>
  <w:num w:numId="21" w16cid:durableId="1097209240">
    <w:abstractNumId w:val="16"/>
  </w:num>
  <w:num w:numId="22" w16cid:durableId="1746995225">
    <w:abstractNumId w:val="19"/>
  </w:num>
  <w:num w:numId="23" w16cid:durableId="8437820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33"/>
    <w:rsid w:val="00021B33"/>
    <w:rsid w:val="00026981"/>
    <w:rsid w:val="00032112"/>
    <w:rsid w:val="00036AA3"/>
    <w:rsid w:val="00036F02"/>
    <w:rsid w:val="000378AB"/>
    <w:rsid w:val="000431EA"/>
    <w:rsid w:val="00046EC7"/>
    <w:rsid w:val="00052EA2"/>
    <w:rsid w:val="00054C22"/>
    <w:rsid w:val="00060A33"/>
    <w:rsid w:val="00064A77"/>
    <w:rsid w:val="0007102B"/>
    <w:rsid w:val="0007274D"/>
    <w:rsid w:val="000978AF"/>
    <w:rsid w:val="000A1A53"/>
    <w:rsid w:val="000A441E"/>
    <w:rsid w:val="000C2D3C"/>
    <w:rsid w:val="000D2583"/>
    <w:rsid w:val="000D2EDE"/>
    <w:rsid w:val="000D42F2"/>
    <w:rsid w:val="000D4E03"/>
    <w:rsid w:val="000D7A02"/>
    <w:rsid w:val="000E39C3"/>
    <w:rsid w:val="000F3F4C"/>
    <w:rsid w:val="00101A99"/>
    <w:rsid w:val="00105FCC"/>
    <w:rsid w:val="00106D7B"/>
    <w:rsid w:val="0011364A"/>
    <w:rsid w:val="001266FD"/>
    <w:rsid w:val="0013502F"/>
    <w:rsid w:val="00140735"/>
    <w:rsid w:val="00141CFF"/>
    <w:rsid w:val="0014366C"/>
    <w:rsid w:val="00143BD9"/>
    <w:rsid w:val="00145C84"/>
    <w:rsid w:val="0016000D"/>
    <w:rsid w:val="00166C2B"/>
    <w:rsid w:val="001673C6"/>
    <w:rsid w:val="00167466"/>
    <w:rsid w:val="00167F9D"/>
    <w:rsid w:val="00184F0E"/>
    <w:rsid w:val="00192F90"/>
    <w:rsid w:val="001941ED"/>
    <w:rsid w:val="001A378E"/>
    <w:rsid w:val="001B2C48"/>
    <w:rsid w:val="001B2EE7"/>
    <w:rsid w:val="001B377D"/>
    <w:rsid w:val="001B557B"/>
    <w:rsid w:val="001C6B61"/>
    <w:rsid w:val="001D5356"/>
    <w:rsid w:val="001E366E"/>
    <w:rsid w:val="001E4563"/>
    <w:rsid w:val="001F0837"/>
    <w:rsid w:val="001F452F"/>
    <w:rsid w:val="00216137"/>
    <w:rsid w:val="00232A0D"/>
    <w:rsid w:val="00233B84"/>
    <w:rsid w:val="00234B06"/>
    <w:rsid w:val="0024248E"/>
    <w:rsid w:val="00245CDA"/>
    <w:rsid w:val="00246ACC"/>
    <w:rsid w:val="002473D6"/>
    <w:rsid w:val="00250B0F"/>
    <w:rsid w:val="00262752"/>
    <w:rsid w:val="00263D4C"/>
    <w:rsid w:val="002653F2"/>
    <w:rsid w:val="002675EF"/>
    <w:rsid w:val="00282963"/>
    <w:rsid w:val="00284A72"/>
    <w:rsid w:val="002876A0"/>
    <w:rsid w:val="00287BDE"/>
    <w:rsid w:val="00295BC7"/>
    <w:rsid w:val="00297B6A"/>
    <w:rsid w:val="002A0D3D"/>
    <w:rsid w:val="002A7000"/>
    <w:rsid w:val="002B0424"/>
    <w:rsid w:val="002B36FA"/>
    <w:rsid w:val="002B48B8"/>
    <w:rsid w:val="002B540C"/>
    <w:rsid w:val="002B63CA"/>
    <w:rsid w:val="002C16C9"/>
    <w:rsid w:val="002C7E2A"/>
    <w:rsid w:val="002D3737"/>
    <w:rsid w:val="002E07CE"/>
    <w:rsid w:val="002E61E5"/>
    <w:rsid w:val="002F436A"/>
    <w:rsid w:val="002F7093"/>
    <w:rsid w:val="002F7119"/>
    <w:rsid w:val="0030171A"/>
    <w:rsid w:val="003071B8"/>
    <w:rsid w:val="0031200C"/>
    <w:rsid w:val="00321970"/>
    <w:rsid w:val="0032738E"/>
    <w:rsid w:val="003405C0"/>
    <w:rsid w:val="00340B51"/>
    <w:rsid w:val="00351439"/>
    <w:rsid w:val="00356FEB"/>
    <w:rsid w:val="00360A00"/>
    <w:rsid w:val="0036220E"/>
    <w:rsid w:val="00366411"/>
    <w:rsid w:val="00367AFF"/>
    <w:rsid w:val="00371A93"/>
    <w:rsid w:val="003753B8"/>
    <w:rsid w:val="003772D2"/>
    <w:rsid w:val="0038751C"/>
    <w:rsid w:val="00393AEF"/>
    <w:rsid w:val="003A4171"/>
    <w:rsid w:val="003B460D"/>
    <w:rsid w:val="003B7223"/>
    <w:rsid w:val="003C1595"/>
    <w:rsid w:val="003C1874"/>
    <w:rsid w:val="003D00F2"/>
    <w:rsid w:val="003D109B"/>
    <w:rsid w:val="003E6E42"/>
    <w:rsid w:val="003F5433"/>
    <w:rsid w:val="003F5FDA"/>
    <w:rsid w:val="00401091"/>
    <w:rsid w:val="004031D7"/>
    <w:rsid w:val="00403E4C"/>
    <w:rsid w:val="00404806"/>
    <w:rsid w:val="00414DB9"/>
    <w:rsid w:val="004203F3"/>
    <w:rsid w:val="004455B3"/>
    <w:rsid w:val="0045410A"/>
    <w:rsid w:val="00461DD9"/>
    <w:rsid w:val="00461F52"/>
    <w:rsid w:val="00480387"/>
    <w:rsid w:val="00480B74"/>
    <w:rsid w:val="0048344C"/>
    <w:rsid w:val="004838CE"/>
    <w:rsid w:val="00490B20"/>
    <w:rsid w:val="004926FF"/>
    <w:rsid w:val="004A035D"/>
    <w:rsid w:val="004A10CE"/>
    <w:rsid w:val="004B25A1"/>
    <w:rsid w:val="004B3F00"/>
    <w:rsid w:val="004C144C"/>
    <w:rsid w:val="004E1EF0"/>
    <w:rsid w:val="004E2275"/>
    <w:rsid w:val="004E445A"/>
    <w:rsid w:val="004E5CF6"/>
    <w:rsid w:val="004F1A05"/>
    <w:rsid w:val="004F5844"/>
    <w:rsid w:val="004F6272"/>
    <w:rsid w:val="00504BE3"/>
    <w:rsid w:val="00515D65"/>
    <w:rsid w:val="00517DF8"/>
    <w:rsid w:val="00532F9A"/>
    <w:rsid w:val="00533CA8"/>
    <w:rsid w:val="005340B6"/>
    <w:rsid w:val="00543F67"/>
    <w:rsid w:val="00555402"/>
    <w:rsid w:val="0055663E"/>
    <w:rsid w:val="00570BB9"/>
    <w:rsid w:val="00583548"/>
    <w:rsid w:val="00585C2E"/>
    <w:rsid w:val="00587A5D"/>
    <w:rsid w:val="005A623D"/>
    <w:rsid w:val="005A6DCF"/>
    <w:rsid w:val="005A7662"/>
    <w:rsid w:val="005E08E9"/>
    <w:rsid w:val="00610614"/>
    <w:rsid w:val="00610656"/>
    <w:rsid w:val="0061378D"/>
    <w:rsid w:val="006137B1"/>
    <w:rsid w:val="00635DEC"/>
    <w:rsid w:val="00640143"/>
    <w:rsid w:val="006437A1"/>
    <w:rsid w:val="00644116"/>
    <w:rsid w:val="00654E91"/>
    <w:rsid w:val="00664497"/>
    <w:rsid w:val="006658A0"/>
    <w:rsid w:val="006713D2"/>
    <w:rsid w:val="00693F42"/>
    <w:rsid w:val="006B3E4E"/>
    <w:rsid w:val="006C100C"/>
    <w:rsid w:val="006C1CEC"/>
    <w:rsid w:val="006D1A50"/>
    <w:rsid w:val="006D1B39"/>
    <w:rsid w:val="006D70B4"/>
    <w:rsid w:val="006F3430"/>
    <w:rsid w:val="006F3A51"/>
    <w:rsid w:val="006F6A65"/>
    <w:rsid w:val="007154B0"/>
    <w:rsid w:val="0071593D"/>
    <w:rsid w:val="00720F5B"/>
    <w:rsid w:val="0072165A"/>
    <w:rsid w:val="00742E7C"/>
    <w:rsid w:val="00743603"/>
    <w:rsid w:val="007463FC"/>
    <w:rsid w:val="0075678C"/>
    <w:rsid w:val="007644D3"/>
    <w:rsid w:val="00770952"/>
    <w:rsid w:val="0077323E"/>
    <w:rsid w:val="007806D9"/>
    <w:rsid w:val="00796171"/>
    <w:rsid w:val="007A10B7"/>
    <w:rsid w:val="007A2A8B"/>
    <w:rsid w:val="007B1F3D"/>
    <w:rsid w:val="007C7066"/>
    <w:rsid w:val="007D0C74"/>
    <w:rsid w:val="007D3D99"/>
    <w:rsid w:val="007E564F"/>
    <w:rsid w:val="007E5A88"/>
    <w:rsid w:val="0080286E"/>
    <w:rsid w:val="00811D4E"/>
    <w:rsid w:val="008149C6"/>
    <w:rsid w:val="00816CE0"/>
    <w:rsid w:val="00816F0A"/>
    <w:rsid w:val="008234C5"/>
    <w:rsid w:val="00832A81"/>
    <w:rsid w:val="00834048"/>
    <w:rsid w:val="00837616"/>
    <w:rsid w:val="00853218"/>
    <w:rsid w:val="00853A2C"/>
    <w:rsid w:val="00857485"/>
    <w:rsid w:val="00862DFE"/>
    <w:rsid w:val="00876B38"/>
    <w:rsid w:val="008774B2"/>
    <w:rsid w:val="00884A32"/>
    <w:rsid w:val="00885ED8"/>
    <w:rsid w:val="0089005C"/>
    <w:rsid w:val="00892E8A"/>
    <w:rsid w:val="008A376A"/>
    <w:rsid w:val="008A470A"/>
    <w:rsid w:val="008B1A11"/>
    <w:rsid w:val="008B2BFA"/>
    <w:rsid w:val="008B770C"/>
    <w:rsid w:val="008C09B9"/>
    <w:rsid w:val="008D062E"/>
    <w:rsid w:val="008D081F"/>
    <w:rsid w:val="008D1D20"/>
    <w:rsid w:val="008D2B37"/>
    <w:rsid w:val="008D497B"/>
    <w:rsid w:val="008E00EA"/>
    <w:rsid w:val="008E0A62"/>
    <w:rsid w:val="008E3FE3"/>
    <w:rsid w:val="008E65D7"/>
    <w:rsid w:val="008E76CF"/>
    <w:rsid w:val="008F0230"/>
    <w:rsid w:val="008F0FD5"/>
    <w:rsid w:val="008F3EEE"/>
    <w:rsid w:val="008F4F49"/>
    <w:rsid w:val="00902C4A"/>
    <w:rsid w:val="00903411"/>
    <w:rsid w:val="009048D1"/>
    <w:rsid w:val="00912333"/>
    <w:rsid w:val="009124F7"/>
    <w:rsid w:val="009152DB"/>
    <w:rsid w:val="009201A2"/>
    <w:rsid w:val="009305D0"/>
    <w:rsid w:val="00941A6E"/>
    <w:rsid w:val="009504C2"/>
    <w:rsid w:val="009619DF"/>
    <w:rsid w:val="009633BA"/>
    <w:rsid w:val="00964895"/>
    <w:rsid w:val="00972D51"/>
    <w:rsid w:val="00973DDE"/>
    <w:rsid w:val="00977BD6"/>
    <w:rsid w:val="00987EDC"/>
    <w:rsid w:val="009937F4"/>
    <w:rsid w:val="009A4545"/>
    <w:rsid w:val="009A45B0"/>
    <w:rsid w:val="009A7352"/>
    <w:rsid w:val="009B10B7"/>
    <w:rsid w:val="009B6376"/>
    <w:rsid w:val="009B68A7"/>
    <w:rsid w:val="009D0355"/>
    <w:rsid w:val="009D0427"/>
    <w:rsid w:val="009D0F98"/>
    <w:rsid w:val="009D105E"/>
    <w:rsid w:val="009E0F58"/>
    <w:rsid w:val="009E5A23"/>
    <w:rsid w:val="009F4DAF"/>
    <w:rsid w:val="009F74FD"/>
    <w:rsid w:val="00A02FFC"/>
    <w:rsid w:val="00A16E19"/>
    <w:rsid w:val="00A17BC4"/>
    <w:rsid w:val="00A23625"/>
    <w:rsid w:val="00A3257C"/>
    <w:rsid w:val="00A4276F"/>
    <w:rsid w:val="00A47AFE"/>
    <w:rsid w:val="00A51808"/>
    <w:rsid w:val="00A53792"/>
    <w:rsid w:val="00A5673E"/>
    <w:rsid w:val="00A60AEC"/>
    <w:rsid w:val="00A65B02"/>
    <w:rsid w:val="00A70C28"/>
    <w:rsid w:val="00A72282"/>
    <w:rsid w:val="00A91191"/>
    <w:rsid w:val="00A945B0"/>
    <w:rsid w:val="00A9722A"/>
    <w:rsid w:val="00AA1410"/>
    <w:rsid w:val="00AA3589"/>
    <w:rsid w:val="00AC4455"/>
    <w:rsid w:val="00AE43BD"/>
    <w:rsid w:val="00B00A05"/>
    <w:rsid w:val="00B01C36"/>
    <w:rsid w:val="00B05CE8"/>
    <w:rsid w:val="00B069E8"/>
    <w:rsid w:val="00B1369B"/>
    <w:rsid w:val="00B26ADC"/>
    <w:rsid w:val="00B424AD"/>
    <w:rsid w:val="00B439F9"/>
    <w:rsid w:val="00B457CB"/>
    <w:rsid w:val="00B6038F"/>
    <w:rsid w:val="00B6403B"/>
    <w:rsid w:val="00B800EB"/>
    <w:rsid w:val="00B96705"/>
    <w:rsid w:val="00B9792D"/>
    <w:rsid w:val="00BA6DE5"/>
    <w:rsid w:val="00BC7D82"/>
    <w:rsid w:val="00BD4042"/>
    <w:rsid w:val="00BF49F8"/>
    <w:rsid w:val="00BF619A"/>
    <w:rsid w:val="00C037C6"/>
    <w:rsid w:val="00C0456F"/>
    <w:rsid w:val="00C143AF"/>
    <w:rsid w:val="00C1504A"/>
    <w:rsid w:val="00C32CE0"/>
    <w:rsid w:val="00C33620"/>
    <w:rsid w:val="00C360BB"/>
    <w:rsid w:val="00C41908"/>
    <w:rsid w:val="00C42C12"/>
    <w:rsid w:val="00C42E3D"/>
    <w:rsid w:val="00C4507D"/>
    <w:rsid w:val="00C456D1"/>
    <w:rsid w:val="00C5103D"/>
    <w:rsid w:val="00C53E02"/>
    <w:rsid w:val="00C57E61"/>
    <w:rsid w:val="00C630EF"/>
    <w:rsid w:val="00C81A28"/>
    <w:rsid w:val="00C848CA"/>
    <w:rsid w:val="00C9354B"/>
    <w:rsid w:val="00C95871"/>
    <w:rsid w:val="00CA258A"/>
    <w:rsid w:val="00CA66D2"/>
    <w:rsid w:val="00CC0DE5"/>
    <w:rsid w:val="00CC4045"/>
    <w:rsid w:val="00CC6BF7"/>
    <w:rsid w:val="00CD68E8"/>
    <w:rsid w:val="00CE1CAB"/>
    <w:rsid w:val="00CE67E4"/>
    <w:rsid w:val="00CF6178"/>
    <w:rsid w:val="00D0495F"/>
    <w:rsid w:val="00D15E4E"/>
    <w:rsid w:val="00D26E38"/>
    <w:rsid w:val="00D27D25"/>
    <w:rsid w:val="00D31476"/>
    <w:rsid w:val="00D338A8"/>
    <w:rsid w:val="00D40254"/>
    <w:rsid w:val="00D465D1"/>
    <w:rsid w:val="00D5140C"/>
    <w:rsid w:val="00D55293"/>
    <w:rsid w:val="00D57369"/>
    <w:rsid w:val="00D61E80"/>
    <w:rsid w:val="00D754CB"/>
    <w:rsid w:val="00D863AB"/>
    <w:rsid w:val="00D868EC"/>
    <w:rsid w:val="00D9185A"/>
    <w:rsid w:val="00D919DD"/>
    <w:rsid w:val="00D9209D"/>
    <w:rsid w:val="00D92960"/>
    <w:rsid w:val="00DA2915"/>
    <w:rsid w:val="00DA4B8A"/>
    <w:rsid w:val="00DA6664"/>
    <w:rsid w:val="00DB2BD1"/>
    <w:rsid w:val="00DB5610"/>
    <w:rsid w:val="00DC281E"/>
    <w:rsid w:val="00DC2F78"/>
    <w:rsid w:val="00DD3BDE"/>
    <w:rsid w:val="00DD3C85"/>
    <w:rsid w:val="00DF5BEA"/>
    <w:rsid w:val="00DF73B1"/>
    <w:rsid w:val="00E1173A"/>
    <w:rsid w:val="00E1288B"/>
    <w:rsid w:val="00E16EAE"/>
    <w:rsid w:val="00E21678"/>
    <w:rsid w:val="00E26CC5"/>
    <w:rsid w:val="00E426DD"/>
    <w:rsid w:val="00E435BC"/>
    <w:rsid w:val="00E52F67"/>
    <w:rsid w:val="00E60319"/>
    <w:rsid w:val="00E826C1"/>
    <w:rsid w:val="00E82DC6"/>
    <w:rsid w:val="00E865F5"/>
    <w:rsid w:val="00E87D8F"/>
    <w:rsid w:val="00E92EF3"/>
    <w:rsid w:val="00E94D2B"/>
    <w:rsid w:val="00EB3429"/>
    <w:rsid w:val="00EC7D6A"/>
    <w:rsid w:val="00EE07F2"/>
    <w:rsid w:val="00EE5E1D"/>
    <w:rsid w:val="00EF1AE9"/>
    <w:rsid w:val="00EF469F"/>
    <w:rsid w:val="00F00108"/>
    <w:rsid w:val="00F124AE"/>
    <w:rsid w:val="00F20ABC"/>
    <w:rsid w:val="00F230F9"/>
    <w:rsid w:val="00F37D26"/>
    <w:rsid w:val="00F40C11"/>
    <w:rsid w:val="00F53808"/>
    <w:rsid w:val="00F64A07"/>
    <w:rsid w:val="00F674C8"/>
    <w:rsid w:val="00F749D7"/>
    <w:rsid w:val="00F837B6"/>
    <w:rsid w:val="00F86A70"/>
    <w:rsid w:val="00F902DE"/>
    <w:rsid w:val="00F94183"/>
    <w:rsid w:val="00FA20EC"/>
    <w:rsid w:val="00FA32A3"/>
    <w:rsid w:val="00FB02B4"/>
    <w:rsid w:val="00FB312C"/>
    <w:rsid w:val="00FB7B69"/>
    <w:rsid w:val="00FC6703"/>
    <w:rsid w:val="00FD0118"/>
    <w:rsid w:val="00FD1726"/>
    <w:rsid w:val="00FD2419"/>
    <w:rsid w:val="00FD3D72"/>
    <w:rsid w:val="00FD7838"/>
    <w:rsid w:val="00FE024F"/>
    <w:rsid w:val="00FE3575"/>
    <w:rsid w:val="00FE4AD0"/>
    <w:rsid w:val="00FE631C"/>
    <w:rsid w:val="00FF26AF"/>
    <w:rsid w:val="00FF68A4"/>
    <w:rsid w:val="00FF6F88"/>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7B2F04"/>
  <w14:defaultImageDpi w14:val="0"/>
  <w15:docId w15:val="{937CCB61-5082-442A-869E-EA78F9CF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ACC"/>
    <w:rPr>
      <w:sz w:val="24"/>
      <w:szCs w:val="24"/>
      <w:lang w:eastAsia="en-US"/>
    </w:rPr>
  </w:style>
  <w:style w:type="paragraph" w:styleId="Heading1">
    <w:name w:val="heading 1"/>
    <w:basedOn w:val="Normal"/>
    <w:next w:val="Normal"/>
    <w:link w:val="Heading1Char"/>
    <w:uiPriority w:val="9"/>
    <w:qFormat/>
    <w:rsid w:val="00246ACC"/>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link w:val="Heading2Char"/>
    <w:uiPriority w:val="9"/>
    <w:qFormat/>
    <w:rsid w:val="00246ACC"/>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link w:val="Heading3Char"/>
    <w:uiPriority w:val="9"/>
    <w:qFormat/>
    <w:rsid w:val="00246ACC"/>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link w:val="Heading4Char"/>
    <w:uiPriority w:val="9"/>
    <w:qFormat/>
    <w:rsid w:val="00246ACC"/>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link w:val="Heading5Char"/>
    <w:uiPriority w:val="9"/>
    <w:qFormat/>
    <w:rsid w:val="00246ACC"/>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link w:val="Heading6Char"/>
    <w:uiPriority w:val="9"/>
    <w:qFormat/>
    <w:rsid w:val="00246ACC"/>
    <w:pPr>
      <w:keepNext/>
      <w:outlineLvl w:val="5"/>
    </w:pPr>
    <w:rPr>
      <w:b/>
      <w:bCs/>
    </w:rPr>
  </w:style>
  <w:style w:type="paragraph" w:styleId="Heading7">
    <w:name w:val="heading 7"/>
    <w:basedOn w:val="Normal"/>
    <w:next w:val="Normal"/>
    <w:link w:val="Heading7Char"/>
    <w:uiPriority w:val="9"/>
    <w:qFormat/>
    <w:rsid w:val="00246ACC"/>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link w:val="Heading8Char"/>
    <w:uiPriority w:val="9"/>
    <w:qFormat/>
    <w:rsid w:val="00246ACC"/>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link w:val="Heading9Char"/>
    <w:uiPriority w:val="9"/>
    <w:qFormat/>
    <w:rsid w:val="00246ACC"/>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6ACC"/>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246ACC"/>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246ACC"/>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246ACC"/>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246ACC"/>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246ACC"/>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sid w:val="00246ACC"/>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246ACC"/>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sid w:val="00246ACC"/>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rsid w:val="00246ACC"/>
    <w:pPr>
      <w:widowControl w:val="0"/>
      <w:tabs>
        <w:tab w:val="center" w:pos="4153"/>
        <w:tab w:val="right" w:pos="8306"/>
      </w:tabs>
    </w:pPr>
    <w:rPr>
      <w:lang w:val="en-US"/>
    </w:rPr>
  </w:style>
  <w:style w:type="character" w:customStyle="1" w:styleId="HeaderChar">
    <w:name w:val="Header Char"/>
    <w:basedOn w:val="DefaultParagraphFont"/>
    <w:link w:val="Header"/>
    <w:uiPriority w:val="99"/>
    <w:locked/>
    <w:rsid w:val="00F20ABC"/>
    <w:rPr>
      <w:rFonts w:cs="Times New Roman"/>
      <w:sz w:val="24"/>
      <w:lang w:val="en-US" w:eastAsia="en-US"/>
    </w:rPr>
  </w:style>
  <w:style w:type="paragraph" w:customStyle="1" w:styleId="Billname">
    <w:name w:val="Billname"/>
    <w:basedOn w:val="Normal"/>
    <w:uiPriority w:val="99"/>
    <w:rsid w:val="00246ACC"/>
    <w:pPr>
      <w:tabs>
        <w:tab w:val="left" w:pos="2400"/>
        <w:tab w:val="left" w:pos="2880"/>
      </w:tabs>
      <w:spacing w:before="1220" w:after="100"/>
    </w:pPr>
    <w:rPr>
      <w:rFonts w:ascii="Arial" w:hAnsi="Arial" w:cs="Arial"/>
      <w:b/>
      <w:bCs/>
      <w:sz w:val="40"/>
      <w:szCs w:val="40"/>
    </w:rPr>
  </w:style>
  <w:style w:type="paragraph" w:customStyle="1" w:styleId="dot">
    <w:name w:val="dot"/>
    <w:basedOn w:val="Normal"/>
    <w:rsid w:val="00246ACC"/>
    <w:pPr>
      <w:numPr>
        <w:numId w:val="1"/>
      </w:numPr>
    </w:pPr>
    <w:rPr>
      <w:rFonts w:ascii="Arial" w:hAnsi="Arial" w:cs="Arial"/>
    </w:rPr>
  </w:style>
  <w:style w:type="paragraph" w:customStyle="1" w:styleId="dot2">
    <w:name w:val="dot 2"/>
    <w:basedOn w:val="Normal"/>
    <w:rsid w:val="00246ACC"/>
    <w:pPr>
      <w:numPr>
        <w:numId w:val="2"/>
      </w:numPr>
    </w:pPr>
    <w:rPr>
      <w:rFonts w:ascii="Arial" w:hAnsi="Arial" w:cs="Arial"/>
    </w:rPr>
  </w:style>
  <w:style w:type="paragraph" w:customStyle="1" w:styleId="para">
    <w:name w:val="para"/>
    <w:basedOn w:val="Normal"/>
    <w:rsid w:val="00246ACC"/>
    <w:pPr>
      <w:spacing w:before="120" w:after="120"/>
    </w:pPr>
    <w:rPr>
      <w:rFonts w:ascii="Arial" w:hAnsi="Arial" w:cs="Arial"/>
    </w:rPr>
  </w:style>
  <w:style w:type="paragraph" w:customStyle="1" w:styleId="textbox">
    <w:name w:val="text box"/>
    <w:basedOn w:val="Normal"/>
    <w:rsid w:val="00246ACC"/>
    <w:pPr>
      <w:spacing w:before="60" w:after="60"/>
    </w:pPr>
    <w:rPr>
      <w:rFonts w:ascii="Tahoma" w:hAnsi="Tahoma" w:cs="Tahoma"/>
    </w:rPr>
  </w:style>
  <w:style w:type="paragraph" w:customStyle="1" w:styleId="Dotpoint">
    <w:name w:val="Dot point"/>
    <w:basedOn w:val="Normal"/>
    <w:rsid w:val="00246ACC"/>
    <w:pPr>
      <w:numPr>
        <w:numId w:val="4"/>
      </w:numPr>
      <w:tabs>
        <w:tab w:val="left" w:pos="851"/>
      </w:tabs>
      <w:spacing w:before="60" w:after="60"/>
    </w:pPr>
    <w:rPr>
      <w:rFonts w:ascii="Arial" w:hAnsi="Arial" w:cs="Arial"/>
      <w:lang w:val="en-US"/>
    </w:rPr>
  </w:style>
  <w:style w:type="paragraph" w:customStyle="1" w:styleId="madeunder">
    <w:name w:val="made under"/>
    <w:basedOn w:val="Normal"/>
    <w:rsid w:val="00246ACC"/>
    <w:pPr>
      <w:spacing w:before="180" w:after="60"/>
      <w:jc w:val="both"/>
    </w:pPr>
  </w:style>
  <w:style w:type="paragraph" w:customStyle="1" w:styleId="CoverActName">
    <w:name w:val="CoverActName"/>
    <w:basedOn w:val="Normal"/>
    <w:rsid w:val="00246ACC"/>
    <w:pPr>
      <w:tabs>
        <w:tab w:val="left" w:pos="2600"/>
      </w:tabs>
      <w:spacing w:before="200" w:after="60"/>
      <w:jc w:val="both"/>
    </w:pPr>
    <w:rPr>
      <w:rFonts w:ascii="Arial" w:hAnsi="Arial" w:cs="Arial"/>
      <w:b/>
      <w:bCs/>
    </w:rPr>
  </w:style>
  <w:style w:type="paragraph" w:customStyle="1" w:styleId="N-line3">
    <w:name w:val="N-line3"/>
    <w:basedOn w:val="Normal"/>
    <w:next w:val="Normal"/>
    <w:rsid w:val="00246ACC"/>
    <w:pPr>
      <w:pBdr>
        <w:bottom w:val="single" w:sz="12" w:space="1" w:color="auto"/>
      </w:pBdr>
      <w:jc w:val="both"/>
    </w:pPr>
  </w:style>
  <w:style w:type="paragraph" w:customStyle="1" w:styleId="LongTitle">
    <w:name w:val="LongTitle"/>
    <w:basedOn w:val="Normal"/>
    <w:rsid w:val="00246ACC"/>
    <w:pPr>
      <w:spacing w:before="240" w:after="60"/>
      <w:jc w:val="both"/>
    </w:pPr>
  </w:style>
  <w:style w:type="paragraph" w:styleId="Footer">
    <w:name w:val="footer"/>
    <w:basedOn w:val="Normal"/>
    <w:link w:val="FooterChar"/>
    <w:uiPriority w:val="99"/>
    <w:rsid w:val="00246ACC"/>
    <w:pPr>
      <w:tabs>
        <w:tab w:val="center" w:pos="4153"/>
        <w:tab w:val="right" w:pos="8306"/>
      </w:tabs>
    </w:pPr>
  </w:style>
  <w:style w:type="character" w:customStyle="1" w:styleId="FooterChar">
    <w:name w:val="Footer Char"/>
    <w:basedOn w:val="DefaultParagraphFont"/>
    <w:link w:val="Footer"/>
    <w:uiPriority w:val="99"/>
    <w:semiHidden/>
    <w:locked/>
    <w:rsid w:val="00246ACC"/>
    <w:rPr>
      <w:rFonts w:cs="Times New Roman"/>
      <w:sz w:val="24"/>
      <w:szCs w:val="24"/>
      <w:lang w:val="x-none" w:eastAsia="en-US"/>
    </w:rPr>
  </w:style>
  <w:style w:type="paragraph" w:customStyle="1" w:styleId="ChronTableBold">
    <w:name w:val="ChronTableBold"/>
    <w:basedOn w:val="Normal"/>
    <w:rsid w:val="00246ACC"/>
    <w:pPr>
      <w:keepNext/>
      <w:spacing w:before="180"/>
    </w:pPr>
    <w:rPr>
      <w:rFonts w:ascii="Arial" w:hAnsi="Arial" w:cs="Arial"/>
      <w:b/>
      <w:bCs/>
      <w:sz w:val="18"/>
      <w:szCs w:val="18"/>
      <w:lang w:val="en-US"/>
    </w:rPr>
  </w:style>
  <w:style w:type="paragraph" w:customStyle="1" w:styleId="Amain">
    <w:name w:val="A main"/>
    <w:basedOn w:val="Normal"/>
    <w:rsid w:val="00246ACC"/>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rsid w:val="00246ACC"/>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uiPriority w:val="35"/>
    <w:qFormat/>
    <w:rsid w:val="00246ACC"/>
    <w:rPr>
      <w:rFonts w:ascii="Arial" w:hAnsi="Arial" w:cs="Arial"/>
      <w:lang w:val="en-GB"/>
    </w:rPr>
  </w:style>
  <w:style w:type="paragraph" w:styleId="BalloonText">
    <w:name w:val="Balloon Text"/>
    <w:basedOn w:val="Normal"/>
    <w:link w:val="BalloonTextChar"/>
    <w:uiPriority w:val="99"/>
    <w:rsid w:val="00287BDE"/>
    <w:rPr>
      <w:rFonts w:ascii="Tahoma" w:hAnsi="Tahoma" w:cs="Tahoma"/>
      <w:sz w:val="16"/>
      <w:szCs w:val="16"/>
    </w:rPr>
  </w:style>
  <w:style w:type="character" w:customStyle="1" w:styleId="BalloonTextChar">
    <w:name w:val="Balloon Text Char"/>
    <w:basedOn w:val="DefaultParagraphFont"/>
    <w:link w:val="BalloonText"/>
    <w:uiPriority w:val="99"/>
    <w:locked/>
    <w:rsid w:val="00287BDE"/>
    <w:rPr>
      <w:rFonts w:ascii="Tahoma" w:hAnsi="Tahoma" w:cs="Tahoma"/>
      <w:sz w:val="16"/>
      <w:szCs w:val="16"/>
      <w:lang w:val="x-none" w:eastAsia="en-US"/>
    </w:rPr>
  </w:style>
  <w:style w:type="character" w:styleId="CommentReference">
    <w:name w:val="annotation reference"/>
    <w:basedOn w:val="DefaultParagraphFont"/>
    <w:uiPriority w:val="99"/>
    <w:rsid w:val="0072165A"/>
    <w:rPr>
      <w:rFonts w:cs="Times New Roman"/>
      <w:sz w:val="16"/>
      <w:szCs w:val="16"/>
    </w:rPr>
  </w:style>
  <w:style w:type="paragraph" w:styleId="CommentText">
    <w:name w:val="annotation text"/>
    <w:basedOn w:val="Normal"/>
    <w:link w:val="CommentTextChar"/>
    <w:uiPriority w:val="99"/>
    <w:rsid w:val="0072165A"/>
    <w:rPr>
      <w:sz w:val="20"/>
      <w:szCs w:val="20"/>
    </w:rPr>
  </w:style>
  <w:style w:type="character" w:customStyle="1" w:styleId="CommentTextChar">
    <w:name w:val="Comment Text Char"/>
    <w:basedOn w:val="DefaultParagraphFont"/>
    <w:link w:val="CommentText"/>
    <w:uiPriority w:val="99"/>
    <w:locked/>
    <w:rsid w:val="0072165A"/>
    <w:rPr>
      <w:rFonts w:cs="Times New Roman"/>
      <w:lang w:val="x-none" w:eastAsia="en-US"/>
    </w:rPr>
  </w:style>
  <w:style w:type="paragraph" w:styleId="CommentSubject">
    <w:name w:val="annotation subject"/>
    <w:basedOn w:val="CommentText"/>
    <w:next w:val="CommentText"/>
    <w:link w:val="CommentSubjectChar"/>
    <w:uiPriority w:val="99"/>
    <w:rsid w:val="0072165A"/>
    <w:rPr>
      <w:b/>
      <w:bCs/>
    </w:rPr>
  </w:style>
  <w:style w:type="character" w:customStyle="1" w:styleId="CommentSubjectChar">
    <w:name w:val="Comment Subject Char"/>
    <w:basedOn w:val="CommentTextChar"/>
    <w:link w:val="CommentSubject"/>
    <w:uiPriority w:val="99"/>
    <w:locked/>
    <w:rsid w:val="0072165A"/>
    <w:rPr>
      <w:rFonts w:cs="Times New Roman"/>
      <w:b/>
      <w:bCs/>
      <w:lang w:val="x-none" w:eastAsia="en-US"/>
    </w:rPr>
  </w:style>
  <w:style w:type="character" w:styleId="Hyperlink">
    <w:name w:val="Hyperlink"/>
    <w:basedOn w:val="DefaultParagraphFont"/>
    <w:uiPriority w:val="99"/>
    <w:rsid w:val="0016000D"/>
    <w:rPr>
      <w:rFonts w:cs="Times New Roman"/>
      <w:color w:val="0000FF" w:themeColor="hyperlink"/>
      <w:u w:val="single"/>
    </w:rPr>
  </w:style>
  <w:style w:type="paragraph" w:styleId="FootnoteText">
    <w:name w:val="footnote text"/>
    <w:basedOn w:val="Normal"/>
    <w:link w:val="FootnoteTextChar"/>
    <w:uiPriority w:val="99"/>
    <w:rsid w:val="00F53808"/>
    <w:rPr>
      <w:sz w:val="20"/>
      <w:szCs w:val="20"/>
    </w:rPr>
  </w:style>
  <w:style w:type="character" w:customStyle="1" w:styleId="FootnoteTextChar">
    <w:name w:val="Footnote Text Char"/>
    <w:basedOn w:val="DefaultParagraphFont"/>
    <w:link w:val="FootnoteText"/>
    <w:uiPriority w:val="99"/>
    <w:locked/>
    <w:rsid w:val="00F53808"/>
    <w:rPr>
      <w:rFonts w:cs="Times New Roman"/>
      <w:lang w:val="x-none" w:eastAsia="en-US"/>
    </w:rPr>
  </w:style>
  <w:style w:type="character" w:styleId="FootnoteReference">
    <w:name w:val="footnote reference"/>
    <w:basedOn w:val="DefaultParagraphFont"/>
    <w:uiPriority w:val="99"/>
    <w:rsid w:val="00F53808"/>
    <w:rPr>
      <w:rFonts w:cs="Times New Roman"/>
      <w:vertAlign w:val="superscript"/>
    </w:rPr>
  </w:style>
  <w:style w:type="character" w:customStyle="1" w:styleId="Calibri12">
    <w:name w:val="Calibri 12"/>
    <w:basedOn w:val="DefaultParagraphFont"/>
    <w:uiPriority w:val="1"/>
    <w:qFormat/>
    <w:rsid w:val="00664497"/>
    <w:rPr>
      <w:rFonts w:ascii="Calibri" w:hAnsi="Calibri" w:cs="Times New Roman"/>
      <w:sz w:val="24"/>
    </w:rPr>
  </w:style>
  <w:style w:type="paragraph" w:styleId="ListParagraph">
    <w:name w:val="List Paragraph"/>
    <w:aliases w:val="Heading 2.,List Paragraph1,Recommendation,List Paragraph11,List Paragraph111,L,F5 List Paragraph,Dot pt,CV text,Table text,Medium Grid 1 - Accent 21,Numbered Paragraph,List Paragraph2,NFP GP Bulleted List,FooterText,numbered,列出段,?,lp1"/>
    <w:basedOn w:val="Normal"/>
    <w:link w:val="ListParagraphChar"/>
    <w:uiPriority w:val="34"/>
    <w:qFormat/>
    <w:rsid w:val="00664497"/>
    <w:pPr>
      <w:widowControl w:val="0"/>
      <w:ind w:left="720"/>
      <w:contextualSpacing/>
    </w:pPr>
    <w:rPr>
      <w:iCs/>
      <w:lang w:val="en-US"/>
    </w:rPr>
  </w:style>
  <w:style w:type="paragraph" w:styleId="NormalWeb">
    <w:name w:val="Normal (Web)"/>
    <w:basedOn w:val="Normal"/>
    <w:uiPriority w:val="99"/>
    <w:unhideWhenUsed/>
    <w:rsid w:val="008E3FE3"/>
    <w:pPr>
      <w:spacing w:before="100" w:beforeAutospacing="1" w:after="100" w:afterAutospacing="1"/>
    </w:pPr>
    <w:rPr>
      <w:lang w:eastAsia="en-AU"/>
    </w:rPr>
  </w:style>
  <w:style w:type="character" w:styleId="Strong">
    <w:name w:val="Strong"/>
    <w:basedOn w:val="DefaultParagraphFont"/>
    <w:uiPriority w:val="22"/>
    <w:qFormat/>
    <w:rsid w:val="00B439F9"/>
    <w:rPr>
      <w:rFonts w:cs="Times New Roman"/>
      <w:b/>
      <w:bCs/>
    </w:rPr>
  </w:style>
  <w:style w:type="paragraph" w:styleId="Revision">
    <w:name w:val="Revision"/>
    <w:hidden/>
    <w:uiPriority w:val="99"/>
    <w:semiHidden/>
    <w:rsid w:val="003D109B"/>
    <w:rPr>
      <w:sz w:val="24"/>
      <w:szCs w:val="24"/>
      <w:lang w:eastAsia="en-US"/>
    </w:rPr>
  </w:style>
  <w:style w:type="character" w:customStyle="1" w:styleId="ListParagraphChar">
    <w:name w:val="List Paragraph Char"/>
    <w:aliases w:val="Heading 2. Char,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45410A"/>
    <w:rPr>
      <w:rFonts w:cs="Times New Roman"/>
      <w:iCs/>
      <w:sz w:val="24"/>
      <w:szCs w:val="24"/>
      <w:lang w:val="en-US" w:eastAsia="en-US"/>
    </w:rPr>
  </w:style>
  <w:style w:type="character" w:customStyle="1" w:styleId="cf01">
    <w:name w:val="cf01"/>
    <w:basedOn w:val="DefaultParagraphFont"/>
    <w:rsid w:val="0014366C"/>
    <w:rPr>
      <w:rFonts w:ascii="Segoe UI" w:hAnsi="Segoe UI" w:cs="Segoe UI" w:hint="default"/>
      <w:sz w:val="18"/>
      <w:szCs w:val="18"/>
    </w:rPr>
  </w:style>
  <w:style w:type="paragraph" w:styleId="BodyText">
    <w:name w:val="Body Text"/>
    <w:basedOn w:val="Normal"/>
    <w:link w:val="BodyTextChar"/>
    <w:uiPriority w:val="1"/>
    <w:qFormat/>
    <w:rsid w:val="007A10B7"/>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7A10B7"/>
    <w:rPr>
      <w:rFonts w:ascii="Calibri" w:eastAsia="Calibri" w:hAnsi="Calibri" w:cs="Calibri"/>
      <w:sz w:val="24"/>
      <w:szCs w:val="24"/>
      <w:lang w:val="en-US" w:eastAsia="en-US"/>
    </w:rPr>
  </w:style>
  <w:style w:type="character" w:styleId="UnresolvedMention">
    <w:name w:val="Unresolved Mention"/>
    <w:basedOn w:val="DefaultParagraphFont"/>
    <w:uiPriority w:val="99"/>
    <w:semiHidden/>
    <w:unhideWhenUsed/>
    <w:rsid w:val="0058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3291">
      <w:bodyDiv w:val="1"/>
      <w:marLeft w:val="0"/>
      <w:marRight w:val="0"/>
      <w:marTop w:val="0"/>
      <w:marBottom w:val="0"/>
      <w:divBdr>
        <w:top w:val="none" w:sz="0" w:space="0" w:color="auto"/>
        <w:left w:val="none" w:sz="0" w:space="0" w:color="auto"/>
        <w:bottom w:val="none" w:sz="0" w:space="0" w:color="auto"/>
        <w:right w:val="none" w:sz="0" w:space="0" w:color="auto"/>
      </w:divBdr>
    </w:div>
    <w:div w:id="1084185652">
      <w:bodyDiv w:val="1"/>
      <w:marLeft w:val="0"/>
      <w:marRight w:val="0"/>
      <w:marTop w:val="0"/>
      <w:marBottom w:val="0"/>
      <w:divBdr>
        <w:top w:val="none" w:sz="0" w:space="0" w:color="auto"/>
        <w:left w:val="none" w:sz="0" w:space="0" w:color="auto"/>
        <w:bottom w:val="none" w:sz="0" w:space="0" w:color="auto"/>
        <w:right w:val="none" w:sz="0" w:space="0" w:color="auto"/>
      </w:divBdr>
    </w:div>
    <w:div w:id="1134719812">
      <w:marLeft w:val="0"/>
      <w:marRight w:val="0"/>
      <w:marTop w:val="0"/>
      <w:marBottom w:val="0"/>
      <w:divBdr>
        <w:top w:val="none" w:sz="0" w:space="0" w:color="auto"/>
        <w:left w:val="none" w:sz="0" w:space="0" w:color="auto"/>
        <w:bottom w:val="none" w:sz="0" w:space="0" w:color="auto"/>
        <w:right w:val="none" w:sz="0" w:space="0" w:color="auto"/>
      </w:divBdr>
    </w:div>
    <w:div w:id="1134719813">
      <w:marLeft w:val="0"/>
      <w:marRight w:val="0"/>
      <w:marTop w:val="0"/>
      <w:marBottom w:val="0"/>
      <w:divBdr>
        <w:top w:val="none" w:sz="0" w:space="0" w:color="auto"/>
        <w:left w:val="none" w:sz="0" w:space="0" w:color="auto"/>
        <w:bottom w:val="none" w:sz="0" w:space="0" w:color="auto"/>
        <w:right w:val="none" w:sz="0" w:space="0" w:color="auto"/>
      </w:divBdr>
    </w:div>
    <w:div w:id="1134719814">
      <w:marLeft w:val="0"/>
      <w:marRight w:val="0"/>
      <w:marTop w:val="0"/>
      <w:marBottom w:val="0"/>
      <w:divBdr>
        <w:top w:val="none" w:sz="0" w:space="0" w:color="auto"/>
        <w:left w:val="none" w:sz="0" w:space="0" w:color="auto"/>
        <w:bottom w:val="none" w:sz="0" w:space="0" w:color="auto"/>
        <w:right w:val="none" w:sz="0" w:space="0" w:color="auto"/>
      </w:divBdr>
    </w:div>
    <w:div w:id="1134719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erroom.standards.org.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tandards.org.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A60420975</value>
    </field>
    <field name="Objective-Title">
      <value order="0">Building (ACT Appendix to the Building Code) Determination 2026 - Explanatory Statement (Proposed Final) -18/03/26</value>
    </field>
    <field name="Objective-Description">
      <value order="0"/>
    </field>
    <field name="Objective-CreationStamp">
      <value order="0">2026-02-26T02:26:48Z</value>
    </field>
    <field name="Objective-IsApproved">
      <value order="0">false</value>
    </field>
    <field name="Objective-IsPublished">
      <value order="0">false</value>
    </field>
    <field name="Objective-DatePublished">
      <value order="0"/>
    </field>
    <field name="Objective-ModificationStamp">
      <value order="0">2026-04-22T01:23:40Z</value>
    </field>
    <field name="Objective-Owner">
      <value order="0">Elizabeth Bond</value>
    </field>
    <field name="Objective-Path">
      <value order="0">Whole of ACT Government:EPSDD - Environment Planning and Sustainable Development Directorate:07. Ministerial, Cabinet and Government Relations:06. Ministerials:2026 - Ministerial Briefs and Correspondence:Policy, Planning and Built Environment:26/0027398 Ministerial-Information Brief - Steel - Building Productivity Reforms - Tranche 1 - Implementation Regulation and Instruments:X. DO NOT USE - Originals to be moved back to BPR team folder (request sent to CED obj team - 26/03/26)</value>
    </field>
    <field name="Objective-Parent">
      <value order="0">X. DO NOT USE - Originals to be moved back to BPR team folder (request sent to CED obj team - 26/03/26)</value>
    </field>
    <field name="Objective-State">
      <value order="0">Being Edited</value>
    </field>
    <field name="Objective-VersionId">
      <value order="0">vA77977573</value>
    </field>
    <field name="Objective-Version">
      <value order="0">7.1</value>
    </field>
    <field name="Objective-VersionNumber">
      <value order="0">13</value>
    </field>
    <field name="Objective-VersionComment">
      <value order="0"/>
    </field>
    <field name="Objective-FileNumber">
      <value order="0">1-2026/0027398</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B79B-98C2-4C17-A73F-27153D0273C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3D4B77D8-8C8D-40BC-98D8-FA226852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8593</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2017-11-15T21:11:00Z</cp:lastPrinted>
  <dcterms:created xsi:type="dcterms:W3CDTF">2026-04-22T01:35:00Z</dcterms:created>
  <dcterms:modified xsi:type="dcterms:W3CDTF">2026-04-22T01:35:00Z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623d6324-093d-4f46-a038-78c85457b607</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MSIP_Label_69af8531-eb46-4968-8cb3-105d2f5ea87e_Enabled">
    <vt:lpwstr>true</vt:lpwstr>
  </property>
  <property fmtid="{D5CDD505-2E9C-101B-9397-08002B2CF9AE}" pid="23" name="MSIP_Label_69af8531-eb46-4968-8cb3-105d2f5ea87e_SetDate">
    <vt:lpwstr>2026-02-25T23:10:34Z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80ddcd4c-c1c6-45cc-b493-4c4424f97d74</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y fmtid="{D5CDD505-2E9C-101B-9397-08002B2CF9AE}" pid="30" name="Customer-Id">
    <vt:lpwstr>4FEB93B0D38B3BDFE05400144FFB2061</vt:lpwstr>
  </property>
  <property fmtid="{D5CDD505-2E9C-101B-9397-08002B2CF9AE}" pid="31" name="Objective-Id">
    <vt:lpwstr>A60420975</vt:lpwstr>
  </property>
  <property fmtid="{D5CDD505-2E9C-101B-9397-08002B2CF9AE}" pid="32" name="Objective-Title">
    <vt:lpwstr>Building (ACT Appendix to the Building Code) Determination 2026 - Explanatory Statement (Proposed Final) -18/03/26</vt:lpwstr>
  </property>
  <property fmtid="{D5CDD505-2E9C-101B-9397-08002B2CF9AE}" pid="33" name="Objective-Description">
    <vt:lpwstr/>
  </property>
  <property fmtid="{D5CDD505-2E9C-101B-9397-08002B2CF9AE}" pid="34" name="Objective-CreationStamp">
    <vt:filetime>2026-02-26T03:26:48Z</vt:filetime>
  </property>
  <property fmtid="{D5CDD505-2E9C-101B-9397-08002B2CF9AE}" pid="35" name="Objective-IsApproved">
    <vt:bool>false</vt:bool>
  </property>
  <property fmtid="{D5CDD505-2E9C-101B-9397-08002B2CF9AE}" pid="36" name="Objective-IsPublished">
    <vt:bool>true</vt:bool>
  </property>
  <property fmtid="{D5CDD505-2E9C-101B-9397-08002B2CF9AE}" pid="37" name="Objective-DatePublished">
    <vt:filetime>2026-04-22T01:30:56Z</vt:filetime>
  </property>
  <property fmtid="{D5CDD505-2E9C-101B-9397-08002B2CF9AE}" pid="38" name="Objective-ModificationStamp">
    <vt:filetime>2026-04-22T01:30:56Z</vt:filetime>
  </property>
  <property fmtid="{D5CDD505-2E9C-101B-9397-08002B2CF9AE}" pid="39" name="Objective-Owner">
    <vt:lpwstr>Elizabeth Bond</vt:lpwstr>
  </property>
  <property fmtid="{D5CDD505-2E9C-101B-9397-08002B2CF9AE}" pid="40" name="Objective-Path">
    <vt:lpwstr>Whole of ACT Government:EPSDD - Environment Planning and Sustainable Development Directorate:07. Ministerial, Cabinet and Government Relations:06. Ministerials:2026 - Ministerial Briefs and Correspondence:Policy, Planning and Built Environment:26/0027398 Ministerial-Information Brief - Steel - Building Productivity Reforms - Tranche 1 - Implementation Regulation and Instruments:X. DO NOT USE - Originals to be moved back to BPR team folder (request sent to CED obj team - 26/03/26):</vt:lpwstr>
  </property>
  <property fmtid="{D5CDD505-2E9C-101B-9397-08002B2CF9AE}" pid="41" name="Objective-Parent">
    <vt:lpwstr>X. DO NOT USE - Originals to be moved back to BPR team folder (request sent to CED obj team - 26/03/26)</vt:lpwstr>
  </property>
  <property fmtid="{D5CDD505-2E9C-101B-9397-08002B2CF9AE}" pid="42" name="Objective-State">
    <vt:lpwstr>Published</vt:lpwstr>
  </property>
  <property fmtid="{D5CDD505-2E9C-101B-9397-08002B2CF9AE}" pid="43" name="Objective-VersionId">
    <vt:lpwstr>vA77977573</vt:lpwstr>
  </property>
  <property fmtid="{D5CDD505-2E9C-101B-9397-08002B2CF9AE}" pid="44" name="Objective-Version">
    <vt:lpwstr>8.0</vt:lpwstr>
  </property>
  <property fmtid="{D5CDD505-2E9C-101B-9397-08002B2CF9AE}" pid="45" name="Objective-VersionNumber">
    <vt:r8>13</vt:r8>
  </property>
  <property fmtid="{D5CDD505-2E9C-101B-9397-08002B2CF9AE}" pid="46" name="Objective-VersionComment">
    <vt:lpwstr/>
  </property>
  <property fmtid="{D5CDD505-2E9C-101B-9397-08002B2CF9AE}" pid="47" name="Objective-FileNumber">
    <vt:lpwstr>1-2026/0027398</vt:lpwstr>
  </property>
  <property fmtid="{D5CDD505-2E9C-101B-9397-08002B2CF9AE}" pid="48" name="Objective-Classification">
    <vt:lpwstr>[Inherited - none]</vt:lpwstr>
  </property>
  <property fmtid="{D5CDD505-2E9C-101B-9397-08002B2CF9AE}" pid="49" name="Objective-Caveats">
    <vt:lpwstr/>
  </property>
  <property fmtid="{D5CDD505-2E9C-101B-9397-08002B2CF9AE}" pid="50" name="Objective-Owner Agency">
    <vt:lpwstr>CED - City and Environment Directorate</vt:lpwstr>
  </property>
  <property fmtid="{D5CDD505-2E9C-101B-9397-08002B2CF9AE}" pid="51" name="Objective-Document Type">
    <vt:lpwstr>0-Document</vt:lpwstr>
  </property>
  <property fmtid="{D5CDD505-2E9C-101B-9397-08002B2CF9AE}" pid="52" name="Objective-Language">
    <vt:lpwstr>English (en)</vt:lpwstr>
  </property>
  <property fmtid="{D5CDD505-2E9C-101B-9397-08002B2CF9AE}" pid="53" name="Objective-Jurisdiction">
    <vt:lpwstr>ACT</vt:lpwstr>
  </property>
  <property fmtid="{D5CDD505-2E9C-101B-9397-08002B2CF9AE}" pid="54" name="Objective-Customers">
    <vt:lpwstr/>
  </property>
  <property fmtid="{D5CDD505-2E9C-101B-9397-08002B2CF9AE}" pid="55" name="Objective-Places">
    <vt:lpwstr/>
  </property>
  <property fmtid="{D5CDD505-2E9C-101B-9397-08002B2CF9AE}" pid="56" name="Objective-Transaction Reference">
    <vt:lpwstr/>
  </property>
  <property fmtid="{D5CDD505-2E9C-101B-9397-08002B2CF9AE}" pid="57" name="Objective-Document Created By">
    <vt:lpwstr/>
  </property>
  <property fmtid="{D5CDD505-2E9C-101B-9397-08002B2CF9AE}" pid="58" name="Objective-Document Created On">
    <vt:lpwstr/>
  </property>
  <property fmtid="{D5CDD505-2E9C-101B-9397-08002B2CF9AE}" pid="59" name="Objective-Covers Period From">
    <vt:lpwstr/>
  </property>
  <property fmtid="{D5CDD505-2E9C-101B-9397-08002B2CF9AE}" pid="60" name="Objective-Covers Period To">
    <vt:lpwstr/>
  </property>
  <property fmtid="{D5CDD505-2E9C-101B-9397-08002B2CF9AE}" pid="61" name="Objective-Status">
    <vt:lpwstr/>
  </property>
  <property fmtid="{D5CDD505-2E9C-101B-9397-08002B2CF9AE}" pid="62" name="Objective-S28 Exemption Number">
    <vt:lpwstr/>
  </property>
  <property fmtid="{D5CDD505-2E9C-101B-9397-08002B2CF9AE}" pid="63" name="Objective-S28 Exemption">
    <vt:lpwstr/>
  </property>
  <property fmtid="{D5CDD505-2E9C-101B-9397-08002B2CF9AE}" pid="64" name="Objective-S28 Exemption Reason">
    <vt:lpwstr/>
  </property>
  <property fmtid="{D5CDD505-2E9C-101B-9397-08002B2CF9AE}" pid="65" name="Objective-S28 Comments if partial exemption">
    <vt:lpwstr/>
  </property>
  <property fmtid="{D5CDD505-2E9C-101B-9397-08002B2CF9AE}" pid="66" name="Objective-S28 Date Approved">
    <vt:lpwstr/>
  </property>
</Properties>
</file>