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984C"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9B28A5A" w14:textId="4458FF0D" w:rsidR="00C17FAB" w:rsidRDefault="00E21ED1">
      <w:pPr>
        <w:pStyle w:val="Billname"/>
        <w:spacing w:before="700"/>
      </w:pPr>
      <w:r>
        <w:t>Building (General)</w:t>
      </w:r>
      <w:r w:rsidR="00FD75CE">
        <w:t xml:space="preserve"> (</w:t>
      </w:r>
      <w:r>
        <w:t>Alternative requirements for unaltered parts</w:t>
      </w:r>
      <w:r w:rsidR="00FD75CE">
        <w:t xml:space="preserve">) </w:t>
      </w:r>
      <w:r>
        <w:t>Determination 2026</w:t>
      </w:r>
    </w:p>
    <w:p w14:paraId="51728A5E" w14:textId="56A453FC" w:rsidR="00C17FAB" w:rsidRDefault="002D7C60" w:rsidP="00DA3B00">
      <w:pPr>
        <w:spacing w:before="340"/>
        <w:rPr>
          <w:rFonts w:ascii="Arial" w:hAnsi="Arial" w:cs="Arial"/>
          <w:b/>
          <w:bCs/>
        </w:rPr>
      </w:pPr>
      <w:r>
        <w:rPr>
          <w:rFonts w:ascii="Arial" w:hAnsi="Arial" w:cs="Arial"/>
          <w:b/>
          <w:bCs/>
        </w:rPr>
        <w:t>Disallowable instrument DI</w:t>
      </w:r>
      <w:r w:rsidR="00E21ED1">
        <w:rPr>
          <w:rFonts w:ascii="Arial" w:hAnsi="Arial" w:cs="Arial"/>
          <w:b/>
          <w:bCs/>
        </w:rPr>
        <w:t>2026</w:t>
      </w:r>
      <w:r w:rsidR="00C17FAB">
        <w:rPr>
          <w:rFonts w:ascii="Arial" w:hAnsi="Arial" w:cs="Arial"/>
          <w:b/>
          <w:bCs/>
        </w:rPr>
        <w:t>–</w:t>
      </w:r>
      <w:r w:rsidR="00647F74">
        <w:rPr>
          <w:rFonts w:ascii="Arial" w:hAnsi="Arial" w:cs="Arial"/>
          <w:b/>
          <w:bCs/>
        </w:rPr>
        <w:t>43</w:t>
      </w:r>
    </w:p>
    <w:p w14:paraId="323312BD" w14:textId="77777777" w:rsidR="00C17FAB" w:rsidRDefault="00C17FAB" w:rsidP="00DA3B00">
      <w:pPr>
        <w:pStyle w:val="madeunder"/>
        <w:spacing w:before="300" w:after="0"/>
      </w:pPr>
      <w:r>
        <w:t xml:space="preserve">made under the  </w:t>
      </w:r>
    </w:p>
    <w:p w14:paraId="4A98999D" w14:textId="77777777" w:rsidR="00E21ED1" w:rsidRDefault="00E21ED1" w:rsidP="00E624DC">
      <w:pPr>
        <w:spacing w:before="360"/>
        <w:ind w:right="567"/>
        <w:rPr>
          <w:rFonts w:ascii="Arial" w:hAnsi="Arial" w:cs="Arial"/>
          <w:b/>
          <w:bCs/>
          <w:sz w:val="20"/>
        </w:rPr>
      </w:pPr>
      <w:r w:rsidRPr="00E21ED1">
        <w:rPr>
          <w:rFonts w:ascii="Arial" w:hAnsi="Arial" w:cs="Arial"/>
          <w:b/>
          <w:bCs/>
          <w:sz w:val="20"/>
        </w:rPr>
        <w:t>Building (General) Regulation 2008, s 24 (Unaltered parts need not comply with building code if alternative requirements met—Act, s 29 (2) (b))</w:t>
      </w:r>
    </w:p>
    <w:p w14:paraId="1FB8986D" w14:textId="02DF464D" w:rsidR="00C17FAB" w:rsidRDefault="00C17FAB" w:rsidP="00E624DC">
      <w:pPr>
        <w:spacing w:before="360"/>
        <w:ind w:right="567"/>
        <w:rPr>
          <w:rFonts w:ascii="Arial" w:hAnsi="Arial" w:cs="Arial"/>
          <w:b/>
          <w:bCs/>
          <w:sz w:val="28"/>
          <w:szCs w:val="28"/>
        </w:rPr>
      </w:pPr>
      <w:r>
        <w:rPr>
          <w:rFonts w:ascii="Arial" w:hAnsi="Arial" w:cs="Arial"/>
          <w:b/>
          <w:bCs/>
          <w:sz w:val="28"/>
          <w:szCs w:val="28"/>
        </w:rPr>
        <w:t>EXPLANATORY STATEMENT</w:t>
      </w:r>
    </w:p>
    <w:p w14:paraId="07BC5FA6" w14:textId="77777777" w:rsidR="00C17FAB" w:rsidRDefault="00C17FAB">
      <w:pPr>
        <w:pStyle w:val="N-line3"/>
        <w:pBdr>
          <w:bottom w:val="none" w:sz="0" w:space="0" w:color="auto"/>
        </w:pBdr>
      </w:pPr>
    </w:p>
    <w:p w14:paraId="60AE12CF" w14:textId="77777777" w:rsidR="00C17FAB" w:rsidRDefault="00C17FAB">
      <w:pPr>
        <w:pStyle w:val="N-line3"/>
        <w:pBdr>
          <w:top w:val="single" w:sz="12" w:space="1" w:color="auto"/>
          <w:bottom w:val="none" w:sz="0" w:space="0" w:color="auto"/>
        </w:pBdr>
      </w:pPr>
    </w:p>
    <w:bookmarkEnd w:id="0"/>
    <w:p w14:paraId="12EC9402" w14:textId="77777777" w:rsidR="00E21ED1" w:rsidRDefault="00E21ED1" w:rsidP="00E21ED1">
      <w:pPr>
        <w:pStyle w:val="NormalWeb"/>
        <w:shd w:val="clear" w:color="auto" w:fill="FFFFFF"/>
        <w:spacing w:before="0" w:beforeAutospacing="0" w:after="160" w:afterAutospacing="0"/>
        <w:rPr>
          <w:color w:val="000000"/>
        </w:rPr>
      </w:pPr>
      <w:r>
        <w:rPr>
          <w:b/>
          <w:bCs/>
          <w:color w:val="000000"/>
        </w:rPr>
        <w:t>Overview</w:t>
      </w:r>
    </w:p>
    <w:p w14:paraId="3A4101FD" w14:textId="1AB18534" w:rsidR="00B434E3" w:rsidRDefault="00B434E3" w:rsidP="0087317F">
      <w:pPr>
        <w:pStyle w:val="NormalWeb"/>
        <w:shd w:val="clear" w:color="auto" w:fill="FFFFFF"/>
        <w:spacing w:before="0" w:beforeAutospacing="0" w:after="0" w:afterAutospacing="0"/>
        <w:rPr>
          <w:color w:val="000000"/>
        </w:rPr>
      </w:pPr>
      <w:r>
        <w:rPr>
          <w:color w:val="000000"/>
        </w:rPr>
        <w:t xml:space="preserve">This explanatory statement relates to the </w:t>
      </w:r>
      <w:r w:rsidRPr="0087317F">
        <w:rPr>
          <w:i/>
          <w:iCs/>
          <w:color w:val="000000"/>
        </w:rPr>
        <w:t>Building (General) (Alternative requirements for unaltered parts) Determination 2026</w:t>
      </w:r>
      <w:r>
        <w:rPr>
          <w:color w:val="000000"/>
        </w:rPr>
        <w:t xml:space="preserve"> </w:t>
      </w:r>
      <w:r w:rsidR="002E28BD">
        <w:rPr>
          <w:color w:val="000000"/>
        </w:rPr>
        <w:t xml:space="preserve">(the </w:t>
      </w:r>
      <w:r w:rsidR="002E28BD" w:rsidRPr="0087317F">
        <w:rPr>
          <w:b/>
          <w:bCs/>
          <w:i/>
          <w:iCs/>
          <w:color w:val="000000"/>
        </w:rPr>
        <w:t>instrument</w:t>
      </w:r>
      <w:r w:rsidR="002E28BD">
        <w:rPr>
          <w:color w:val="000000"/>
        </w:rPr>
        <w:t xml:space="preserve">) </w:t>
      </w:r>
      <w:r>
        <w:rPr>
          <w:color w:val="000000"/>
        </w:rPr>
        <w:t xml:space="preserve">as presented to the Legislative Assembly (the </w:t>
      </w:r>
      <w:r w:rsidRPr="0087317F">
        <w:rPr>
          <w:b/>
          <w:bCs/>
          <w:i/>
          <w:iCs/>
          <w:color w:val="000000"/>
        </w:rPr>
        <w:t>Assembly</w:t>
      </w:r>
      <w:r>
        <w:rPr>
          <w:color w:val="000000"/>
        </w:rPr>
        <w:t>). It has been prepared to assist the reader of the instrument. It does not form part of the instrument and has not been endorsed by the Assembly. The Statement must be read in conjunction with the instrument. It is not, and is not meant to be, a comprehensive description of the instrument.</w:t>
      </w:r>
    </w:p>
    <w:p w14:paraId="63C9DD04" w14:textId="77777777" w:rsidR="00B434E3" w:rsidRDefault="00B434E3" w:rsidP="00E21ED1">
      <w:pPr>
        <w:pStyle w:val="NormalWeb"/>
        <w:shd w:val="clear" w:color="auto" w:fill="FFFFFF"/>
        <w:spacing w:before="0" w:beforeAutospacing="0" w:after="0" w:afterAutospacing="0"/>
        <w:jc w:val="both"/>
        <w:rPr>
          <w:color w:val="000000"/>
        </w:rPr>
      </w:pPr>
    </w:p>
    <w:p w14:paraId="18F6D18B" w14:textId="2BB7839E" w:rsidR="00E21ED1" w:rsidRDefault="00E21ED1" w:rsidP="00E21ED1">
      <w:pPr>
        <w:pStyle w:val="NormalWeb"/>
        <w:shd w:val="clear" w:color="auto" w:fill="FFFFFF"/>
        <w:spacing w:before="0" w:beforeAutospacing="0" w:after="0" w:afterAutospacing="0"/>
        <w:jc w:val="both"/>
        <w:rPr>
          <w:color w:val="000000"/>
        </w:rPr>
      </w:pPr>
      <w:r>
        <w:rPr>
          <w:color w:val="000000"/>
        </w:rPr>
        <w:t>This instrument is made under section 24 (2) of the </w:t>
      </w:r>
      <w:r>
        <w:rPr>
          <w:i/>
          <w:iCs/>
          <w:color w:val="000000"/>
        </w:rPr>
        <w:t>Building (General) Regulation 2008</w:t>
      </w:r>
      <w:r>
        <w:rPr>
          <w:color w:val="000000"/>
        </w:rPr>
        <w:t> (the </w:t>
      </w:r>
      <w:r>
        <w:rPr>
          <w:b/>
          <w:bCs/>
          <w:i/>
          <w:iCs/>
          <w:color w:val="000000"/>
        </w:rPr>
        <w:t>regulation</w:t>
      </w:r>
      <w:r>
        <w:rPr>
          <w:color w:val="000000"/>
        </w:rPr>
        <w:t>)</w:t>
      </w:r>
      <w:r>
        <w:rPr>
          <w:i/>
          <w:iCs/>
          <w:color w:val="000000"/>
        </w:rPr>
        <w:t>.</w:t>
      </w:r>
    </w:p>
    <w:p w14:paraId="4FD1798B" w14:textId="77777777" w:rsidR="00E21ED1" w:rsidRDefault="00E21ED1" w:rsidP="00E21ED1">
      <w:pPr>
        <w:pStyle w:val="NormalWeb"/>
        <w:shd w:val="clear" w:color="auto" w:fill="FFFFFF"/>
        <w:spacing w:before="0" w:beforeAutospacing="0" w:after="0" w:afterAutospacing="0"/>
        <w:jc w:val="both"/>
        <w:rPr>
          <w:color w:val="000000"/>
        </w:rPr>
      </w:pPr>
      <w:r>
        <w:rPr>
          <w:color w:val="000000"/>
        </w:rPr>
        <w:t> </w:t>
      </w:r>
    </w:p>
    <w:p w14:paraId="32309E3E" w14:textId="77777777" w:rsidR="00E21ED1" w:rsidRDefault="00E21ED1" w:rsidP="00E21ED1">
      <w:pPr>
        <w:pStyle w:val="NormalWeb"/>
        <w:shd w:val="clear" w:color="auto" w:fill="FFFFFF"/>
        <w:spacing w:before="0" w:beforeAutospacing="0" w:after="0" w:afterAutospacing="0"/>
        <w:rPr>
          <w:color w:val="000000"/>
        </w:rPr>
      </w:pPr>
      <w:r>
        <w:rPr>
          <w:color w:val="000000"/>
        </w:rPr>
        <w:t>This instrument contains provisions relating to alternative requirements to the Building Code of Australia (the </w:t>
      </w:r>
      <w:r>
        <w:rPr>
          <w:b/>
          <w:bCs/>
          <w:i/>
          <w:iCs/>
          <w:color w:val="000000"/>
        </w:rPr>
        <w:t>BCA</w:t>
      </w:r>
      <w:r>
        <w:rPr>
          <w:color w:val="000000"/>
        </w:rPr>
        <w:t>) that apply to unaltered parts of substantially altered class 1, 10a or 10b buildings.</w:t>
      </w:r>
    </w:p>
    <w:p w14:paraId="0E3374B6" w14:textId="77777777" w:rsidR="00E21ED1" w:rsidRDefault="00E21ED1" w:rsidP="00E21ED1">
      <w:pPr>
        <w:pStyle w:val="NormalWeb"/>
        <w:shd w:val="clear" w:color="auto" w:fill="FFFFFF"/>
        <w:spacing w:before="0" w:beforeAutospacing="0" w:after="0" w:afterAutospacing="0"/>
        <w:rPr>
          <w:color w:val="000000"/>
        </w:rPr>
      </w:pPr>
      <w:r>
        <w:rPr>
          <w:color w:val="000000"/>
        </w:rPr>
        <w:t> </w:t>
      </w:r>
    </w:p>
    <w:p w14:paraId="671128D5" w14:textId="77777777" w:rsidR="00E21ED1" w:rsidRDefault="00E21ED1" w:rsidP="00E21ED1">
      <w:pPr>
        <w:pStyle w:val="NormalWeb"/>
        <w:shd w:val="clear" w:color="auto" w:fill="FFFFFF"/>
        <w:spacing w:before="0" w:beforeAutospacing="0" w:after="0" w:afterAutospacing="0"/>
        <w:rPr>
          <w:color w:val="000000"/>
        </w:rPr>
      </w:pPr>
      <w:r>
        <w:rPr>
          <w:color w:val="000000"/>
        </w:rPr>
        <w:t>A substantial alteration is defined in the regulation</w:t>
      </w:r>
      <w:r>
        <w:rPr>
          <w:i/>
          <w:iCs/>
          <w:color w:val="000000"/>
        </w:rPr>
        <w:t>.</w:t>
      </w:r>
    </w:p>
    <w:p w14:paraId="18584E7F" w14:textId="77777777" w:rsidR="00E21ED1" w:rsidRDefault="00E21ED1" w:rsidP="00E21ED1">
      <w:pPr>
        <w:pStyle w:val="NormalWeb"/>
        <w:shd w:val="clear" w:color="auto" w:fill="FFFFFF"/>
        <w:spacing w:before="0" w:beforeAutospacing="0" w:after="0" w:afterAutospacing="0"/>
        <w:rPr>
          <w:color w:val="000000"/>
        </w:rPr>
      </w:pPr>
      <w:r>
        <w:rPr>
          <w:color w:val="000000"/>
        </w:rPr>
        <w:t> </w:t>
      </w:r>
    </w:p>
    <w:p w14:paraId="0EC80CD2" w14:textId="488FE09E" w:rsidR="00E21ED1" w:rsidRDefault="00E21ED1" w:rsidP="00E21ED1">
      <w:pPr>
        <w:pStyle w:val="NormalWeb"/>
        <w:shd w:val="clear" w:color="auto" w:fill="FFFFFF"/>
        <w:spacing w:before="0" w:beforeAutospacing="0" w:after="0" w:afterAutospacing="0"/>
        <w:rPr>
          <w:color w:val="000000"/>
        </w:rPr>
      </w:pPr>
      <w:r>
        <w:rPr>
          <w:color w:val="000000"/>
        </w:rPr>
        <w:t>This instrument should be read in conjunction with the </w:t>
      </w:r>
      <w:r>
        <w:rPr>
          <w:i/>
          <w:iCs/>
          <w:color w:val="000000"/>
        </w:rPr>
        <w:t>Building (ACT Appendix to the Building Code) Determination </w:t>
      </w:r>
      <w:r>
        <w:rPr>
          <w:color w:val="000000"/>
        </w:rPr>
        <w:t>(</w:t>
      </w:r>
      <w:r w:rsidR="00E624DC">
        <w:rPr>
          <w:color w:val="000000"/>
        </w:rPr>
        <w:t xml:space="preserve">the </w:t>
      </w:r>
      <w:r w:rsidR="00E624DC">
        <w:rPr>
          <w:b/>
          <w:bCs/>
          <w:i/>
          <w:iCs/>
          <w:color w:val="000000"/>
        </w:rPr>
        <w:t>ACT Appendix</w:t>
      </w:r>
      <w:r w:rsidR="00E624DC">
        <w:rPr>
          <w:color w:val="000000"/>
        </w:rPr>
        <w:t>),</w:t>
      </w:r>
      <w:r w:rsidR="00E624DC" w:rsidRPr="0087317F">
        <w:rPr>
          <w:color w:val="000000"/>
        </w:rPr>
        <w:t xml:space="preserve"> </w:t>
      </w:r>
      <w:r>
        <w:rPr>
          <w:color w:val="000000"/>
        </w:rPr>
        <w:t>as amended fr</w:t>
      </w:r>
      <w:r w:rsidR="00E624DC">
        <w:rPr>
          <w:color w:val="000000"/>
        </w:rPr>
        <w:t>o</w:t>
      </w:r>
      <w:r>
        <w:rPr>
          <w:color w:val="000000"/>
        </w:rPr>
        <w:t>m time to time</w:t>
      </w:r>
      <w:r>
        <w:rPr>
          <w:i/>
          <w:iCs/>
          <w:color w:val="000000"/>
        </w:rPr>
        <w:t>.</w:t>
      </w:r>
      <w:r>
        <w:rPr>
          <w:color w:val="000000"/>
        </w:rPr>
        <w:t> The ACT Appendix gives exemptions and alternative arrangements for alterations of existing buildings when applying the</w:t>
      </w:r>
      <w:r w:rsidR="008E7859">
        <w:rPr>
          <w:color w:val="000000"/>
        </w:rPr>
        <w:t xml:space="preserve"> </w:t>
      </w:r>
      <w:r>
        <w:rPr>
          <w:color w:val="000000"/>
        </w:rPr>
        <w:t>National</w:t>
      </w:r>
      <w:r w:rsidR="008E7859">
        <w:rPr>
          <w:color w:val="000000"/>
        </w:rPr>
        <w:t xml:space="preserve"> </w:t>
      </w:r>
      <w:r>
        <w:rPr>
          <w:color w:val="000000"/>
        </w:rPr>
        <w:t>Construction</w:t>
      </w:r>
      <w:r w:rsidR="008E7859">
        <w:rPr>
          <w:color w:val="000000"/>
        </w:rPr>
        <w:t xml:space="preserve"> </w:t>
      </w:r>
      <w:r>
        <w:rPr>
          <w:color w:val="000000"/>
        </w:rPr>
        <w:t>Code</w:t>
      </w:r>
      <w:r w:rsidR="008E7859">
        <w:rPr>
          <w:color w:val="000000"/>
        </w:rPr>
        <w:t xml:space="preserve"> </w:t>
      </w:r>
      <w:r>
        <w:rPr>
          <w:color w:val="000000"/>
        </w:rPr>
        <w:t>(the </w:t>
      </w:r>
      <w:r>
        <w:rPr>
          <w:b/>
          <w:bCs/>
          <w:i/>
          <w:iCs/>
          <w:color w:val="000000"/>
        </w:rPr>
        <w:t>NCC</w:t>
      </w:r>
      <w:r>
        <w:rPr>
          <w:color w:val="000000"/>
        </w:rPr>
        <w:t>).</w:t>
      </w:r>
    </w:p>
    <w:p w14:paraId="2BA08DFC" w14:textId="77777777" w:rsidR="00E21ED1" w:rsidRDefault="00E21ED1" w:rsidP="00E21ED1">
      <w:pPr>
        <w:pStyle w:val="NormalWeb"/>
        <w:shd w:val="clear" w:color="auto" w:fill="FFFFFF"/>
        <w:spacing w:before="0" w:beforeAutospacing="0" w:after="0" w:afterAutospacing="0"/>
        <w:rPr>
          <w:color w:val="000000"/>
        </w:rPr>
      </w:pPr>
      <w:r>
        <w:rPr>
          <w:color w:val="000000"/>
        </w:rPr>
        <w:t> </w:t>
      </w:r>
    </w:p>
    <w:p w14:paraId="4973D124" w14:textId="4204A502" w:rsidR="00E21ED1" w:rsidRDefault="00E21ED1" w:rsidP="00E21ED1">
      <w:pPr>
        <w:pStyle w:val="NormalWeb"/>
        <w:shd w:val="clear" w:color="auto" w:fill="FFFFFF"/>
        <w:spacing w:before="0" w:beforeAutospacing="0" w:after="0" w:afterAutospacing="0"/>
        <w:rPr>
          <w:color w:val="000000"/>
        </w:rPr>
      </w:pPr>
      <w:r>
        <w:rPr>
          <w:color w:val="000000"/>
        </w:rPr>
        <w:t>Th</w:t>
      </w:r>
      <w:r w:rsidR="00883369">
        <w:rPr>
          <w:color w:val="000000"/>
        </w:rPr>
        <w:t>is</w:t>
      </w:r>
      <w:r>
        <w:rPr>
          <w:color w:val="000000"/>
        </w:rPr>
        <w:t> instrument only applies to the ACT and Jervis Bay Territory.</w:t>
      </w:r>
    </w:p>
    <w:p w14:paraId="203BA751" w14:textId="77777777" w:rsidR="008E7859" w:rsidRDefault="008E7859" w:rsidP="00E21ED1">
      <w:pPr>
        <w:pStyle w:val="NormalWeb"/>
        <w:shd w:val="clear" w:color="auto" w:fill="FFFFFF"/>
        <w:spacing w:before="0" w:beforeAutospacing="0" w:after="0" w:afterAutospacing="0"/>
        <w:rPr>
          <w:color w:val="000000"/>
        </w:rPr>
      </w:pPr>
    </w:p>
    <w:p w14:paraId="0DEDE8CB" w14:textId="38DD8D13" w:rsidR="008E7859" w:rsidRPr="0087317F" w:rsidRDefault="008E7859" w:rsidP="00E21ED1">
      <w:pPr>
        <w:pStyle w:val="NormalWeb"/>
        <w:shd w:val="clear" w:color="auto" w:fill="FFFFFF"/>
        <w:spacing w:before="0" w:beforeAutospacing="0" w:after="0" w:afterAutospacing="0"/>
        <w:rPr>
          <w:color w:val="000000"/>
          <w:u w:val="single"/>
        </w:rPr>
      </w:pPr>
      <w:r w:rsidRPr="0087317F">
        <w:rPr>
          <w:color w:val="000000"/>
          <w:u w:val="single"/>
        </w:rPr>
        <w:t>Updates</w:t>
      </w:r>
    </w:p>
    <w:p w14:paraId="7B2B2EB0" w14:textId="77777777" w:rsidR="00E21ED1" w:rsidRDefault="00E21ED1" w:rsidP="00E21ED1">
      <w:pPr>
        <w:pStyle w:val="NormalWeb"/>
        <w:shd w:val="clear" w:color="auto" w:fill="FFFFFF"/>
        <w:spacing w:before="0" w:beforeAutospacing="0" w:after="0" w:afterAutospacing="0"/>
        <w:rPr>
          <w:color w:val="000000"/>
        </w:rPr>
      </w:pPr>
      <w:r>
        <w:rPr>
          <w:color w:val="000000"/>
        </w:rPr>
        <w:t> </w:t>
      </w:r>
    </w:p>
    <w:p w14:paraId="5AD662E4" w14:textId="3DBBBD9C" w:rsidR="00CD4E87" w:rsidRDefault="00E21ED1" w:rsidP="0087317F">
      <w:pPr>
        <w:rPr>
          <w:color w:val="000000"/>
          <w:szCs w:val="24"/>
          <w:lang w:eastAsia="en-AU"/>
        </w:rPr>
      </w:pPr>
      <w:r w:rsidRPr="00CD4E87">
        <w:rPr>
          <w:color w:val="000000"/>
          <w:szCs w:val="24"/>
          <w:lang w:eastAsia="en-AU"/>
        </w:rPr>
        <w:t>This instrument</w:t>
      </w:r>
      <w:r w:rsidR="008E7859">
        <w:rPr>
          <w:color w:val="000000"/>
          <w:szCs w:val="24"/>
          <w:lang w:eastAsia="en-AU"/>
        </w:rPr>
        <w:t xml:space="preserve"> incorporates updates to</w:t>
      </w:r>
      <w:r w:rsidRPr="00CD4E87">
        <w:rPr>
          <w:color w:val="000000"/>
          <w:szCs w:val="24"/>
          <w:lang w:eastAsia="en-AU"/>
        </w:rPr>
        <w:t xml:space="preserve"> provide </w:t>
      </w:r>
      <w:r w:rsidR="00CD4E87">
        <w:rPr>
          <w:color w:val="000000"/>
          <w:szCs w:val="24"/>
          <w:lang w:eastAsia="en-AU"/>
        </w:rPr>
        <w:t xml:space="preserve">two </w:t>
      </w:r>
      <w:r w:rsidR="00CD4E87" w:rsidRPr="00CD4E87">
        <w:rPr>
          <w:color w:val="000000"/>
          <w:szCs w:val="24"/>
          <w:lang w:eastAsia="en-AU"/>
        </w:rPr>
        <w:t xml:space="preserve">alternative provisions for demonstrating thermal energy efficiency for the unaltered part of a substantially </w:t>
      </w:r>
      <w:r w:rsidR="00CD4E87" w:rsidRPr="00CD4E87">
        <w:rPr>
          <w:color w:val="000000"/>
          <w:szCs w:val="24"/>
          <w:lang w:eastAsia="en-AU"/>
        </w:rPr>
        <w:lastRenderedPageBreak/>
        <w:t>altered building. These alter</w:t>
      </w:r>
      <w:r w:rsidR="00E624DC">
        <w:rPr>
          <w:color w:val="000000"/>
          <w:szCs w:val="24"/>
          <w:lang w:eastAsia="en-AU"/>
        </w:rPr>
        <w:t>n</w:t>
      </w:r>
      <w:r w:rsidR="00CD4E87" w:rsidRPr="00CD4E87">
        <w:rPr>
          <w:color w:val="000000"/>
          <w:szCs w:val="24"/>
          <w:lang w:eastAsia="en-AU"/>
        </w:rPr>
        <w:t xml:space="preserve">ative provisions can be applied to the entire house (altered and unaltered parts). </w:t>
      </w:r>
    </w:p>
    <w:p w14:paraId="58954C4D" w14:textId="6D9CBE6F" w:rsidR="00CD4E87" w:rsidRPr="00CD4E87" w:rsidRDefault="00CD4E87" w:rsidP="00CD4E87">
      <w:pPr>
        <w:spacing w:before="120"/>
        <w:rPr>
          <w:color w:val="000000"/>
          <w:szCs w:val="24"/>
          <w:lang w:eastAsia="en-AU"/>
        </w:rPr>
      </w:pPr>
      <w:r w:rsidRPr="00CD4E87">
        <w:rPr>
          <w:color w:val="000000"/>
          <w:szCs w:val="24"/>
          <w:lang w:eastAsia="en-AU"/>
        </w:rPr>
        <w:t xml:space="preserve">The alternative provisions </w:t>
      </w:r>
      <w:r>
        <w:rPr>
          <w:color w:val="000000"/>
          <w:szCs w:val="24"/>
          <w:lang w:eastAsia="en-AU"/>
        </w:rPr>
        <w:t>are</w:t>
      </w:r>
      <w:r w:rsidRPr="00CD4E87">
        <w:rPr>
          <w:color w:val="000000"/>
          <w:szCs w:val="24"/>
          <w:lang w:eastAsia="en-AU"/>
        </w:rPr>
        <w:t>:</w:t>
      </w:r>
    </w:p>
    <w:p w14:paraId="729D1CE2" w14:textId="4818D317" w:rsidR="00CD4E87" w:rsidRPr="00CD4E87" w:rsidRDefault="00CD4E87" w:rsidP="0087317F">
      <w:pPr>
        <w:pStyle w:val="ListParagraph"/>
        <w:numPr>
          <w:ilvl w:val="1"/>
          <w:numId w:val="10"/>
        </w:numPr>
        <w:spacing w:before="120"/>
        <w:ind w:left="1077" w:hanging="357"/>
        <w:rPr>
          <w:rFonts w:ascii="Times New Roman" w:hAnsi="Times New Roman"/>
          <w:color w:val="000000"/>
          <w:sz w:val="24"/>
          <w:szCs w:val="24"/>
          <w:lang w:eastAsia="en-AU"/>
        </w:rPr>
      </w:pPr>
      <w:r w:rsidRPr="00CD4E87">
        <w:rPr>
          <w:rFonts w:ascii="Times New Roman" w:hAnsi="Times New Roman"/>
          <w:color w:val="000000"/>
          <w:sz w:val="24"/>
          <w:szCs w:val="24"/>
          <w:lang w:eastAsia="en-AU"/>
        </w:rPr>
        <w:t>Passivhaus Certification</w:t>
      </w:r>
    </w:p>
    <w:p w14:paraId="1069EE0F" w14:textId="77777777" w:rsidR="00CD4E87" w:rsidRPr="00CD4E87" w:rsidRDefault="00CD4E87" w:rsidP="00CD4E87">
      <w:pPr>
        <w:pStyle w:val="ListParagraph"/>
        <w:spacing w:before="120"/>
        <w:ind w:left="1080"/>
        <w:rPr>
          <w:rFonts w:ascii="Times New Roman" w:hAnsi="Times New Roman"/>
          <w:color w:val="000000"/>
          <w:sz w:val="24"/>
          <w:szCs w:val="24"/>
          <w:lang w:eastAsia="en-AU"/>
        </w:rPr>
      </w:pPr>
    </w:p>
    <w:p w14:paraId="4ADE74EA" w14:textId="31AA7184" w:rsidR="00CD4E87" w:rsidRPr="00CD4E87" w:rsidRDefault="00CD4E87" w:rsidP="00CD4E87">
      <w:pPr>
        <w:pStyle w:val="ListParagraph"/>
        <w:numPr>
          <w:ilvl w:val="2"/>
          <w:numId w:val="10"/>
        </w:numPr>
        <w:spacing w:before="120"/>
        <w:rPr>
          <w:rFonts w:ascii="Times New Roman" w:hAnsi="Times New Roman"/>
          <w:color w:val="000000"/>
          <w:sz w:val="24"/>
          <w:szCs w:val="24"/>
          <w:lang w:eastAsia="en-AU"/>
        </w:rPr>
      </w:pPr>
      <w:r w:rsidRPr="00CD4E87">
        <w:rPr>
          <w:rFonts w:ascii="Times New Roman" w:hAnsi="Times New Roman"/>
          <w:color w:val="000000"/>
          <w:sz w:val="24"/>
          <w:szCs w:val="24"/>
          <w:lang w:eastAsia="en-AU"/>
        </w:rPr>
        <w:t>If the house is being renovated into a Certified Pass</w:t>
      </w:r>
      <w:r w:rsidR="00987533">
        <w:rPr>
          <w:rFonts w:ascii="Times New Roman" w:hAnsi="Times New Roman"/>
          <w:color w:val="000000"/>
          <w:sz w:val="24"/>
          <w:szCs w:val="24"/>
          <w:lang w:eastAsia="en-AU"/>
        </w:rPr>
        <w:t>ivhaus</w:t>
      </w:r>
      <w:r w:rsidRPr="00CD4E87">
        <w:rPr>
          <w:rFonts w:ascii="Times New Roman" w:hAnsi="Times New Roman"/>
          <w:color w:val="000000"/>
          <w:sz w:val="24"/>
          <w:szCs w:val="24"/>
          <w:lang w:eastAsia="en-AU"/>
        </w:rPr>
        <w:t>, it does not need to comply with sections 9, 10</w:t>
      </w:r>
      <w:r w:rsidR="00F2167E">
        <w:rPr>
          <w:rFonts w:ascii="Times New Roman" w:hAnsi="Times New Roman"/>
          <w:color w:val="000000"/>
          <w:sz w:val="24"/>
          <w:szCs w:val="24"/>
          <w:lang w:eastAsia="en-AU"/>
        </w:rPr>
        <w:t xml:space="preserve"> (</w:t>
      </w:r>
      <w:r w:rsidRPr="00CD4E87">
        <w:rPr>
          <w:rFonts w:ascii="Times New Roman" w:hAnsi="Times New Roman"/>
          <w:color w:val="000000"/>
          <w:sz w:val="24"/>
          <w:szCs w:val="24"/>
          <w:lang w:eastAsia="en-AU"/>
        </w:rPr>
        <w:t>a</w:t>
      </w:r>
      <w:r w:rsidR="00F2167E">
        <w:rPr>
          <w:rFonts w:ascii="Times New Roman" w:hAnsi="Times New Roman"/>
          <w:color w:val="000000"/>
          <w:sz w:val="24"/>
          <w:szCs w:val="24"/>
          <w:lang w:eastAsia="en-AU"/>
        </w:rPr>
        <w:t>)</w:t>
      </w:r>
      <w:r w:rsidRPr="00CD4E87">
        <w:rPr>
          <w:rFonts w:ascii="Times New Roman" w:hAnsi="Times New Roman"/>
          <w:color w:val="000000"/>
          <w:sz w:val="24"/>
          <w:szCs w:val="24"/>
          <w:lang w:eastAsia="en-AU"/>
        </w:rPr>
        <w:t>, 10</w:t>
      </w:r>
      <w:r w:rsidR="00F2167E">
        <w:rPr>
          <w:rFonts w:ascii="Times New Roman" w:hAnsi="Times New Roman"/>
          <w:color w:val="000000"/>
          <w:sz w:val="24"/>
          <w:szCs w:val="24"/>
          <w:lang w:eastAsia="en-AU"/>
        </w:rPr>
        <w:t xml:space="preserve"> (</w:t>
      </w:r>
      <w:r w:rsidRPr="00CD4E87">
        <w:rPr>
          <w:rFonts w:ascii="Times New Roman" w:hAnsi="Times New Roman"/>
          <w:color w:val="000000"/>
          <w:sz w:val="24"/>
          <w:szCs w:val="24"/>
          <w:lang w:eastAsia="en-AU"/>
        </w:rPr>
        <w:t>b</w:t>
      </w:r>
      <w:r w:rsidR="00F2167E">
        <w:rPr>
          <w:rFonts w:ascii="Times New Roman" w:hAnsi="Times New Roman"/>
          <w:color w:val="000000"/>
          <w:sz w:val="24"/>
          <w:szCs w:val="24"/>
          <w:lang w:eastAsia="en-AU"/>
        </w:rPr>
        <w:t>)</w:t>
      </w:r>
      <w:r w:rsidRPr="00CD4E87">
        <w:rPr>
          <w:rFonts w:ascii="Times New Roman" w:hAnsi="Times New Roman"/>
          <w:color w:val="000000"/>
          <w:sz w:val="24"/>
          <w:szCs w:val="24"/>
          <w:lang w:eastAsia="en-AU"/>
        </w:rPr>
        <w:t>, 10</w:t>
      </w:r>
      <w:r w:rsidR="00F2167E">
        <w:rPr>
          <w:rFonts w:ascii="Times New Roman" w:hAnsi="Times New Roman"/>
          <w:color w:val="000000"/>
          <w:sz w:val="24"/>
          <w:szCs w:val="24"/>
          <w:lang w:eastAsia="en-AU"/>
        </w:rPr>
        <w:t xml:space="preserve"> (</w:t>
      </w:r>
      <w:r w:rsidRPr="00CD4E87">
        <w:rPr>
          <w:rFonts w:ascii="Times New Roman" w:hAnsi="Times New Roman"/>
          <w:color w:val="000000"/>
          <w:sz w:val="24"/>
          <w:szCs w:val="24"/>
          <w:lang w:eastAsia="en-AU"/>
        </w:rPr>
        <w:t>c</w:t>
      </w:r>
      <w:r w:rsidR="00F2167E">
        <w:rPr>
          <w:rFonts w:ascii="Times New Roman" w:hAnsi="Times New Roman"/>
          <w:color w:val="000000"/>
          <w:sz w:val="24"/>
          <w:szCs w:val="24"/>
          <w:lang w:eastAsia="en-AU"/>
        </w:rPr>
        <w:t>)</w:t>
      </w:r>
      <w:r w:rsidRPr="00CD4E87">
        <w:rPr>
          <w:rFonts w:ascii="Times New Roman" w:hAnsi="Times New Roman"/>
          <w:color w:val="000000"/>
          <w:sz w:val="24"/>
          <w:szCs w:val="24"/>
          <w:lang w:eastAsia="en-AU"/>
        </w:rPr>
        <w:t>, 10</w:t>
      </w:r>
      <w:r w:rsidR="00F2167E">
        <w:rPr>
          <w:rFonts w:ascii="Times New Roman" w:hAnsi="Times New Roman"/>
          <w:color w:val="000000"/>
          <w:sz w:val="24"/>
          <w:szCs w:val="24"/>
          <w:lang w:eastAsia="en-AU"/>
        </w:rPr>
        <w:t xml:space="preserve"> (</w:t>
      </w:r>
      <w:r w:rsidRPr="00CD4E87">
        <w:rPr>
          <w:rFonts w:ascii="Times New Roman" w:hAnsi="Times New Roman"/>
          <w:color w:val="000000"/>
          <w:sz w:val="24"/>
          <w:szCs w:val="24"/>
          <w:lang w:eastAsia="en-AU"/>
        </w:rPr>
        <w:t>d</w:t>
      </w:r>
      <w:r w:rsidR="00F2167E">
        <w:rPr>
          <w:rFonts w:ascii="Times New Roman" w:hAnsi="Times New Roman"/>
          <w:color w:val="000000"/>
          <w:sz w:val="24"/>
          <w:szCs w:val="24"/>
          <w:lang w:eastAsia="en-AU"/>
        </w:rPr>
        <w:t>)</w:t>
      </w:r>
      <w:r w:rsidRPr="00CD4E87">
        <w:rPr>
          <w:rFonts w:ascii="Times New Roman" w:hAnsi="Times New Roman"/>
          <w:color w:val="000000"/>
          <w:sz w:val="24"/>
          <w:szCs w:val="24"/>
          <w:lang w:eastAsia="en-AU"/>
        </w:rPr>
        <w:t>, 10</w:t>
      </w:r>
      <w:r w:rsidR="00F2167E">
        <w:rPr>
          <w:rFonts w:ascii="Times New Roman" w:hAnsi="Times New Roman"/>
          <w:color w:val="000000"/>
          <w:sz w:val="24"/>
          <w:szCs w:val="24"/>
          <w:lang w:eastAsia="en-AU"/>
        </w:rPr>
        <w:t xml:space="preserve"> (</w:t>
      </w:r>
      <w:r w:rsidRPr="00CD4E87">
        <w:rPr>
          <w:rFonts w:ascii="Times New Roman" w:hAnsi="Times New Roman"/>
          <w:color w:val="000000"/>
          <w:sz w:val="24"/>
          <w:szCs w:val="24"/>
          <w:lang w:eastAsia="en-AU"/>
        </w:rPr>
        <w:t>e</w:t>
      </w:r>
      <w:r w:rsidR="00F2167E">
        <w:rPr>
          <w:rFonts w:ascii="Times New Roman" w:hAnsi="Times New Roman"/>
          <w:color w:val="000000"/>
          <w:sz w:val="24"/>
          <w:szCs w:val="24"/>
          <w:lang w:eastAsia="en-AU"/>
        </w:rPr>
        <w:t>)</w:t>
      </w:r>
      <w:r w:rsidRPr="00CD4E87">
        <w:rPr>
          <w:rFonts w:ascii="Times New Roman" w:hAnsi="Times New Roman"/>
          <w:color w:val="000000"/>
          <w:sz w:val="24"/>
          <w:szCs w:val="24"/>
          <w:lang w:eastAsia="en-AU"/>
        </w:rPr>
        <w:t xml:space="preserve"> and 10</w:t>
      </w:r>
      <w:r w:rsidR="00F2167E">
        <w:rPr>
          <w:rFonts w:ascii="Times New Roman" w:hAnsi="Times New Roman"/>
          <w:color w:val="000000"/>
          <w:sz w:val="24"/>
          <w:szCs w:val="24"/>
          <w:lang w:eastAsia="en-AU"/>
        </w:rPr>
        <w:t xml:space="preserve"> (</w:t>
      </w:r>
      <w:r w:rsidRPr="00CD4E87">
        <w:rPr>
          <w:rFonts w:ascii="Times New Roman" w:hAnsi="Times New Roman"/>
          <w:color w:val="000000"/>
          <w:sz w:val="24"/>
          <w:szCs w:val="24"/>
          <w:lang w:eastAsia="en-AU"/>
        </w:rPr>
        <w:t>f</w:t>
      </w:r>
      <w:r w:rsidR="00F2167E">
        <w:rPr>
          <w:rFonts w:ascii="Times New Roman" w:hAnsi="Times New Roman"/>
          <w:color w:val="000000"/>
          <w:sz w:val="24"/>
          <w:szCs w:val="24"/>
          <w:lang w:eastAsia="en-AU"/>
        </w:rPr>
        <w:t>)</w:t>
      </w:r>
      <w:r w:rsidRPr="00CD4E87">
        <w:rPr>
          <w:rFonts w:ascii="Times New Roman" w:hAnsi="Times New Roman"/>
          <w:color w:val="000000"/>
          <w:sz w:val="24"/>
          <w:szCs w:val="24"/>
          <w:lang w:eastAsia="en-AU"/>
        </w:rPr>
        <w:t xml:space="preserve"> of this instrument; or</w:t>
      </w:r>
    </w:p>
    <w:p w14:paraId="53380914" w14:textId="77777777" w:rsidR="00CD4E87" w:rsidRPr="00CD4E87" w:rsidRDefault="00CD4E87" w:rsidP="00CD4E87">
      <w:pPr>
        <w:pStyle w:val="ListParagraph"/>
        <w:spacing w:before="120"/>
        <w:ind w:left="1800"/>
        <w:rPr>
          <w:rFonts w:ascii="Times New Roman" w:hAnsi="Times New Roman"/>
          <w:color w:val="000000"/>
          <w:sz w:val="24"/>
          <w:szCs w:val="24"/>
          <w:lang w:eastAsia="en-AU"/>
        </w:rPr>
      </w:pPr>
    </w:p>
    <w:p w14:paraId="27C11677" w14:textId="37F6F20D" w:rsidR="00CD4E87" w:rsidRPr="00CD4E87" w:rsidRDefault="00CD4E87" w:rsidP="0087317F">
      <w:pPr>
        <w:pStyle w:val="ListParagraph"/>
        <w:numPr>
          <w:ilvl w:val="1"/>
          <w:numId w:val="10"/>
        </w:numPr>
        <w:spacing w:before="120"/>
        <w:ind w:left="1077" w:hanging="357"/>
        <w:contextualSpacing w:val="0"/>
        <w:rPr>
          <w:rFonts w:ascii="Times New Roman" w:hAnsi="Times New Roman"/>
          <w:color w:val="000000"/>
          <w:sz w:val="24"/>
          <w:szCs w:val="24"/>
          <w:lang w:eastAsia="en-AU"/>
        </w:rPr>
      </w:pPr>
      <w:r w:rsidRPr="00CD4E87">
        <w:rPr>
          <w:rFonts w:ascii="Times New Roman" w:hAnsi="Times New Roman"/>
          <w:color w:val="000000"/>
          <w:sz w:val="24"/>
          <w:szCs w:val="24"/>
          <w:lang w:eastAsia="en-AU"/>
        </w:rPr>
        <w:t>Area-weighted NatHERS pathway</w:t>
      </w:r>
    </w:p>
    <w:p w14:paraId="5452BABD" w14:textId="10856562" w:rsidR="00CD4E87" w:rsidRDefault="00CD4E87" w:rsidP="00CD4E87">
      <w:pPr>
        <w:pStyle w:val="NormalWeb"/>
        <w:numPr>
          <w:ilvl w:val="2"/>
          <w:numId w:val="10"/>
        </w:numPr>
        <w:rPr>
          <w:color w:val="000000"/>
        </w:rPr>
      </w:pPr>
      <w:r w:rsidRPr="00CD4E87">
        <w:rPr>
          <w:color w:val="000000"/>
        </w:rPr>
        <w:t>If the Area-weighted NatHERS pathway is used, it does not need to comply with sections 10</w:t>
      </w:r>
      <w:r w:rsidR="00F2167E">
        <w:rPr>
          <w:color w:val="000000"/>
        </w:rPr>
        <w:t xml:space="preserve"> (</w:t>
      </w:r>
      <w:r w:rsidRPr="00CD4E87">
        <w:rPr>
          <w:color w:val="000000"/>
        </w:rPr>
        <w:t>a</w:t>
      </w:r>
      <w:r w:rsidR="00F2167E">
        <w:rPr>
          <w:color w:val="000000"/>
        </w:rPr>
        <w:t>)</w:t>
      </w:r>
      <w:r w:rsidRPr="00CD4E87">
        <w:rPr>
          <w:color w:val="000000"/>
        </w:rPr>
        <w:t>, 10</w:t>
      </w:r>
      <w:r w:rsidR="00F2167E">
        <w:rPr>
          <w:color w:val="000000"/>
        </w:rPr>
        <w:t xml:space="preserve"> (</w:t>
      </w:r>
      <w:r w:rsidRPr="00CD4E87">
        <w:rPr>
          <w:color w:val="000000"/>
        </w:rPr>
        <w:t>b</w:t>
      </w:r>
      <w:r w:rsidR="00F2167E">
        <w:rPr>
          <w:color w:val="000000"/>
        </w:rPr>
        <w:t>)</w:t>
      </w:r>
      <w:r w:rsidRPr="00CD4E87">
        <w:rPr>
          <w:color w:val="000000"/>
        </w:rPr>
        <w:t>, 10</w:t>
      </w:r>
      <w:r w:rsidR="00F2167E">
        <w:rPr>
          <w:color w:val="000000"/>
        </w:rPr>
        <w:t xml:space="preserve"> (</w:t>
      </w:r>
      <w:r w:rsidRPr="00CD4E87">
        <w:rPr>
          <w:color w:val="000000"/>
        </w:rPr>
        <w:t>c</w:t>
      </w:r>
      <w:r w:rsidR="00F2167E">
        <w:rPr>
          <w:color w:val="000000"/>
        </w:rPr>
        <w:t>)</w:t>
      </w:r>
      <w:r w:rsidRPr="00CD4E87">
        <w:rPr>
          <w:color w:val="000000"/>
        </w:rPr>
        <w:t>, 10</w:t>
      </w:r>
      <w:r w:rsidR="00F2167E">
        <w:rPr>
          <w:color w:val="000000"/>
        </w:rPr>
        <w:t xml:space="preserve"> (</w:t>
      </w:r>
      <w:r w:rsidRPr="00CD4E87">
        <w:rPr>
          <w:color w:val="000000"/>
        </w:rPr>
        <w:t>d</w:t>
      </w:r>
      <w:r w:rsidR="00F2167E">
        <w:rPr>
          <w:color w:val="000000"/>
        </w:rPr>
        <w:t>)</w:t>
      </w:r>
      <w:r w:rsidRPr="00CD4E87">
        <w:rPr>
          <w:color w:val="000000"/>
        </w:rPr>
        <w:t>, 10</w:t>
      </w:r>
      <w:r w:rsidR="00F2167E">
        <w:rPr>
          <w:color w:val="000000"/>
        </w:rPr>
        <w:t xml:space="preserve"> (</w:t>
      </w:r>
      <w:r w:rsidRPr="00CD4E87">
        <w:rPr>
          <w:color w:val="000000"/>
        </w:rPr>
        <w:t>e</w:t>
      </w:r>
      <w:r w:rsidR="00F2167E">
        <w:rPr>
          <w:color w:val="000000"/>
        </w:rPr>
        <w:t>)</w:t>
      </w:r>
      <w:r w:rsidRPr="00CD4E87">
        <w:rPr>
          <w:color w:val="000000"/>
        </w:rPr>
        <w:t xml:space="preserve"> and 10</w:t>
      </w:r>
      <w:r w:rsidR="00F2167E">
        <w:rPr>
          <w:color w:val="000000"/>
        </w:rPr>
        <w:t xml:space="preserve"> (</w:t>
      </w:r>
      <w:r w:rsidRPr="00CD4E87">
        <w:rPr>
          <w:color w:val="000000"/>
        </w:rPr>
        <w:t>f</w:t>
      </w:r>
      <w:r w:rsidR="00F2167E">
        <w:rPr>
          <w:color w:val="000000"/>
        </w:rPr>
        <w:t>)</w:t>
      </w:r>
      <w:r w:rsidRPr="00CD4E87">
        <w:rPr>
          <w:color w:val="000000"/>
        </w:rPr>
        <w:t xml:space="preserve"> of this instrument.</w:t>
      </w:r>
    </w:p>
    <w:p w14:paraId="13C53331" w14:textId="1ED338D0" w:rsidR="00CD4E87" w:rsidRDefault="00CD4E87" w:rsidP="00F2167E">
      <w:pPr>
        <w:pStyle w:val="NormalWeb"/>
        <w:spacing w:before="0" w:beforeAutospacing="0" w:after="0" w:afterAutospacing="0"/>
        <w:rPr>
          <w:color w:val="000000"/>
        </w:rPr>
      </w:pPr>
      <w:r w:rsidRPr="00CD4E87">
        <w:rPr>
          <w:color w:val="000000"/>
        </w:rPr>
        <w:t xml:space="preserve">You can find more information and guidance on the above pathways in the </w:t>
      </w:r>
      <w:r w:rsidR="00F2167E" w:rsidRPr="0087317F">
        <w:rPr>
          <w:color w:val="000000"/>
        </w:rPr>
        <w:t>ACT Appendix</w:t>
      </w:r>
      <w:r w:rsidR="00F2167E">
        <w:rPr>
          <w:i/>
          <w:iCs/>
          <w:color w:val="000000"/>
        </w:rPr>
        <w:t xml:space="preserve"> </w:t>
      </w:r>
      <w:r w:rsidRPr="00CD4E87">
        <w:rPr>
          <w:color w:val="000000"/>
        </w:rPr>
        <w:t>(as amended f</w:t>
      </w:r>
      <w:r w:rsidR="002B42BF">
        <w:rPr>
          <w:color w:val="000000"/>
        </w:rPr>
        <w:t>ro</w:t>
      </w:r>
      <w:r w:rsidRPr="00CD4E87">
        <w:rPr>
          <w:color w:val="000000"/>
        </w:rPr>
        <w:t>m time to time)</w:t>
      </w:r>
      <w:r>
        <w:rPr>
          <w:color w:val="000000"/>
        </w:rPr>
        <w:t>.</w:t>
      </w:r>
    </w:p>
    <w:p w14:paraId="6D29E05B" w14:textId="77777777" w:rsidR="00F2167E" w:rsidRPr="00CD4E87" w:rsidRDefault="00F2167E" w:rsidP="0087317F">
      <w:pPr>
        <w:pStyle w:val="NormalWeb"/>
        <w:spacing w:before="0" w:beforeAutospacing="0" w:after="0" w:afterAutospacing="0"/>
        <w:rPr>
          <w:color w:val="000000"/>
        </w:rPr>
      </w:pPr>
    </w:p>
    <w:p w14:paraId="22AAEF98" w14:textId="4D7F0CB6" w:rsidR="008E7859" w:rsidRDefault="00CD4E87" w:rsidP="008E7859">
      <w:r>
        <w:t>These amendments form</w:t>
      </w:r>
      <w:r w:rsidRPr="00812D5B">
        <w:t xml:space="preserve"> part of the ACT Government’s first tranche of reforms under the construction productivity agenda. This agenda </w:t>
      </w:r>
      <w:r>
        <w:t>focusses</w:t>
      </w:r>
      <w:r w:rsidRPr="00812D5B">
        <w:t xml:space="preserve"> on implementing reforms that reduce regulatory burden, streamline approval processes, support innovation and improve workforce flexibility in the building and planning system. </w:t>
      </w:r>
      <w:r w:rsidR="008E7859" w:rsidDel="008E7859">
        <w:t xml:space="preserve"> </w:t>
      </w:r>
    </w:p>
    <w:p w14:paraId="69945493" w14:textId="77777777" w:rsidR="0087317F" w:rsidRDefault="0087317F" w:rsidP="008E7859">
      <w:pPr>
        <w:rPr>
          <w:color w:val="000000"/>
          <w:szCs w:val="24"/>
          <w:lang w:eastAsia="en-AU"/>
        </w:rPr>
      </w:pPr>
    </w:p>
    <w:p w14:paraId="7C931E71" w14:textId="6C62BAF3" w:rsidR="008E7859" w:rsidRPr="008E7859" w:rsidRDefault="008E7859" w:rsidP="0087317F">
      <w:pPr>
        <w:rPr>
          <w:color w:val="000000"/>
          <w:szCs w:val="24"/>
          <w:lang w:eastAsia="en-AU"/>
        </w:rPr>
      </w:pPr>
      <w:r w:rsidRPr="008E7859">
        <w:rPr>
          <w:szCs w:val="24"/>
        </w:rPr>
        <w:t xml:space="preserve">This instrument revokes </w:t>
      </w:r>
      <w:r w:rsidRPr="008E7859">
        <w:rPr>
          <w:i/>
          <w:iCs/>
          <w:szCs w:val="24"/>
        </w:rPr>
        <w:t xml:space="preserve">Building (ACT Appendix to the Building Code) Determination 2023 </w:t>
      </w:r>
      <w:r w:rsidRPr="008E7859">
        <w:rPr>
          <w:szCs w:val="24"/>
        </w:rPr>
        <w:t xml:space="preserve">(No 3) (DI2023-304). The declaration is a disallowable instrument and must be presented to the Assembly within 6 days after its notification pursuant to section 64 of the </w:t>
      </w:r>
      <w:r w:rsidRPr="008E7859">
        <w:rPr>
          <w:i/>
          <w:iCs/>
          <w:szCs w:val="24"/>
        </w:rPr>
        <w:t>Legislation Act 2001</w:t>
      </w:r>
      <w:r w:rsidRPr="008E7859">
        <w:rPr>
          <w:szCs w:val="24"/>
        </w:rPr>
        <w:t xml:space="preserve"> (the </w:t>
      </w:r>
      <w:r w:rsidRPr="008E7859">
        <w:rPr>
          <w:b/>
          <w:bCs/>
          <w:i/>
          <w:iCs/>
          <w:szCs w:val="24"/>
        </w:rPr>
        <w:t>Legislation Act</w:t>
      </w:r>
      <w:r w:rsidRPr="008E7859">
        <w:rPr>
          <w:i/>
          <w:iCs/>
          <w:szCs w:val="24"/>
        </w:rPr>
        <w:t>)</w:t>
      </w:r>
      <w:r w:rsidRPr="008E7859">
        <w:rPr>
          <w:szCs w:val="24"/>
        </w:rPr>
        <w:t>.</w:t>
      </w:r>
    </w:p>
    <w:p w14:paraId="01328DC0" w14:textId="123B2B7C" w:rsidR="00E21ED1" w:rsidRDefault="00E21ED1" w:rsidP="00E21ED1">
      <w:pPr>
        <w:pStyle w:val="NormalWeb"/>
        <w:shd w:val="clear" w:color="auto" w:fill="FFFFFF"/>
        <w:spacing w:before="0" w:beforeAutospacing="0" w:after="0" w:afterAutospacing="0"/>
        <w:rPr>
          <w:color w:val="000000"/>
        </w:rPr>
      </w:pPr>
    </w:p>
    <w:p w14:paraId="0B74A1E5" w14:textId="77777777" w:rsidR="00E21ED1" w:rsidRDefault="00E21ED1" w:rsidP="00E21ED1">
      <w:pPr>
        <w:pStyle w:val="NormalWeb"/>
        <w:shd w:val="clear" w:color="auto" w:fill="FFFFFF"/>
        <w:spacing w:before="0" w:beforeAutospacing="0" w:after="160" w:afterAutospacing="0"/>
        <w:rPr>
          <w:color w:val="000000"/>
        </w:rPr>
      </w:pPr>
      <w:r>
        <w:rPr>
          <w:b/>
          <w:bCs/>
          <w:color w:val="000000"/>
        </w:rPr>
        <w:t>Regulatory Impact Statement (RIS)</w:t>
      </w:r>
    </w:p>
    <w:p w14:paraId="147388F0" w14:textId="794C5C0B" w:rsidR="00E21ED1" w:rsidRDefault="00E21ED1" w:rsidP="00E21ED1">
      <w:pPr>
        <w:pStyle w:val="NormalWeb"/>
        <w:shd w:val="clear" w:color="auto" w:fill="FFFFFF"/>
        <w:spacing w:before="0" w:beforeAutospacing="0" w:after="0" w:afterAutospacing="0"/>
        <w:rPr>
          <w:color w:val="000000"/>
        </w:rPr>
      </w:pPr>
      <w:r>
        <w:rPr>
          <w:color w:val="000000"/>
        </w:rPr>
        <w:t>Section 34 of the </w:t>
      </w:r>
      <w:r>
        <w:rPr>
          <w:i/>
          <w:iCs/>
          <w:color w:val="000000"/>
        </w:rPr>
        <w:t>Legislation Act 2001</w:t>
      </w:r>
      <w:r>
        <w:rPr>
          <w:color w:val="000000"/>
        </w:rPr>
        <w:t> (the </w:t>
      </w:r>
      <w:r>
        <w:rPr>
          <w:b/>
          <w:bCs/>
          <w:i/>
          <w:iCs/>
          <w:color w:val="000000"/>
        </w:rPr>
        <w:t>Legislation Act</w:t>
      </w:r>
      <w:r>
        <w:rPr>
          <w:color w:val="000000"/>
        </w:rPr>
        <w:t>) provides that if a proposed subordinate law or disallowable instrument (the </w:t>
      </w:r>
      <w:r>
        <w:rPr>
          <w:b/>
          <w:bCs/>
          <w:i/>
          <w:iCs/>
          <w:color w:val="000000"/>
        </w:rPr>
        <w:t>proposed law</w:t>
      </w:r>
      <w:r>
        <w:rPr>
          <w:color w:val="000000"/>
        </w:rPr>
        <w:t xml:space="preserve">) is likely to impose appreciable costs on the community, or a part of the community, then, before the proposed law is made, the Minister administering the authorising law must arrange for a </w:t>
      </w:r>
      <w:r w:rsidR="00F2167E">
        <w:rPr>
          <w:color w:val="000000"/>
        </w:rPr>
        <w:t>RIS</w:t>
      </w:r>
      <w:r>
        <w:rPr>
          <w:color w:val="000000"/>
        </w:rPr>
        <w:t xml:space="preserve"> to be prepared for the proposed law.</w:t>
      </w:r>
    </w:p>
    <w:p w14:paraId="34C4AAEA" w14:textId="77777777" w:rsidR="00CD4E87" w:rsidRDefault="00CD4E87" w:rsidP="00E21ED1">
      <w:pPr>
        <w:pStyle w:val="NormalWeb"/>
        <w:shd w:val="clear" w:color="auto" w:fill="FFFFFF"/>
        <w:spacing w:before="0" w:beforeAutospacing="0" w:after="0" w:afterAutospacing="0"/>
        <w:rPr>
          <w:color w:val="000000"/>
        </w:rPr>
      </w:pPr>
    </w:p>
    <w:p w14:paraId="077E1FF8" w14:textId="3956225F" w:rsidR="00CD4E87" w:rsidRDefault="00CD4E87" w:rsidP="00CD4E87">
      <w:pPr>
        <w:autoSpaceDE w:val="0"/>
        <w:autoSpaceDN w:val="0"/>
        <w:adjustRightInd w:val="0"/>
        <w:spacing w:after="240"/>
      </w:pPr>
      <w:r>
        <w:rPr>
          <w:lang w:eastAsia="en-AU"/>
        </w:rPr>
        <w:t xml:space="preserve">A RIS is not required for this instrument </w:t>
      </w:r>
      <w:r w:rsidR="00F2167E">
        <w:rPr>
          <w:lang w:eastAsia="en-AU"/>
        </w:rPr>
        <w:t xml:space="preserve">as it </w:t>
      </w:r>
      <w:r w:rsidR="00987533">
        <w:rPr>
          <w:lang w:eastAsia="en-AU"/>
        </w:rPr>
        <w:t>will not</w:t>
      </w:r>
      <w:r>
        <w:t xml:space="preserve"> impose costs on the community. The introduction of the building reforms mentioned above are</w:t>
      </w:r>
      <w:r w:rsidR="00987533">
        <w:t xml:space="preserve"> voluntary and are</w:t>
      </w:r>
      <w:r>
        <w:t xml:space="preserve"> expected to reduce costs for the community by:</w:t>
      </w:r>
    </w:p>
    <w:p w14:paraId="0C9D2465" w14:textId="16311993" w:rsidR="00CD4E87" w:rsidRDefault="00CD4E87" w:rsidP="00CD4E87">
      <w:pPr>
        <w:pStyle w:val="ListParagraph"/>
        <w:widowControl w:val="0"/>
        <w:numPr>
          <w:ilvl w:val="0"/>
          <w:numId w:val="12"/>
        </w:numPr>
        <w:autoSpaceDE w:val="0"/>
        <w:autoSpaceDN w:val="0"/>
        <w:adjustRightInd w:val="0"/>
        <w:spacing w:before="0" w:after="240"/>
        <w:rPr>
          <w:rFonts w:ascii="Times New Roman" w:hAnsi="Times New Roman"/>
          <w:sz w:val="24"/>
        </w:rPr>
      </w:pPr>
      <w:r w:rsidRPr="00CD4E87">
        <w:rPr>
          <w:rFonts w:ascii="Times New Roman" w:hAnsi="Times New Roman"/>
          <w:sz w:val="24"/>
        </w:rPr>
        <w:t>addressing the need for complex redesign efforts, higher costs and risks of non-compliance by delivering an alternative pathway for energy efficiency</w:t>
      </w:r>
      <w:r w:rsidR="00F2167E">
        <w:rPr>
          <w:rFonts w:ascii="Times New Roman" w:hAnsi="Times New Roman"/>
          <w:sz w:val="24"/>
        </w:rPr>
        <w:t>,</w:t>
      </w:r>
      <w:r w:rsidRPr="00CD4E87">
        <w:rPr>
          <w:rFonts w:ascii="Times New Roman" w:hAnsi="Times New Roman"/>
          <w:sz w:val="24"/>
        </w:rPr>
        <w:t xml:space="preserve"> making it easier for industry and homeowners to meet their compliance requirements; an</w:t>
      </w:r>
      <w:r w:rsidR="00EC7C8A">
        <w:rPr>
          <w:rFonts w:ascii="Times New Roman" w:hAnsi="Times New Roman"/>
          <w:sz w:val="24"/>
        </w:rPr>
        <w:t>d</w:t>
      </w:r>
    </w:p>
    <w:p w14:paraId="4B787380" w14:textId="77777777" w:rsidR="00EC7C8A" w:rsidRPr="00CD4E87" w:rsidRDefault="00EC7C8A" w:rsidP="00EC7C8A">
      <w:pPr>
        <w:pStyle w:val="ListParagraph"/>
        <w:widowControl w:val="0"/>
        <w:autoSpaceDE w:val="0"/>
        <w:autoSpaceDN w:val="0"/>
        <w:adjustRightInd w:val="0"/>
        <w:spacing w:before="0" w:after="240"/>
        <w:rPr>
          <w:rFonts w:ascii="Times New Roman" w:hAnsi="Times New Roman"/>
          <w:sz w:val="24"/>
        </w:rPr>
      </w:pPr>
    </w:p>
    <w:p w14:paraId="0389EC1F" w14:textId="6B118BA0" w:rsidR="00CD4E87" w:rsidRPr="00CD4E87" w:rsidRDefault="00CD4E87" w:rsidP="00CD4E87">
      <w:pPr>
        <w:pStyle w:val="ListParagraph"/>
        <w:widowControl w:val="0"/>
        <w:numPr>
          <w:ilvl w:val="0"/>
          <w:numId w:val="12"/>
        </w:numPr>
        <w:autoSpaceDE w:val="0"/>
        <w:autoSpaceDN w:val="0"/>
        <w:adjustRightInd w:val="0"/>
        <w:spacing w:before="0" w:after="240"/>
        <w:rPr>
          <w:rFonts w:ascii="Times New Roman" w:hAnsi="Times New Roman"/>
          <w:sz w:val="24"/>
        </w:rPr>
      </w:pPr>
      <w:r w:rsidRPr="00CD4E87">
        <w:rPr>
          <w:rFonts w:ascii="Times New Roman" w:hAnsi="Times New Roman"/>
          <w:sz w:val="24"/>
        </w:rPr>
        <w:t xml:space="preserve">streamlining processes and reducing unnecessary cost and regulatory burden on industry and homeowners pursuing </w:t>
      </w:r>
      <w:r w:rsidR="00987533">
        <w:rPr>
          <w:rFonts w:ascii="Times New Roman" w:hAnsi="Times New Roman"/>
          <w:sz w:val="24"/>
        </w:rPr>
        <w:t>Passivhaus</w:t>
      </w:r>
      <w:r w:rsidRPr="00CD4E87">
        <w:rPr>
          <w:rFonts w:ascii="Times New Roman" w:hAnsi="Times New Roman"/>
          <w:sz w:val="24"/>
        </w:rPr>
        <w:t xml:space="preserve"> construction.</w:t>
      </w:r>
    </w:p>
    <w:p w14:paraId="4AD083DD" w14:textId="6BA457A7" w:rsidR="00CD4E87" w:rsidRDefault="00CD4E87" w:rsidP="00E21ED1">
      <w:pPr>
        <w:pStyle w:val="NormalWeb"/>
        <w:shd w:val="clear" w:color="auto" w:fill="FFFFFF"/>
        <w:spacing w:before="0" w:beforeAutospacing="0" w:after="0" w:afterAutospacing="0"/>
      </w:pPr>
      <w:r>
        <w:t xml:space="preserve">Section 36 (1) (h) of the Legislation Act provides that a regulatory impact statement is not required for </w:t>
      </w:r>
      <w:r w:rsidRPr="00262752">
        <w:t xml:space="preserve">a matter involving the adoption of an Australian or international </w:t>
      </w:r>
      <w:r w:rsidRPr="00262752">
        <w:lastRenderedPageBreak/>
        <w:t>protocol, standard, code, or intergovernmental agreement or instrument, if an assessment of the benefits and costs has already been made and the assessment was made for, or is relevant to, the ACT</w:t>
      </w:r>
      <w:r>
        <w:t>.</w:t>
      </w:r>
      <w:r w:rsidR="00F2167E">
        <w:t xml:space="preserve"> </w:t>
      </w:r>
      <w:r w:rsidR="008E7859" w:rsidRPr="008E7859">
        <w:t>Passivhaus</w:t>
      </w:r>
      <w:r w:rsidR="008E7859">
        <w:t xml:space="preserve"> certification</w:t>
      </w:r>
      <w:r w:rsidR="008E7859" w:rsidRPr="008E7859">
        <w:t xml:space="preserve"> is used globally and is recogni</w:t>
      </w:r>
      <w:r w:rsidR="008E7859">
        <w:t>s</w:t>
      </w:r>
      <w:r w:rsidR="008E7859" w:rsidRPr="008E7859">
        <w:t>ed as a leading standard for energy efficiency and sustainability.</w:t>
      </w:r>
      <w:r w:rsidR="008E7859">
        <w:t xml:space="preserve"> It is also adopted by the NSW Government as a compliance pathway for energy efficiency requirements. </w:t>
      </w:r>
      <w:r w:rsidR="008E7859">
        <w:rPr>
          <w:iCs/>
          <w:lang w:val="en-US"/>
        </w:rPr>
        <w:t xml:space="preserve">An overview on the certification process for a Passivhaus can be found at </w:t>
      </w:r>
      <w:hyperlink r:id="rId9" w:history="1">
        <w:r w:rsidR="0087317F" w:rsidRPr="00D61D44">
          <w:rPr>
            <w:rStyle w:val="Hyperlink"/>
            <w:iCs/>
            <w:lang w:val="en-US"/>
          </w:rPr>
          <w:t>https://www.passivhausassociation.com.au/certification</w:t>
        </w:r>
      </w:hyperlink>
      <w:r w:rsidR="0087317F">
        <w:rPr>
          <w:iCs/>
          <w:lang w:val="en-US"/>
        </w:rPr>
        <w:t xml:space="preserve">. </w:t>
      </w:r>
    </w:p>
    <w:p w14:paraId="14EF1158" w14:textId="79E46A57" w:rsidR="00E21ED1" w:rsidRDefault="00E21ED1" w:rsidP="00E21ED1">
      <w:pPr>
        <w:pStyle w:val="NormalWeb"/>
        <w:shd w:val="clear" w:color="auto" w:fill="FFFFFF"/>
        <w:spacing w:before="0" w:beforeAutospacing="0" w:after="0" w:afterAutospacing="0"/>
        <w:rPr>
          <w:color w:val="000000"/>
        </w:rPr>
      </w:pPr>
      <w:r>
        <w:rPr>
          <w:color w:val="000000"/>
        </w:rPr>
        <w:t> </w:t>
      </w:r>
    </w:p>
    <w:p w14:paraId="32791F22" w14:textId="77777777" w:rsidR="00E21ED1" w:rsidRDefault="00E21ED1" w:rsidP="00E21ED1">
      <w:pPr>
        <w:pStyle w:val="NormalWeb"/>
        <w:shd w:val="clear" w:color="auto" w:fill="FFFFFF"/>
        <w:spacing w:before="0" w:beforeAutospacing="0" w:after="160" w:afterAutospacing="0"/>
        <w:rPr>
          <w:color w:val="000000"/>
        </w:rPr>
      </w:pPr>
      <w:r>
        <w:rPr>
          <w:b/>
          <w:bCs/>
          <w:color w:val="000000"/>
        </w:rPr>
        <w:t>Human Rights</w:t>
      </w:r>
    </w:p>
    <w:p w14:paraId="6BAC1DBC" w14:textId="16AECCC7" w:rsidR="00E21ED1" w:rsidRDefault="00E21ED1" w:rsidP="00E21ED1">
      <w:pPr>
        <w:pStyle w:val="Header1"/>
        <w:shd w:val="clear" w:color="auto" w:fill="FFFFFF"/>
        <w:spacing w:before="0" w:beforeAutospacing="0" w:after="240" w:afterAutospacing="0"/>
        <w:rPr>
          <w:color w:val="000000"/>
        </w:rPr>
      </w:pPr>
      <w:r>
        <w:rPr>
          <w:color w:val="000000"/>
        </w:rPr>
        <w:t xml:space="preserve">The Standing Committee on </w:t>
      </w:r>
      <w:r w:rsidR="00C107AA">
        <w:rPr>
          <w:color w:val="000000"/>
        </w:rPr>
        <w:t>Legal Affairs</w:t>
      </w:r>
      <w:r>
        <w:rPr>
          <w:color w:val="000000"/>
        </w:rPr>
        <w:t xml:space="preserve"> (Legislative Scrutiny Role) terms of reference require consideration of human rights impacts, among other matters. There are no human rights impacts related to this instrument.</w:t>
      </w:r>
    </w:p>
    <w:p w14:paraId="44FDB2F4" w14:textId="77777777" w:rsidR="00E21ED1" w:rsidRDefault="00E21ED1" w:rsidP="00E21ED1">
      <w:pPr>
        <w:pStyle w:val="NormalWeb"/>
        <w:shd w:val="clear" w:color="auto" w:fill="FFFFFF"/>
        <w:spacing w:before="0" w:beforeAutospacing="0" w:after="160" w:afterAutospacing="0"/>
        <w:rPr>
          <w:color w:val="000000"/>
        </w:rPr>
      </w:pPr>
      <w:r>
        <w:rPr>
          <w:b/>
          <w:bCs/>
          <w:color w:val="000000"/>
        </w:rPr>
        <w:t>Clause Notes</w:t>
      </w:r>
    </w:p>
    <w:p w14:paraId="53C705A5" w14:textId="46C6BF45" w:rsidR="00E21ED1" w:rsidRDefault="00E21ED1" w:rsidP="00E21ED1">
      <w:pPr>
        <w:pStyle w:val="normalweb0"/>
        <w:shd w:val="clear" w:color="auto" w:fill="FFFFFF"/>
        <w:spacing w:before="0" w:beforeAutospacing="0" w:after="0" w:afterAutospacing="0"/>
        <w:rPr>
          <w:color w:val="000000"/>
        </w:rPr>
      </w:pPr>
      <w:r>
        <w:rPr>
          <w:color w:val="000000"/>
        </w:rPr>
        <w:t>Clause 1 names the instrument the </w:t>
      </w:r>
      <w:r>
        <w:rPr>
          <w:i/>
          <w:iCs/>
          <w:color w:val="000000"/>
        </w:rPr>
        <w:t xml:space="preserve">Building (General) (Alternative requirements for unaltered parts) Determination </w:t>
      </w:r>
      <w:r w:rsidR="002B42BF">
        <w:rPr>
          <w:i/>
          <w:iCs/>
          <w:color w:val="000000"/>
        </w:rPr>
        <w:t>2026</w:t>
      </w:r>
      <w:r>
        <w:rPr>
          <w:color w:val="000000"/>
        </w:rPr>
        <w:t>.</w:t>
      </w:r>
    </w:p>
    <w:p w14:paraId="15305DF7" w14:textId="77777777" w:rsidR="00E21ED1" w:rsidRDefault="00E21ED1" w:rsidP="00E21ED1">
      <w:pPr>
        <w:pStyle w:val="normalweb0"/>
        <w:shd w:val="clear" w:color="auto" w:fill="FFFFFF"/>
        <w:spacing w:before="0" w:beforeAutospacing="0" w:after="0" w:afterAutospacing="0"/>
        <w:rPr>
          <w:color w:val="000000"/>
        </w:rPr>
      </w:pPr>
      <w:r>
        <w:rPr>
          <w:color w:val="000000"/>
        </w:rPr>
        <w:t> </w:t>
      </w:r>
    </w:p>
    <w:p w14:paraId="7B918A18" w14:textId="469BFF9F" w:rsidR="00E21ED1" w:rsidRDefault="00E21ED1" w:rsidP="00E21ED1">
      <w:pPr>
        <w:pStyle w:val="normalweb0"/>
        <w:shd w:val="clear" w:color="auto" w:fill="FFFFFF"/>
        <w:spacing w:before="0" w:beforeAutospacing="0" w:after="0" w:afterAutospacing="0"/>
        <w:rPr>
          <w:color w:val="000000"/>
        </w:rPr>
      </w:pPr>
      <w:r>
        <w:rPr>
          <w:color w:val="000000"/>
        </w:rPr>
        <w:t>Clause 2 provides that this instrument commences on </w:t>
      </w:r>
      <w:r w:rsidR="00EC7C8A">
        <w:rPr>
          <w:color w:val="000000"/>
        </w:rPr>
        <w:t xml:space="preserve">the day after </w:t>
      </w:r>
      <w:r w:rsidR="00E3464F">
        <w:rPr>
          <w:color w:val="000000"/>
        </w:rPr>
        <w:t xml:space="preserve">its </w:t>
      </w:r>
      <w:r w:rsidR="00EC7C8A">
        <w:rPr>
          <w:color w:val="000000"/>
        </w:rPr>
        <w:t>notification</w:t>
      </w:r>
      <w:r w:rsidR="00E3464F">
        <w:rPr>
          <w:color w:val="000000"/>
        </w:rPr>
        <w:t xml:space="preserve"> day</w:t>
      </w:r>
      <w:r w:rsidR="00EC7C8A">
        <w:rPr>
          <w:color w:val="000000"/>
        </w:rPr>
        <w:t xml:space="preserve">. </w:t>
      </w:r>
    </w:p>
    <w:p w14:paraId="196BB1DC" w14:textId="77777777" w:rsidR="00E21ED1" w:rsidRDefault="00E21ED1" w:rsidP="00E21ED1">
      <w:pPr>
        <w:pStyle w:val="normalweb0"/>
        <w:shd w:val="clear" w:color="auto" w:fill="FFFFFF"/>
        <w:spacing w:before="0" w:beforeAutospacing="0" w:after="0" w:afterAutospacing="0"/>
        <w:rPr>
          <w:color w:val="000000"/>
        </w:rPr>
      </w:pPr>
      <w:r>
        <w:rPr>
          <w:color w:val="000000"/>
        </w:rPr>
        <w:t> </w:t>
      </w:r>
    </w:p>
    <w:p w14:paraId="5392F134" w14:textId="77777777" w:rsidR="00E21ED1" w:rsidRDefault="00E21ED1" w:rsidP="00E21ED1">
      <w:pPr>
        <w:pStyle w:val="normalweb0"/>
        <w:shd w:val="clear" w:color="auto" w:fill="FFFFFF"/>
        <w:spacing w:before="0" w:beforeAutospacing="0" w:after="0" w:afterAutospacing="0"/>
        <w:rPr>
          <w:color w:val="000000"/>
        </w:rPr>
      </w:pPr>
      <w:r>
        <w:rPr>
          <w:color w:val="000000"/>
        </w:rPr>
        <w:t>Clause 3 provides for when schedule 1 of this instrument applies.</w:t>
      </w:r>
    </w:p>
    <w:p w14:paraId="473C3F24" w14:textId="77777777" w:rsidR="00E21ED1" w:rsidRDefault="00E21ED1" w:rsidP="00E21ED1">
      <w:pPr>
        <w:pStyle w:val="normalweb0"/>
        <w:shd w:val="clear" w:color="auto" w:fill="FFFFFF"/>
        <w:spacing w:before="0" w:beforeAutospacing="0" w:after="0" w:afterAutospacing="0"/>
        <w:rPr>
          <w:color w:val="000000"/>
        </w:rPr>
      </w:pPr>
      <w:r>
        <w:rPr>
          <w:color w:val="000000"/>
        </w:rPr>
        <w:t> </w:t>
      </w:r>
    </w:p>
    <w:p w14:paraId="6D4F2D74" w14:textId="77777777" w:rsidR="00E21ED1" w:rsidRDefault="00E21ED1" w:rsidP="00E21ED1">
      <w:pPr>
        <w:pStyle w:val="normalweb0"/>
        <w:shd w:val="clear" w:color="auto" w:fill="FFFFFF"/>
        <w:spacing w:before="0" w:beforeAutospacing="0" w:after="0" w:afterAutospacing="0"/>
        <w:rPr>
          <w:color w:val="000000"/>
        </w:rPr>
      </w:pPr>
      <w:r>
        <w:rPr>
          <w:color w:val="000000"/>
        </w:rPr>
        <w:t>Clause 4 determines the schedule of the instrument is the alternative requirements for an unaltered part.</w:t>
      </w:r>
    </w:p>
    <w:p w14:paraId="118FB221" w14:textId="77777777" w:rsidR="00E21ED1" w:rsidRDefault="00E21ED1" w:rsidP="00E21ED1">
      <w:pPr>
        <w:pStyle w:val="normalweb0"/>
        <w:shd w:val="clear" w:color="auto" w:fill="FFFFFF"/>
        <w:spacing w:before="0" w:beforeAutospacing="0" w:after="0" w:afterAutospacing="0"/>
        <w:rPr>
          <w:color w:val="000000"/>
        </w:rPr>
      </w:pPr>
      <w:r>
        <w:rPr>
          <w:color w:val="000000"/>
        </w:rPr>
        <w:t> </w:t>
      </w:r>
    </w:p>
    <w:p w14:paraId="50B1608C" w14:textId="77777777" w:rsidR="00E21ED1" w:rsidRDefault="00E21ED1" w:rsidP="00E21ED1">
      <w:pPr>
        <w:pStyle w:val="NormalWeb"/>
        <w:shd w:val="clear" w:color="auto" w:fill="FFFFFF"/>
        <w:spacing w:before="0" w:beforeAutospacing="0" w:after="0" w:afterAutospacing="0"/>
        <w:rPr>
          <w:color w:val="000000"/>
        </w:rPr>
      </w:pPr>
      <w:r>
        <w:rPr>
          <w:color w:val="000000"/>
        </w:rPr>
        <w:t>Clause 5 displaces the requirement in the Legislation Act, section 47 (5). Section 47 (5) provides that the text of an instrument applied as in force at a particular time is taken to be a notifiable instrument made under the relevant instrument, and therefore must be published on the Legislation Register.</w:t>
      </w:r>
    </w:p>
    <w:p w14:paraId="3FD1BC6B" w14:textId="77777777" w:rsidR="00E21ED1" w:rsidRDefault="00E21ED1" w:rsidP="00E21ED1">
      <w:pPr>
        <w:pStyle w:val="NormalWeb"/>
        <w:shd w:val="clear" w:color="auto" w:fill="FFFFFF"/>
        <w:spacing w:before="0" w:beforeAutospacing="0" w:after="0" w:afterAutospacing="0"/>
        <w:rPr>
          <w:color w:val="000000"/>
        </w:rPr>
      </w:pPr>
      <w:r>
        <w:rPr>
          <w:color w:val="000000"/>
        </w:rPr>
        <w:t> </w:t>
      </w:r>
    </w:p>
    <w:p w14:paraId="6C361B60" w14:textId="7B987170" w:rsidR="00E21ED1" w:rsidRDefault="006807DD" w:rsidP="00E21ED1">
      <w:pPr>
        <w:pStyle w:val="NormalWeb"/>
        <w:shd w:val="clear" w:color="auto" w:fill="FFFFFF"/>
        <w:spacing w:before="0" w:beforeAutospacing="0" w:after="0" w:afterAutospacing="0"/>
        <w:rPr>
          <w:color w:val="000000"/>
        </w:rPr>
      </w:pPr>
      <w:r w:rsidRPr="0087317F">
        <w:rPr>
          <w:color w:val="000000"/>
        </w:rPr>
        <w:t xml:space="preserve">BCA volumes 1 and 2, comprise the </w:t>
      </w:r>
      <w:r w:rsidR="0087317F">
        <w:rPr>
          <w:color w:val="000000"/>
        </w:rPr>
        <w:t>NCC</w:t>
      </w:r>
      <w:r w:rsidRPr="0087317F">
        <w:rPr>
          <w:color w:val="000000"/>
        </w:rPr>
        <w:t xml:space="preserve"> along with volume 3, the Plumbing Code of Australia.</w:t>
      </w:r>
      <w:r>
        <w:rPr>
          <w:rStyle w:val="cf01"/>
        </w:rPr>
        <w:t xml:space="preserve"> </w:t>
      </w:r>
      <w:r w:rsidR="00E21ED1">
        <w:rPr>
          <w:color w:val="000000"/>
        </w:rPr>
        <w:t xml:space="preserve">Copyright to the </w:t>
      </w:r>
      <w:r>
        <w:rPr>
          <w:color w:val="000000"/>
        </w:rPr>
        <w:t>BCA</w:t>
      </w:r>
      <w:r w:rsidR="00E21ED1">
        <w:rPr>
          <w:color w:val="000000"/>
        </w:rPr>
        <w:t xml:space="preserve"> is collectively owned by the Australian Government and the states and territories. The arrangement between jurisdictions is that the BCA will be published on behalf of the jurisdictions in a single place by the ABCB. It would not be appropriate to publicly notify the code on an ACT Government website. The notes to section 5 of the instrument describe alternative access to the BCA as it is not being notified on the Legislation Register.</w:t>
      </w:r>
    </w:p>
    <w:p w14:paraId="72C52F27" w14:textId="77777777" w:rsidR="00E21ED1" w:rsidRDefault="00E21ED1" w:rsidP="00E21ED1">
      <w:pPr>
        <w:pStyle w:val="NormalWeb"/>
        <w:shd w:val="clear" w:color="auto" w:fill="FFFFFF"/>
        <w:spacing w:before="0" w:beforeAutospacing="0" w:after="0" w:afterAutospacing="0"/>
        <w:rPr>
          <w:color w:val="000000"/>
        </w:rPr>
      </w:pPr>
      <w:r>
        <w:rPr>
          <w:color w:val="000000"/>
        </w:rPr>
        <w:t> </w:t>
      </w:r>
    </w:p>
    <w:p w14:paraId="11AEDFFC" w14:textId="77777777" w:rsidR="00E21ED1" w:rsidRDefault="00E21ED1" w:rsidP="00E21ED1">
      <w:pPr>
        <w:pStyle w:val="normalweb0"/>
        <w:shd w:val="clear" w:color="auto" w:fill="FFFFFF"/>
        <w:spacing w:before="0" w:beforeAutospacing="0" w:after="0" w:afterAutospacing="0"/>
        <w:rPr>
          <w:color w:val="000000"/>
        </w:rPr>
      </w:pPr>
      <w:r>
        <w:rPr>
          <w:color w:val="000000"/>
        </w:rPr>
        <w:t>The BCA incorporates a number of Australian Standards, Australian/New Zealand Standards and International Standards. The standards are technical standards used by the building and construction sector to meet regulatory requirements across jurisdictions. The sector is generally expected to have knowledge of the standards relevant to undertaking their professional services. It is noted that there are often two or more versions of the Building Code applicable to building</w:t>
      </w:r>
      <w:r>
        <w:rPr>
          <w:color w:val="000000"/>
          <w:spacing w:val="-2"/>
        </w:rPr>
        <w:t> </w:t>
      </w:r>
      <w:r>
        <w:rPr>
          <w:color w:val="000000"/>
        </w:rPr>
        <w:t>work at any</w:t>
      </w:r>
      <w:r>
        <w:rPr>
          <w:color w:val="000000"/>
          <w:spacing w:val="-1"/>
        </w:rPr>
        <w:t> </w:t>
      </w:r>
      <w:r>
        <w:rPr>
          <w:color w:val="000000"/>
        </w:rPr>
        <w:t>one time</w:t>
      </w:r>
      <w:r>
        <w:rPr>
          <w:color w:val="000000"/>
          <w:spacing w:val="-1"/>
        </w:rPr>
        <w:t> </w:t>
      </w:r>
      <w:r>
        <w:rPr>
          <w:color w:val="000000"/>
        </w:rPr>
        <w:t>and</w:t>
      </w:r>
      <w:r>
        <w:rPr>
          <w:color w:val="000000"/>
          <w:spacing w:val="-4"/>
        </w:rPr>
        <w:t> </w:t>
      </w:r>
      <w:r>
        <w:rPr>
          <w:color w:val="000000"/>
        </w:rPr>
        <w:t>as</w:t>
      </w:r>
      <w:r>
        <w:rPr>
          <w:color w:val="000000"/>
          <w:spacing w:val="-4"/>
        </w:rPr>
        <w:t> </w:t>
      </w:r>
      <w:r>
        <w:rPr>
          <w:color w:val="000000"/>
        </w:rPr>
        <w:t>such there</w:t>
      </w:r>
      <w:r>
        <w:rPr>
          <w:color w:val="000000"/>
          <w:spacing w:val="-4"/>
        </w:rPr>
        <w:t> </w:t>
      </w:r>
      <w:r>
        <w:rPr>
          <w:color w:val="000000"/>
        </w:rPr>
        <w:t>are</w:t>
      </w:r>
      <w:r>
        <w:rPr>
          <w:color w:val="000000"/>
          <w:spacing w:val="-4"/>
        </w:rPr>
        <w:t> </w:t>
      </w:r>
      <w:r>
        <w:rPr>
          <w:color w:val="000000"/>
        </w:rPr>
        <w:t>a</w:t>
      </w:r>
      <w:r>
        <w:rPr>
          <w:color w:val="000000"/>
          <w:spacing w:val="-4"/>
        </w:rPr>
        <w:t> </w:t>
      </w:r>
      <w:r>
        <w:rPr>
          <w:color w:val="000000"/>
        </w:rPr>
        <w:t>significant</w:t>
      </w:r>
      <w:r>
        <w:rPr>
          <w:color w:val="000000"/>
          <w:spacing w:val="-2"/>
        </w:rPr>
        <w:t> </w:t>
      </w:r>
      <w:r>
        <w:rPr>
          <w:color w:val="000000"/>
        </w:rPr>
        <w:t>number</w:t>
      </w:r>
      <w:r>
        <w:rPr>
          <w:color w:val="000000"/>
          <w:spacing w:val="-5"/>
        </w:rPr>
        <w:t> </w:t>
      </w:r>
      <w:r>
        <w:rPr>
          <w:color w:val="000000"/>
        </w:rPr>
        <w:t>of</w:t>
      </w:r>
      <w:r>
        <w:rPr>
          <w:color w:val="000000"/>
          <w:spacing w:val="-3"/>
        </w:rPr>
        <w:t> </w:t>
      </w:r>
      <w:r>
        <w:rPr>
          <w:color w:val="000000"/>
        </w:rPr>
        <w:t>Australian</w:t>
      </w:r>
      <w:r>
        <w:rPr>
          <w:color w:val="000000"/>
          <w:spacing w:val="-4"/>
        </w:rPr>
        <w:t> </w:t>
      </w:r>
      <w:r>
        <w:rPr>
          <w:color w:val="000000"/>
        </w:rPr>
        <w:t>Standards</w:t>
      </w:r>
      <w:r>
        <w:rPr>
          <w:color w:val="000000"/>
          <w:spacing w:val="-4"/>
        </w:rPr>
        <w:t> </w:t>
      </w:r>
      <w:r>
        <w:rPr>
          <w:color w:val="000000"/>
        </w:rPr>
        <w:t>and versions</w:t>
      </w:r>
      <w:r>
        <w:rPr>
          <w:color w:val="000000"/>
          <w:spacing w:val="-4"/>
        </w:rPr>
        <w:t> </w:t>
      </w:r>
      <w:r>
        <w:rPr>
          <w:color w:val="000000"/>
        </w:rPr>
        <w:t>of</w:t>
      </w:r>
      <w:r>
        <w:rPr>
          <w:color w:val="000000"/>
          <w:spacing w:val="-3"/>
        </w:rPr>
        <w:t> </w:t>
      </w:r>
      <w:r>
        <w:rPr>
          <w:color w:val="000000"/>
        </w:rPr>
        <w:t>Australian Standards that industry and regulators require access to.</w:t>
      </w:r>
    </w:p>
    <w:p w14:paraId="7CD380EA" w14:textId="77777777" w:rsidR="00E21ED1" w:rsidRDefault="00E21ED1" w:rsidP="00E21ED1">
      <w:pPr>
        <w:pStyle w:val="normalweb0"/>
        <w:shd w:val="clear" w:color="auto" w:fill="FFFFFF"/>
        <w:spacing w:before="0" w:beforeAutospacing="0" w:after="0" w:afterAutospacing="0"/>
        <w:rPr>
          <w:color w:val="000000"/>
        </w:rPr>
      </w:pPr>
      <w:r>
        <w:rPr>
          <w:color w:val="000000"/>
        </w:rPr>
        <w:t> </w:t>
      </w:r>
    </w:p>
    <w:p w14:paraId="59057DF4" w14:textId="13736D18" w:rsidR="00E21ED1" w:rsidRDefault="00E21ED1" w:rsidP="00E21ED1">
      <w:pPr>
        <w:pStyle w:val="normalweb0"/>
        <w:shd w:val="clear" w:color="auto" w:fill="FFFFFF"/>
        <w:spacing w:before="0" w:beforeAutospacing="0" w:after="0" w:afterAutospacing="0"/>
        <w:rPr>
          <w:color w:val="000000"/>
        </w:rPr>
      </w:pPr>
      <w:r>
        <w:rPr>
          <w:color w:val="000000"/>
        </w:rPr>
        <w:t xml:space="preserve">The notes </w:t>
      </w:r>
      <w:r w:rsidR="0087317F">
        <w:rPr>
          <w:color w:val="000000"/>
        </w:rPr>
        <w:t xml:space="preserve">in </w:t>
      </w:r>
      <w:r w:rsidR="006807DD">
        <w:rPr>
          <w:color w:val="000000"/>
        </w:rPr>
        <w:t>clause</w:t>
      </w:r>
      <w:r>
        <w:rPr>
          <w:color w:val="000000"/>
        </w:rPr>
        <w:t> 5 of the instrument describe that the standards referenced in the BCA are available for purchase from </w:t>
      </w:r>
      <w:hyperlink r:id="rId10" w:history="1">
        <w:r>
          <w:rPr>
            <w:rStyle w:val="hyperlink10"/>
            <w:color w:val="0000FF"/>
            <w:u w:val="single"/>
          </w:rPr>
          <w:t>www.standards.org.au</w:t>
        </w:r>
      </w:hyperlink>
      <w:r>
        <w:rPr>
          <w:color w:val="000000"/>
        </w:rPr>
        <w:t xml:space="preserve">. There are challenges relating to the ability to provide public access to Australian Standards due to </w:t>
      </w:r>
      <w:r>
        <w:rPr>
          <w:color w:val="000000"/>
        </w:rPr>
        <w:lastRenderedPageBreak/>
        <w:t>copyright issues.</w:t>
      </w:r>
      <w:r w:rsidR="00513AA9">
        <w:rPr>
          <w:color w:val="000000"/>
        </w:rPr>
        <w:t xml:space="preserve"> </w:t>
      </w:r>
      <w:r>
        <w:rPr>
          <w:color w:val="000000"/>
        </w:rPr>
        <w:t>In addition,</w:t>
      </w:r>
      <w:r w:rsidR="00513AA9">
        <w:rPr>
          <w:color w:val="000000"/>
        </w:rPr>
        <w:t xml:space="preserve"> </w:t>
      </w:r>
      <w:r>
        <w:rPr>
          <w:color w:val="000000"/>
        </w:rPr>
        <w:t>Standards Australia has released an initiative (Reader Room) that provides limited, no-fee access to the entire catalogue of Australian Standards for non-</w:t>
      </w:r>
      <w:r w:rsidR="00513AA9">
        <w:rPr>
          <w:color w:val="000000"/>
        </w:rPr>
        <w:t>c</w:t>
      </w:r>
      <w:r>
        <w:rPr>
          <w:color w:val="000000"/>
        </w:rPr>
        <w:t>ommercial</w:t>
      </w:r>
      <w:r w:rsidR="00513AA9">
        <w:rPr>
          <w:color w:val="000000"/>
          <w:spacing w:val="-4"/>
        </w:rPr>
        <w:t xml:space="preserve"> </w:t>
      </w:r>
      <w:r>
        <w:rPr>
          <w:color w:val="000000"/>
        </w:rPr>
        <w:t>purposes,</w:t>
      </w:r>
      <w:r w:rsidR="00513AA9">
        <w:rPr>
          <w:color w:val="000000"/>
          <w:spacing w:val="-5"/>
        </w:rPr>
        <w:t xml:space="preserve"> </w:t>
      </w:r>
      <w:r>
        <w:rPr>
          <w:color w:val="000000"/>
        </w:rPr>
        <w:t>that</w:t>
      </w:r>
      <w:r w:rsidR="00513AA9">
        <w:rPr>
          <w:color w:val="000000"/>
        </w:rPr>
        <w:t xml:space="preserve"> </w:t>
      </w:r>
      <w:r>
        <w:rPr>
          <w:color w:val="000000"/>
        </w:rPr>
        <w:t>is</w:t>
      </w:r>
      <w:r w:rsidR="00513AA9">
        <w:rPr>
          <w:color w:val="000000"/>
          <w:spacing w:val="-3"/>
        </w:rPr>
        <w:t xml:space="preserve"> </w:t>
      </w:r>
      <w:r>
        <w:rPr>
          <w:color w:val="000000"/>
        </w:rPr>
        <w:t>for</w:t>
      </w:r>
      <w:r w:rsidR="00513AA9">
        <w:rPr>
          <w:color w:val="000000"/>
        </w:rPr>
        <w:t xml:space="preserve"> </w:t>
      </w:r>
      <w:r>
        <w:rPr>
          <w:color w:val="000000"/>
        </w:rPr>
        <w:t>personal,</w:t>
      </w:r>
      <w:r w:rsidR="00513AA9">
        <w:rPr>
          <w:color w:val="000000"/>
        </w:rPr>
        <w:t xml:space="preserve"> </w:t>
      </w:r>
      <w:r>
        <w:rPr>
          <w:color w:val="000000"/>
        </w:rPr>
        <w:t>domestic</w:t>
      </w:r>
      <w:r w:rsidR="00513AA9">
        <w:rPr>
          <w:color w:val="000000"/>
        </w:rPr>
        <w:t xml:space="preserve"> </w:t>
      </w:r>
      <w:r>
        <w:rPr>
          <w:color w:val="000000"/>
        </w:rPr>
        <w:t>or</w:t>
      </w:r>
      <w:r w:rsidR="00513AA9">
        <w:rPr>
          <w:color w:val="000000"/>
        </w:rPr>
        <w:t xml:space="preserve"> </w:t>
      </w:r>
      <w:r>
        <w:rPr>
          <w:color w:val="000000"/>
        </w:rPr>
        <w:t>household</w:t>
      </w:r>
      <w:r w:rsidR="00513AA9">
        <w:rPr>
          <w:color w:val="000000"/>
        </w:rPr>
        <w:t xml:space="preserve"> </w:t>
      </w:r>
      <w:r>
        <w:rPr>
          <w:color w:val="000000"/>
        </w:rPr>
        <w:t>use.</w:t>
      </w:r>
      <w:r w:rsidR="00513AA9">
        <w:rPr>
          <w:color w:val="000000"/>
        </w:rPr>
        <w:t xml:space="preserve"> </w:t>
      </w:r>
      <w:r>
        <w:rPr>
          <w:color w:val="000000"/>
        </w:rPr>
        <w:t>This initiative provides access for free to a maximum of three standards every 12 months, with access for 24 hours at a time. The Reader Room is available at </w:t>
      </w:r>
      <w:hyperlink r:id="rId11" w:history="1">
        <w:r>
          <w:rPr>
            <w:rStyle w:val="hyperlink10"/>
            <w:color w:val="0000FF"/>
            <w:u w:val="single"/>
          </w:rPr>
          <w:t>https://readerroom.standards.org.au/</w:t>
        </w:r>
      </w:hyperlink>
      <w:r>
        <w:rPr>
          <w:color w:val="000000"/>
        </w:rPr>
        <w:t>.</w:t>
      </w:r>
    </w:p>
    <w:p w14:paraId="42BDD7AD" w14:textId="77777777" w:rsidR="00E21ED1" w:rsidRDefault="00E21ED1" w:rsidP="00E21ED1">
      <w:pPr>
        <w:pStyle w:val="NormalWeb"/>
        <w:shd w:val="clear" w:color="auto" w:fill="FFFFFF"/>
        <w:spacing w:before="0" w:beforeAutospacing="0" w:after="0" w:afterAutospacing="0"/>
        <w:rPr>
          <w:color w:val="000000"/>
        </w:rPr>
      </w:pPr>
      <w:r>
        <w:rPr>
          <w:color w:val="000000"/>
        </w:rPr>
        <w:t> </w:t>
      </w:r>
    </w:p>
    <w:p w14:paraId="11146F30" w14:textId="311808B4" w:rsidR="00C17FAB" w:rsidRPr="00CC6B9F" w:rsidRDefault="00E21ED1" w:rsidP="00CC6B9F">
      <w:pPr>
        <w:pStyle w:val="normalweb0"/>
        <w:shd w:val="clear" w:color="auto" w:fill="FFFFFF"/>
        <w:spacing w:before="0" w:beforeAutospacing="0" w:after="0" w:afterAutospacing="0"/>
        <w:rPr>
          <w:color w:val="000000"/>
        </w:rPr>
      </w:pPr>
      <w:r>
        <w:rPr>
          <w:color w:val="000000"/>
        </w:rPr>
        <w:t>Clause 6 revokes the </w:t>
      </w:r>
      <w:r>
        <w:rPr>
          <w:i/>
          <w:iCs/>
          <w:color w:val="000000"/>
        </w:rPr>
        <w:t xml:space="preserve">Building (General) (Alternative requirements for unaltered parts) Determination </w:t>
      </w:r>
      <w:r w:rsidR="002B42BF">
        <w:rPr>
          <w:i/>
          <w:iCs/>
          <w:color w:val="000000"/>
        </w:rPr>
        <w:t xml:space="preserve">2024 </w:t>
      </w:r>
      <w:r w:rsidR="002B42BF">
        <w:rPr>
          <w:color w:val="000000"/>
        </w:rPr>
        <w:t>(DI2024</w:t>
      </w:r>
      <w:r>
        <w:rPr>
          <w:color w:val="000000"/>
        </w:rPr>
        <w:t>-</w:t>
      </w:r>
      <w:r w:rsidR="002B42BF">
        <w:rPr>
          <w:color w:val="000000"/>
        </w:rPr>
        <w:t>83</w:t>
      </w:r>
      <w:r>
        <w:rPr>
          <w:color w:val="000000"/>
        </w:rPr>
        <w:t>).</w:t>
      </w:r>
    </w:p>
    <w:sectPr w:rsidR="00C17FAB" w:rsidRPr="00CC6B9F" w:rsidSect="007346AC">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0BEC1" w14:textId="77777777" w:rsidR="00707115" w:rsidRDefault="00707115" w:rsidP="00C17FAB">
      <w:r>
        <w:separator/>
      </w:r>
    </w:p>
  </w:endnote>
  <w:endnote w:type="continuationSeparator" w:id="0">
    <w:p w14:paraId="0691064E" w14:textId="77777777" w:rsidR="00707115" w:rsidRDefault="00707115"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BFD6"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41A4" w14:textId="54AEB1C8" w:rsidR="00DA3B00" w:rsidRPr="00E97CD9" w:rsidRDefault="00E97CD9" w:rsidP="00E97CD9">
    <w:pPr>
      <w:pStyle w:val="Footer"/>
      <w:jc w:val="center"/>
      <w:rPr>
        <w:rFonts w:cs="Arial"/>
        <w:sz w:val="14"/>
      </w:rPr>
    </w:pPr>
    <w:r w:rsidRPr="00E97CD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A6A9"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169F" w14:textId="77777777" w:rsidR="00707115" w:rsidRDefault="00707115" w:rsidP="00C17FAB">
      <w:r>
        <w:separator/>
      </w:r>
    </w:p>
  </w:footnote>
  <w:footnote w:type="continuationSeparator" w:id="0">
    <w:p w14:paraId="7B8A1D72" w14:textId="77777777" w:rsidR="00707115" w:rsidRDefault="00707115"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6071"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1F75"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3B2B"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4407D2"/>
    <w:multiLevelType w:val="hybridMultilevel"/>
    <w:tmpl w:val="5122F118"/>
    <w:lvl w:ilvl="0" w:tplc="CAAA4F60">
      <w:start w:val="1"/>
      <w:numFmt w:val="decimal"/>
      <w:lvlText w:val="(%1)"/>
      <w:lvlJc w:val="left"/>
      <w:pPr>
        <w:ind w:left="360" w:hanging="360"/>
      </w:pPr>
      <w:rPr>
        <w:rFonts w:hint="default"/>
        <w:color w:val="00000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A807DDE"/>
    <w:multiLevelType w:val="hybridMultilevel"/>
    <w:tmpl w:val="076CF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11A503F"/>
    <w:multiLevelType w:val="hybridMultilevel"/>
    <w:tmpl w:val="FFFFFFFF"/>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724715369">
    <w:abstractNumId w:val="2"/>
  </w:num>
  <w:num w:numId="2" w16cid:durableId="2139756924">
    <w:abstractNumId w:val="0"/>
  </w:num>
  <w:num w:numId="3" w16cid:durableId="175386353">
    <w:abstractNumId w:val="3"/>
  </w:num>
  <w:num w:numId="4" w16cid:durableId="1134061807">
    <w:abstractNumId w:val="7"/>
  </w:num>
  <w:num w:numId="5" w16cid:durableId="971788418">
    <w:abstractNumId w:val="9"/>
  </w:num>
  <w:num w:numId="6" w16cid:durableId="1503666620">
    <w:abstractNumId w:val="1"/>
  </w:num>
  <w:num w:numId="7" w16cid:durableId="2129733821">
    <w:abstractNumId w:val="5"/>
  </w:num>
  <w:num w:numId="8" w16cid:durableId="1284311638">
    <w:abstractNumId w:val="6"/>
  </w:num>
  <w:num w:numId="9" w16cid:durableId="684096354">
    <w:abstractNumId w:val="11"/>
  </w:num>
  <w:num w:numId="10" w16cid:durableId="796528213">
    <w:abstractNumId w:val="4"/>
  </w:num>
  <w:num w:numId="11" w16cid:durableId="1101149568">
    <w:abstractNumId w:val="10"/>
  </w:num>
  <w:num w:numId="12" w16cid:durableId="1746995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145C84"/>
    <w:rsid w:val="001631F6"/>
    <w:rsid w:val="00164777"/>
    <w:rsid w:val="001676E1"/>
    <w:rsid w:val="001A71A3"/>
    <w:rsid w:val="001B674A"/>
    <w:rsid w:val="00207469"/>
    <w:rsid w:val="002B42BF"/>
    <w:rsid w:val="002D7C60"/>
    <w:rsid w:val="002E28BD"/>
    <w:rsid w:val="002E658D"/>
    <w:rsid w:val="00325FB3"/>
    <w:rsid w:val="00332505"/>
    <w:rsid w:val="003744E3"/>
    <w:rsid w:val="00396686"/>
    <w:rsid w:val="00445527"/>
    <w:rsid w:val="0045430C"/>
    <w:rsid w:val="004602F3"/>
    <w:rsid w:val="00513AA9"/>
    <w:rsid w:val="005140C1"/>
    <w:rsid w:val="00593971"/>
    <w:rsid w:val="005A1FEA"/>
    <w:rsid w:val="005E3259"/>
    <w:rsid w:val="00606527"/>
    <w:rsid w:val="00647F74"/>
    <w:rsid w:val="006807DD"/>
    <w:rsid w:val="00707115"/>
    <w:rsid w:val="007346AC"/>
    <w:rsid w:val="00736000"/>
    <w:rsid w:val="00754C0F"/>
    <w:rsid w:val="0078125F"/>
    <w:rsid w:val="00793369"/>
    <w:rsid w:val="008007F9"/>
    <w:rsid w:val="0087317F"/>
    <w:rsid w:val="008757BE"/>
    <w:rsid w:val="00883369"/>
    <w:rsid w:val="008C12BC"/>
    <w:rsid w:val="008E7859"/>
    <w:rsid w:val="009508A5"/>
    <w:rsid w:val="00987533"/>
    <w:rsid w:val="009C746B"/>
    <w:rsid w:val="009F4EC1"/>
    <w:rsid w:val="00A5673E"/>
    <w:rsid w:val="00A65B02"/>
    <w:rsid w:val="00B434E3"/>
    <w:rsid w:val="00B66571"/>
    <w:rsid w:val="00BF10BB"/>
    <w:rsid w:val="00C107AA"/>
    <w:rsid w:val="00C17FAB"/>
    <w:rsid w:val="00CA66D2"/>
    <w:rsid w:val="00CC6B9F"/>
    <w:rsid w:val="00CD4E87"/>
    <w:rsid w:val="00CE599C"/>
    <w:rsid w:val="00D0062C"/>
    <w:rsid w:val="00D34070"/>
    <w:rsid w:val="00D766F9"/>
    <w:rsid w:val="00DA3B00"/>
    <w:rsid w:val="00DC635B"/>
    <w:rsid w:val="00E21ED1"/>
    <w:rsid w:val="00E277C2"/>
    <w:rsid w:val="00E3464F"/>
    <w:rsid w:val="00E624DC"/>
    <w:rsid w:val="00E97CD9"/>
    <w:rsid w:val="00EC7C8A"/>
    <w:rsid w:val="00F2167E"/>
    <w:rsid w:val="00FC75C8"/>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CC8D3"/>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uiPriority w:val="99"/>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rmalWeb">
    <w:name w:val="Normal (Web)"/>
    <w:basedOn w:val="Normal"/>
    <w:uiPriority w:val="99"/>
    <w:unhideWhenUsed/>
    <w:rsid w:val="00E21ED1"/>
    <w:pPr>
      <w:spacing w:before="100" w:beforeAutospacing="1" w:after="100" w:afterAutospacing="1"/>
    </w:pPr>
    <w:rPr>
      <w:szCs w:val="24"/>
      <w:lang w:eastAsia="en-AU"/>
    </w:rPr>
  </w:style>
  <w:style w:type="paragraph" w:customStyle="1" w:styleId="longtitle">
    <w:name w:val="longtitle"/>
    <w:basedOn w:val="Normal"/>
    <w:rsid w:val="00E21ED1"/>
    <w:pPr>
      <w:spacing w:before="100" w:beforeAutospacing="1" w:after="100" w:afterAutospacing="1"/>
    </w:pPr>
    <w:rPr>
      <w:szCs w:val="24"/>
      <w:lang w:eastAsia="en-AU"/>
    </w:rPr>
  </w:style>
  <w:style w:type="character" w:customStyle="1" w:styleId="Hyperlink1">
    <w:name w:val="Hyperlink1"/>
    <w:basedOn w:val="DefaultParagraphFont"/>
    <w:rsid w:val="00E21ED1"/>
  </w:style>
  <w:style w:type="paragraph" w:customStyle="1" w:styleId="Header1">
    <w:name w:val="Header1"/>
    <w:basedOn w:val="Normal"/>
    <w:rsid w:val="00E21ED1"/>
    <w:pPr>
      <w:spacing w:before="100" w:beforeAutospacing="1" w:after="100" w:afterAutospacing="1"/>
    </w:pPr>
    <w:rPr>
      <w:szCs w:val="24"/>
      <w:lang w:eastAsia="en-AU"/>
    </w:rPr>
  </w:style>
  <w:style w:type="paragraph" w:customStyle="1" w:styleId="normalweb0">
    <w:name w:val="normalweb"/>
    <w:basedOn w:val="Normal"/>
    <w:rsid w:val="00E21ED1"/>
    <w:pPr>
      <w:spacing w:before="100" w:beforeAutospacing="1" w:after="100" w:afterAutospacing="1"/>
    </w:pPr>
    <w:rPr>
      <w:szCs w:val="24"/>
      <w:lang w:eastAsia="en-AU"/>
    </w:rPr>
  </w:style>
  <w:style w:type="character" w:customStyle="1" w:styleId="hyperlink10">
    <w:name w:val="hyperlink1"/>
    <w:basedOn w:val="DefaultParagraphFont"/>
    <w:rsid w:val="00E21ED1"/>
  </w:style>
  <w:style w:type="paragraph" w:styleId="ListParagraph">
    <w:name w:val="List Paragraph"/>
    <w:aliases w:val="Heading 2.,List Paragraph1,Recommendation,List Paragraph11,List Paragraph111,L,F5 List Paragraph,Dot pt,CV text,Table text,Medium Grid 1 - Accent 21,Numbered Paragraph,List Paragraph2,NFP GP Bulleted List,FooterText,numbered,列出段,?,lp1"/>
    <w:basedOn w:val="Normal"/>
    <w:link w:val="ListParagraphChar"/>
    <w:uiPriority w:val="34"/>
    <w:qFormat/>
    <w:rsid w:val="00CD4E87"/>
    <w:pPr>
      <w:spacing w:before="200" w:after="200"/>
      <w:ind w:left="720"/>
      <w:contextualSpacing/>
    </w:pPr>
    <w:rPr>
      <w:rFonts w:ascii="Calibri" w:hAnsi="Calibri"/>
      <w:sz w:val="22"/>
    </w:rPr>
  </w:style>
  <w:style w:type="character" w:customStyle="1" w:styleId="ListParagraphChar">
    <w:name w:val="List Paragraph Char"/>
    <w:aliases w:val="Heading 2. Char,List Paragraph1 Char,Recommendation Char,List Paragraph11 Char,List Paragraph111 Char,L Char,F5 List Paragraph Char,Dot pt Char,CV text Char,Table text Char,Medium Grid 1 - Accent 21 Char,Numbered Paragraph Char"/>
    <w:basedOn w:val="DefaultParagraphFont"/>
    <w:link w:val="ListParagraph"/>
    <w:uiPriority w:val="34"/>
    <w:locked/>
    <w:rsid w:val="00CD4E87"/>
    <w:rPr>
      <w:rFonts w:ascii="Calibri" w:hAnsi="Calibri"/>
      <w:sz w:val="22"/>
      <w:lang w:eastAsia="en-US"/>
    </w:rPr>
  </w:style>
  <w:style w:type="paragraph" w:customStyle="1" w:styleId="dot">
    <w:name w:val="dot"/>
    <w:basedOn w:val="Normal"/>
    <w:rsid w:val="00CD4E87"/>
    <w:pPr>
      <w:numPr>
        <w:numId w:val="11"/>
      </w:numPr>
    </w:pPr>
    <w:rPr>
      <w:rFonts w:ascii="Arial" w:hAnsi="Arial" w:cs="Arial"/>
      <w:szCs w:val="24"/>
    </w:rPr>
  </w:style>
  <w:style w:type="paragraph" w:customStyle="1" w:styleId="Default">
    <w:name w:val="Default"/>
    <w:rsid w:val="00CD4E87"/>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B42BF"/>
    <w:rPr>
      <w:sz w:val="16"/>
      <w:szCs w:val="16"/>
    </w:rPr>
  </w:style>
  <w:style w:type="paragraph" w:styleId="CommentText">
    <w:name w:val="annotation text"/>
    <w:basedOn w:val="Normal"/>
    <w:link w:val="CommentTextChar"/>
    <w:uiPriority w:val="99"/>
    <w:unhideWhenUsed/>
    <w:rsid w:val="002B42BF"/>
    <w:rPr>
      <w:sz w:val="20"/>
    </w:rPr>
  </w:style>
  <w:style w:type="character" w:customStyle="1" w:styleId="CommentTextChar">
    <w:name w:val="Comment Text Char"/>
    <w:basedOn w:val="DefaultParagraphFont"/>
    <w:link w:val="CommentText"/>
    <w:uiPriority w:val="99"/>
    <w:rsid w:val="002B42BF"/>
    <w:rPr>
      <w:lang w:eastAsia="en-US"/>
    </w:rPr>
  </w:style>
  <w:style w:type="paragraph" w:styleId="CommentSubject">
    <w:name w:val="annotation subject"/>
    <w:basedOn w:val="CommentText"/>
    <w:next w:val="CommentText"/>
    <w:link w:val="CommentSubjectChar"/>
    <w:uiPriority w:val="99"/>
    <w:semiHidden/>
    <w:unhideWhenUsed/>
    <w:rsid w:val="002B42BF"/>
    <w:rPr>
      <w:b/>
      <w:bCs/>
    </w:rPr>
  </w:style>
  <w:style w:type="character" w:customStyle="1" w:styleId="CommentSubjectChar">
    <w:name w:val="Comment Subject Char"/>
    <w:basedOn w:val="CommentTextChar"/>
    <w:link w:val="CommentSubject"/>
    <w:uiPriority w:val="99"/>
    <w:semiHidden/>
    <w:rsid w:val="002B42BF"/>
    <w:rPr>
      <w:b/>
      <w:bCs/>
      <w:lang w:eastAsia="en-US"/>
    </w:rPr>
  </w:style>
  <w:style w:type="character" w:styleId="UnresolvedMention">
    <w:name w:val="Unresolved Mention"/>
    <w:basedOn w:val="DefaultParagraphFont"/>
    <w:uiPriority w:val="99"/>
    <w:semiHidden/>
    <w:unhideWhenUsed/>
    <w:rsid w:val="002B42BF"/>
    <w:rPr>
      <w:color w:val="605E5C"/>
      <w:shd w:val="clear" w:color="auto" w:fill="E1DFDD"/>
    </w:rPr>
  </w:style>
  <w:style w:type="paragraph" w:styleId="Revision">
    <w:name w:val="Revision"/>
    <w:hidden/>
    <w:uiPriority w:val="99"/>
    <w:semiHidden/>
    <w:rsid w:val="00E624DC"/>
    <w:rPr>
      <w:sz w:val="24"/>
      <w:lang w:eastAsia="en-US"/>
    </w:rPr>
  </w:style>
  <w:style w:type="character" w:customStyle="1" w:styleId="cf01">
    <w:name w:val="cf01"/>
    <w:basedOn w:val="DefaultParagraphFont"/>
    <w:rsid w:val="006807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aderroom.standards.org.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tandards.org.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passivhausassociation.com.au/certific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A60514354</value>
    </field>
    <field name="Objective-Title">
      <value order="0">Building (General) (Alternative requirements for unaltered parts) Determination 2026 - Explanatory Statement (Proposed Final) - 18/03/26</value>
    </field>
    <field name="Objective-Description">
      <value order="0"/>
    </field>
    <field name="Objective-CreationStamp">
      <value order="0">2026-03-03T22:56:01Z</value>
    </field>
    <field name="Objective-IsApproved">
      <value order="0">false</value>
    </field>
    <field name="Objective-IsPublished">
      <value order="0">false</value>
    </field>
    <field name="Objective-DatePublished">
      <value order="0"/>
    </field>
    <field name="Objective-ModificationStamp">
      <value order="0">2026-04-22T01:56:30Z</value>
    </field>
    <field name="Objective-Owner">
      <value order="0">Elizabeth Bond</value>
    </field>
    <field name="Objective-Path">
      <value order="0">Whole of ACT Government:EPSDD - Environment Planning and Sustainable Development Directorate:07. Ministerial, Cabinet and Government Relations:06. Ministerials:2026 - Ministerial Briefs and Correspondence:Policy, Planning and Built Environment:26/0027398 Ministerial-Information Brief - Steel - Building Productivity Reforms - Tranche 1 - Implementation Regulation and Instruments:X. DO NOT USE - Originals to be moved back to BPR team folder (request sent to CED obj team - 26/03/26)</value>
    </field>
    <field name="Objective-Parent">
      <value order="0">X. DO NOT USE - Originals to be moved back to BPR team folder (request sent to CED obj team - 26/03/26)</value>
    </field>
    <field name="Objective-State">
      <value order="0">Being Edited</value>
    </field>
    <field name="Objective-VersionId">
      <value order="0">vA77979013</value>
    </field>
    <field name="Objective-Version">
      <value order="0">7.1</value>
    </field>
    <field name="Objective-VersionNumber">
      <value order="0">13</value>
    </field>
    <field name="Objective-VersionComment">
      <value order="0"/>
    </field>
    <field name="Objective-FileNumber">
      <value order="0">1-2026/0027398</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2FEAF4C1-5CDA-4679-959D-774FF354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1171</Words>
  <Characters>6536</Characters>
  <Application>Microsoft Office Word</Application>
  <DocSecurity>0</DocSecurity>
  <Lines>142</Lines>
  <Paragraphs>41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2026-04-22T02:03:00Z</dcterms:created>
  <dcterms:modified xsi:type="dcterms:W3CDTF">2026-04-22T02:03:00Z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2026-03-13T01:51:50Z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d5f40cf4-1daa-407e-aea6-24fe9534fa2c</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Comment">
    <vt:lpwstr/>
  </property>
  <property fmtid="{D5CDD505-2E9C-101B-9397-08002B2CF9AE}" pid="11" name="Customer-Id">
    <vt:lpwstr>4FEB93B0D38B3BDFE05400144FFB2061</vt:lpwstr>
  </property>
  <property fmtid="{D5CDD505-2E9C-101B-9397-08002B2CF9AE}" pid="12" name="Objective-Id">
    <vt:lpwstr>A60514354</vt:lpwstr>
  </property>
  <property fmtid="{D5CDD505-2E9C-101B-9397-08002B2CF9AE}" pid="13" name="Objective-Title">
    <vt:lpwstr>Building (General) (Alternative requirements for unaltered parts) Determination 2026 - Explanatory Statement (Proposed Final) - 18/03/26</vt:lpwstr>
  </property>
  <property fmtid="{D5CDD505-2E9C-101B-9397-08002B2CF9AE}" pid="14" name="Objective-Description">
    <vt:lpwstr/>
  </property>
  <property fmtid="{D5CDD505-2E9C-101B-9397-08002B2CF9AE}" pid="15" name="Objective-CreationStamp">
    <vt:filetime>2026-03-03T23:56:01Z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2026-04-22T01:57:09Z</vt:filetime>
  </property>
  <property fmtid="{D5CDD505-2E9C-101B-9397-08002B2CF9AE}" pid="19" name="Objective-ModificationStamp">
    <vt:filetime>2026-04-22T01:57:09Z</vt:filetime>
  </property>
  <property fmtid="{D5CDD505-2E9C-101B-9397-08002B2CF9AE}" pid="20" name="Objective-Owner">
    <vt:lpwstr>Elizabeth Bond</vt:lpwstr>
  </property>
  <property fmtid="{D5CDD505-2E9C-101B-9397-08002B2CF9AE}" pid="21" name="Objective-Path">
    <vt:lpwstr>Whole of ACT Government:EPSDD - Environment Planning and Sustainable Development Directorate:07. Ministerial, Cabinet and Government Relations:06. Ministerials:2026 - Ministerial Briefs and Correspondence:Policy, Planning and Built Environment:26/0027398 Ministerial-Information Brief - Steel - Building Productivity Reforms - Tranche 1 - Implementation Regulation and Instruments:X. DO NOT USE - Originals to be moved back to BPR team folder (request sent to CED obj team - 26/03/26):</vt:lpwstr>
  </property>
  <property fmtid="{D5CDD505-2E9C-101B-9397-08002B2CF9AE}" pid="22" name="Objective-Parent">
    <vt:lpwstr>X. DO NOT USE - Originals to be moved back to BPR team folder (request sent to CED obj team - 26/03/26)</vt:lpwstr>
  </property>
  <property fmtid="{D5CDD505-2E9C-101B-9397-08002B2CF9AE}" pid="23" name="Objective-State">
    <vt:lpwstr>Published</vt:lpwstr>
  </property>
  <property fmtid="{D5CDD505-2E9C-101B-9397-08002B2CF9AE}" pid="24" name="Objective-VersionId">
    <vt:lpwstr>vA77979013</vt:lpwstr>
  </property>
  <property fmtid="{D5CDD505-2E9C-101B-9397-08002B2CF9AE}" pid="25" name="Objective-Version">
    <vt:lpwstr>8.0</vt:lpwstr>
  </property>
  <property fmtid="{D5CDD505-2E9C-101B-9397-08002B2CF9AE}" pid="26" name="Objective-VersionNumber">
    <vt:r8>13</vt:r8>
  </property>
  <property fmtid="{D5CDD505-2E9C-101B-9397-08002B2CF9AE}" pid="27" name="Objective-VersionComment">
    <vt:lpwstr/>
  </property>
  <property fmtid="{D5CDD505-2E9C-101B-9397-08002B2CF9AE}" pid="28" name="Objective-FileNumber">
    <vt:lpwstr>1-2026/0027398</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CED - City and Environment Directorate</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ies>
</file>