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C9ECA" w14:textId="5B9A9D65"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0862E3">
        <w:rPr>
          <w:rFonts w:ascii="Arial" w:hAnsi="Arial" w:cs="Arial"/>
          <w:b/>
          <w:bCs/>
          <w:sz w:val="24"/>
          <w:szCs w:val="24"/>
        </w:rPr>
        <w:t>6</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0E591265" w14:textId="4FBBFD39" w:rsidR="000862E3" w:rsidRDefault="000862E3" w:rsidP="000862E3">
      <w:pPr>
        <w:pStyle w:val="Heading1"/>
        <w:spacing w:line="276" w:lineRule="auto"/>
        <w:jc w:val="center"/>
      </w:pPr>
      <w:r>
        <w:t xml:space="preserve">JUSTICE AND COMMUNITY SAFETY LEGISLATION AMENDMENT BILL 2026 </w:t>
      </w:r>
    </w:p>
    <w:p w14:paraId="00E0BEEB" w14:textId="77777777" w:rsidR="000862E3" w:rsidRDefault="000862E3" w:rsidP="002D028C">
      <w:pPr>
        <w:jc w:val="center"/>
      </w:pPr>
    </w:p>
    <w:p w14:paraId="782639D4" w14:textId="77777777" w:rsidR="000862E3" w:rsidRPr="000862E3" w:rsidRDefault="000862E3" w:rsidP="002D028C">
      <w:pPr>
        <w:jc w:val="center"/>
      </w:pPr>
    </w:p>
    <w:p w14:paraId="23C1CDE7" w14:textId="77777777" w:rsidR="00E90DF9" w:rsidRPr="00BB387E" w:rsidRDefault="00E90DF9" w:rsidP="00E90DF9">
      <w:pPr>
        <w:spacing w:after="0"/>
        <w:jc w:val="center"/>
        <w:rPr>
          <w:rFonts w:ascii="Arial" w:hAnsi="Arial" w:cs="Arial"/>
          <w:b/>
          <w:bCs/>
          <w:sz w:val="24"/>
          <w:szCs w:val="24"/>
        </w:rPr>
      </w:pPr>
    </w:p>
    <w:p w14:paraId="2FDF54DB" w14:textId="2B466D86" w:rsidR="00E90DF9" w:rsidRDefault="00E90DF9" w:rsidP="00A559F1">
      <w:pPr>
        <w:spacing w:after="0"/>
        <w:jc w:val="center"/>
        <w:rPr>
          <w:rFonts w:ascii="Arial" w:hAnsi="Arial" w:cs="Arial"/>
          <w:b/>
          <w:bCs/>
          <w:sz w:val="24"/>
          <w:szCs w:val="24"/>
        </w:rPr>
      </w:pPr>
      <w:r w:rsidRPr="00BB387E">
        <w:rPr>
          <w:rFonts w:ascii="Arial" w:hAnsi="Arial" w:cs="Arial"/>
          <w:b/>
          <w:bCs/>
          <w:sz w:val="24"/>
          <w:szCs w:val="24"/>
        </w:rPr>
        <w:t>EXPLANATORY STATEMENT</w:t>
      </w:r>
    </w:p>
    <w:p w14:paraId="27DDC3D7" w14:textId="77777777" w:rsidR="000862E3" w:rsidRDefault="000862E3" w:rsidP="000862E3">
      <w:pPr>
        <w:spacing w:after="0"/>
        <w:jc w:val="center"/>
        <w:rPr>
          <w:rFonts w:ascii="Arial" w:hAnsi="Arial" w:cs="Arial"/>
          <w:b/>
          <w:bCs/>
          <w:sz w:val="24"/>
          <w:szCs w:val="24"/>
        </w:rPr>
      </w:pPr>
      <w:r>
        <w:rPr>
          <w:rFonts w:ascii="Arial" w:hAnsi="Arial" w:cs="Arial"/>
          <w:b/>
          <w:bCs/>
          <w:sz w:val="24"/>
          <w:szCs w:val="24"/>
        </w:rPr>
        <w:t>and</w:t>
      </w:r>
    </w:p>
    <w:p w14:paraId="01AED5FE" w14:textId="77777777" w:rsidR="000862E3" w:rsidRDefault="000862E3" w:rsidP="000862E3">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4CDC9EA3" w14:textId="6D857100" w:rsidR="00E90DF9" w:rsidRPr="00BB387E" w:rsidRDefault="000862E3" w:rsidP="000862E3">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01179C4F" w14:textId="77777777" w:rsidR="00E90DF9" w:rsidRDefault="00E90DF9" w:rsidP="00E90DF9">
      <w:pPr>
        <w:keepNext/>
        <w:widowControl w:val="0"/>
        <w:spacing w:after="0"/>
        <w:jc w:val="center"/>
        <w:outlineLvl w:val="7"/>
        <w:rPr>
          <w:rFonts w:ascii="Arial" w:hAnsi="Arial" w:cs="Arial"/>
          <w:b/>
          <w:bCs/>
          <w:sz w:val="24"/>
          <w:szCs w:val="24"/>
        </w:rPr>
      </w:pPr>
    </w:p>
    <w:p w14:paraId="63FA2BF3" w14:textId="77777777" w:rsidR="00B9385E" w:rsidRDefault="00B9385E" w:rsidP="00E90DF9">
      <w:pPr>
        <w:keepNext/>
        <w:widowControl w:val="0"/>
        <w:spacing w:after="0"/>
        <w:jc w:val="center"/>
        <w:outlineLvl w:val="7"/>
        <w:rPr>
          <w:rFonts w:ascii="Arial" w:hAnsi="Arial" w:cs="Arial"/>
          <w:b/>
          <w:bCs/>
          <w:sz w:val="24"/>
          <w:szCs w:val="24"/>
        </w:rPr>
      </w:pPr>
    </w:p>
    <w:p w14:paraId="158291B5" w14:textId="77777777" w:rsidR="00B9385E" w:rsidRDefault="00B9385E" w:rsidP="00E90DF9">
      <w:pPr>
        <w:keepNext/>
        <w:widowControl w:val="0"/>
        <w:spacing w:after="0"/>
        <w:jc w:val="center"/>
        <w:outlineLvl w:val="7"/>
        <w:rPr>
          <w:rFonts w:ascii="Arial" w:hAnsi="Arial" w:cs="Arial"/>
          <w:b/>
          <w:bCs/>
          <w:sz w:val="24"/>
          <w:szCs w:val="24"/>
        </w:rPr>
      </w:pPr>
    </w:p>
    <w:p w14:paraId="2ACFFA5E" w14:textId="77777777" w:rsidR="000862E3" w:rsidRDefault="000862E3" w:rsidP="002D028C">
      <w:pPr>
        <w:keepNext/>
        <w:widowControl w:val="0"/>
        <w:spacing w:after="0"/>
        <w:jc w:val="center"/>
        <w:outlineLvl w:val="7"/>
        <w:rPr>
          <w:rFonts w:ascii="Arial" w:hAnsi="Arial" w:cs="Arial"/>
          <w:b/>
          <w:bCs/>
          <w:sz w:val="24"/>
          <w:szCs w:val="24"/>
        </w:rPr>
      </w:pPr>
    </w:p>
    <w:p w14:paraId="2A828B8E" w14:textId="77777777" w:rsidR="00A559F1" w:rsidRDefault="00A559F1" w:rsidP="00E90DF9">
      <w:pPr>
        <w:keepNext/>
        <w:widowControl w:val="0"/>
        <w:spacing w:after="0"/>
        <w:jc w:val="center"/>
        <w:outlineLvl w:val="7"/>
        <w:rPr>
          <w:rFonts w:ascii="Arial" w:hAnsi="Arial" w:cs="Arial"/>
          <w:b/>
          <w:bCs/>
          <w:sz w:val="24"/>
          <w:szCs w:val="24"/>
        </w:rPr>
      </w:pPr>
    </w:p>
    <w:p w14:paraId="7ABB8778" w14:textId="77777777" w:rsidR="00A559F1" w:rsidRDefault="00A559F1" w:rsidP="00E90DF9">
      <w:pPr>
        <w:keepNext/>
        <w:widowControl w:val="0"/>
        <w:spacing w:after="0"/>
        <w:jc w:val="center"/>
        <w:outlineLvl w:val="7"/>
        <w:rPr>
          <w:rFonts w:ascii="Arial" w:hAnsi="Arial" w:cs="Arial"/>
          <w:b/>
          <w:bCs/>
          <w:sz w:val="24"/>
          <w:szCs w:val="24"/>
        </w:rPr>
      </w:pPr>
    </w:p>
    <w:p w14:paraId="5C2D898C" w14:textId="77777777" w:rsidR="00B9385E" w:rsidRDefault="00B9385E" w:rsidP="00E90DF9">
      <w:pPr>
        <w:keepNext/>
        <w:widowControl w:val="0"/>
        <w:spacing w:after="0"/>
        <w:jc w:val="center"/>
        <w:outlineLvl w:val="7"/>
        <w:rPr>
          <w:rFonts w:ascii="Arial" w:hAnsi="Arial" w:cs="Arial"/>
          <w:b/>
          <w:bCs/>
          <w:sz w:val="24"/>
          <w:szCs w:val="24"/>
        </w:rPr>
      </w:pPr>
    </w:p>
    <w:p w14:paraId="3547463A" w14:textId="77777777" w:rsidR="00B9385E" w:rsidRDefault="00B9385E" w:rsidP="00E90DF9">
      <w:pPr>
        <w:keepNext/>
        <w:widowControl w:val="0"/>
        <w:spacing w:after="0"/>
        <w:jc w:val="center"/>
        <w:outlineLvl w:val="7"/>
        <w:rPr>
          <w:rFonts w:ascii="Arial" w:hAnsi="Arial" w:cs="Arial"/>
          <w:b/>
          <w:bCs/>
          <w:sz w:val="24"/>
          <w:szCs w:val="24"/>
        </w:rPr>
      </w:pPr>
    </w:p>
    <w:p w14:paraId="461523AD" w14:textId="77777777" w:rsidR="00E90DF9" w:rsidRPr="00BB387E" w:rsidRDefault="00E90DF9" w:rsidP="00E90DF9">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340671F6" w14:textId="6211CF50" w:rsidR="00E90DF9" w:rsidRDefault="000862E3" w:rsidP="00E90DF9">
      <w:pPr>
        <w:spacing w:after="0"/>
        <w:ind w:right="686"/>
        <w:jc w:val="right"/>
        <w:rPr>
          <w:rFonts w:ascii="Arial" w:hAnsi="Arial" w:cs="Arial"/>
          <w:b/>
          <w:bCs/>
          <w:sz w:val="24"/>
          <w:szCs w:val="24"/>
        </w:rPr>
      </w:pPr>
      <w:r>
        <w:rPr>
          <w:rFonts w:ascii="Arial" w:hAnsi="Arial" w:cs="Arial"/>
          <w:b/>
          <w:bCs/>
          <w:sz w:val="24"/>
          <w:szCs w:val="24"/>
        </w:rPr>
        <w:t xml:space="preserve">Tara Cheyne </w:t>
      </w:r>
      <w:r w:rsidR="00E90DF9">
        <w:rPr>
          <w:rFonts w:ascii="Arial" w:hAnsi="Arial" w:cs="Arial"/>
          <w:b/>
          <w:bCs/>
          <w:sz w:val="24"/>
          <w:szCs w:val="24"/>
        </w:rPr>
        <w:t>MLA</w:t>
      </w:r>
    </w:p>
    <w:p w14:paraId="2B65FA14" w14:textId="5D300C1C" w:rsidR="00E90DF9" w:rsidRPr="000862E3" w:rsidRDefault="000862E3" w:rsidP="00E90DF9">
      <w:pPr>
        <w:spacing w:after="0"/>
        <w:ind w:right="686"/>
        <w:jc w:val="right"/>
        <w:rPr>
          <w:rFonts w:ascii="Arial" w:hAnsi="Arial" w:cs="Arial"/>
          <w:b/>
          <w:bCs/>
          <w:sz w:val="24"/>
          <w:szCs w:val="24"/>
        </w:rPr>
      </w:pPr>
      <w:r w:rsidRPr="000862E3">
        <w:rPr>
          <w:rFonts w:ascii="Arial" w:hAnsi="Arial" w:cs="Arial"/>
          <w:b/>
          <w:bCs/>
          <w:sz w:val="24"/>
          <w:szCs w:val="24"/>
        </w:rPr>
        <w:t>Attorney-General</w:t>
      </w:r>
    </w:p>
    <w:p w14:paraId="722CCE31" w14:textId="16F7836B" w:rsidR="00E90DF9" w:rsidRPr="000862E3" w:rsidRDefault="000862E3" w:rsidP="00E90DF9">
      <w:pPr>
        <w:spacing w:after="0"/>
        <w:ind w:right="686"/>
        <w:jc w:val="right"/>
        <w:rPr>
          <w:rFonts w:ascii="Arial" w:hAnsi="Arial" w:cs="Arial"/>
          <w:b/>
          <w:bCs/>
          <w:sz w:val="24"/>
          <w:szCs w:val="24"/>
        </w:rPr>
      </w:pPr>
      <w:r w:rsidRPr="000862E3">
        <w:rPr>
          <w:rFonts w:ascii="Arial" w:hAnsi="Arial" w:cs="Arial"/>
          <w:b/>
          <w:bCs/>
          <w:sz w:val="24"/>
          <w:szCs w:val="24"/>
        </w:rPr>
        <w:t>May 2026</w:t>
      </w:r>
    </w:p>
    <w:p w14:paraId="764EA7E1" w14:textId="789E88E8" w:rsidR="00E90DF9" w:rsidRPr="008C3B92" w:rsidRDefault="00E90DF9" w:rsidP="00E90DF9">
      <w:pPr>
        <w:spacing w:after="0" w:line="240" w:lineRule="auto"/>
        <w:rPr>
          <w:rFonts w:ascii="Arial" w:hAnsi="Arial" w:cs="Arial"/>
          <w:b/>
          <w:bCs/>
          <w:sz w:val="24"/>
          <w:szCs w:val="24"/>
          <w:u w:val="single"/>
        </w:rPr>
        <w:sectPr w:rsidR="00E90DF9" w:rsidRPr="008C3B92" w:rsidSect="00DC591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5E14E0E5" w:rsidR="00E90DF9" w:rsidRPr="00BB387E" w:rsidRDefault="000862E3" w:rsidP="00E90DF9">
      <w:pPr>
        <w:pStyle w:val="Heading1"/>
        <w:jc w:val="center"/>
      </w:pPr>
      <w:r>
        <w:lastRenderedPageBreak/>
        <w:t>JUSTICE AND COMMUNITY SAFETY LEGISLATION AMENDMENT BILL 2026</w:t>
      </w:r>
    </w:p>
    <w:p w14:paraId="791A60D0" w14:textId="77777777" w:rsidR="00E90DF9" w:rsidRDefault="00E90DF9" w:rsidP="00E90DF9">
      <w:pPr>
        <w:spacing w:after="0"/>
        <w:contextualSpacing/>
        <w:rPr>
          <w:rFonts w:ascii="Arial" w:hAnsi="Arial" w:cs="Arial"/>
          <w:bCs/>
          <w:sz w:val="24"/>
          <w:szCs w:val="24"/>
        </w:rPr>
      </w:pPr>
    </w:p>
    <w:p w14:paraId="02382D0D" w14:textId="77777777" w:rsidR="00A559F1" w:rsidRDefault="00A559F1" w:rsidP="00E90DF9">
      <w:pPr>
        <w:pStyle w:val="Heading2"/>
      </w:pPr>
      <w:r>
        <w:t>INTRODUCTION</w:t>
      </w:r>
    </w:p>
    <w:p w14:paraId="36E0F731" w14:textId="77777777" w:rsidR="000862E3" w:rsidRDefault="000862E3" w:rsidP="000862E3">
      <w:pPr>
        <w:spacing w:after="0"/>
        <w:contextualSpacing/>
        <w:rPr>
          <w:rFonts w:ascii="Arial" w:hAnsi="Arial" w:cs="Arial"/>
          <w:bCs/>
          <w:sz w:val="24"/>
          <w:szCs w:val="24"/>
        </w:rPr>
      </w:pPr>
      <w:r w:rsidRPr="006726A1">
        <w:rPr>
          <w:rFonts w:ascii="Arial" w:hAnsi="Arial" w:cs="Arial"/>
          <w:bCs/>
          <w:sz w:val="24"/>
          <w:szCs w:val="24"/>
        </w:rPr>
        <w:t xml:space="preserve">The Bill </w:t>
      </w:r>
      <w:r w:rsidRPr="006726A1">
        <w:rPr>
          <w:rFonts w:ascii="Arial" w:hAnsi="Arial" w:cs="Arial"/>
          <w:b/>
          <w:sz w:val="24"/>
          <w:szCs w:val="24"/>
        </w:rPr>
        <w:t>is not</w:t>
      </w:r>
      <w:r w:rsidRPr="006726A1">
        <w:rPr>
          <w:rFonts w:ascii="Arial" w:hAnsi="Arial" w:cs="Arial"/>
          <w:bCs/>
          <w:sz w:val="24"/>
          <w:szCs w:val="24"/>
        </w:rPr>
        <w:t xml:space="preserve"> a Significant Bill. Significant Bills are bills that have been assessed as likely to have significant engagement</w:t>
      </w:r>
      <w:r>
        <w:rPr>
          <w:rFonts w:ascii="Arial" w:hAnsi="Arial" w:cs="Arial"/>
          <w:bCs/>
          <w:sz w:val="24"/>
          <w:szCs w:val="24"/>
        </w:rPr>
        <w:t xml:space="preserve">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5E28A851" w14:textId="77777777" w:rsidR="000862E3" w:rsidRDefault="000862E3" w:rsidP="000862E3">
      <w:pPr>
        <w:spacing w:after="0"/>
        <w:contextualSpacing/>
        <w:rPr>
          <w:rFonts w:ascii="Arial" w:hAnsi="Arial" w:cs="Arial"/>
          <w:bCs/>
          <w:sz w:val="24"/>
          <w:szCs w:val="24"/>
        </w:rPr>
      </w:pPr>
    </w:p>
    <w:p w14:paraId="3887DAC8" w14:textId="3B11EF2E" w:rsidR="000862E3" w:rsidRPr="00834FC9" w:rsidRDefault="000862E3" w:rsidP="000862E3">
      <w:pPr>
        <w:spacing w:after="0"/>
        <w:contextualSpacing/>
        <w:rPr>
          <w:rFonts w:ascii="Arial" w:hAnsi="Arial" w:cs="Arial"/>
          <w:bCs/>
          <w:sz w:val="24"/>
          <w:szCs w:val="24"/>
        </w:rPr>
      </w:pPr>
      <w:r>
        <w:rPr>
          <w:rFonts w:ascii="Arial" w:hAnsi="Arial" w:cs="Arial"/>
          <w:bCs/>
          <w:sz w:val="24"/>
          <w:szCs w:val="24"/>
        </w:rPr>
        <w:t>This explanatory statement relates to the Justice and Community Safety Legislation Amendment Bill 2026</w:t>
      </w:r>
      <w:r w:rsidR="000F13FE">
        <w:rPr>
          <w:rFonts w:ascii="Arial" w:hAnsi="Arial" w:cs="Arial"/>
          <w:bCs/>
          <w:sz w:val="24"/>
          <w:szCs w:val="24"/>
        </w:rPr>
        <w:t xml:space="preserve"> </w:t>
      </w:r>
      <w:r>
        <w:rPr>
          <w:rFonts w:ascii="Arial" w:hAnsi="Arial" w:cs="Arial"/>
          <w:bCs/>
          <w:sz w:val="24"/>
          <w:szCs w:val="24"/>
        </w:rPr>
        <w:t>as presented to the Legislative Assembly.</w:t>
      </w:r>
      <w:r w:rsidRPr="001035FC">
        <w:t xml:space="preserve"> </w:t>
      </w:r>
      <w:r w:rsidRPr="001035FC">
        <w:rPr>
          <w:rFonts w:ascii="Arial" w:hAnsi="Arial" w:cs="Arial"/>
          <w:bCs/>
          <w:sz w:val="24"/>
          <w:szCs w:val="24"/>
        </w:rPr>
        <w:t>It has been prepared to assist the reader of the Bill and to help inform debate on it. It does not form part of the Bill and has not been endorsed by the Assembly. The statement is to be read in conjunction with the Bill. It is not, and is not meant to be, a comprehensive description of the Bill.</w:t>
      </w:r>
    </w:p>
    <w:p w14:paraId="3CE501EE" w14:textId="77777777" w:rsidR="000862E3" w:rsidRDefault="000862E3" w:rsidP="000862E3">
      <w:pPr>
        <w:spacing w:after="0"/>
        <w:contextualSpacing/>
        <w:rPr>
          <w:rFonts w:ascii="Arial" w:hAnsi="Arial" w:cs="Arial"/>
          <w:bCs/>
          <w:sz w:val="24"/>
          <w:szCs w:val="24"/>
        </w:rPr>
      </w:pPr>
    </w:p>
    <w:p w14:paraId="266B7B2E" w14:textId="47CA61C4" w:rsidR="00E90DF9" w:rsidRDefault="00E90DF9" w:rsidP="00E90DF9">
      <w:pPr>
        <w:pStyle w:val="Heading2"/>
      </w:pPr>
      <w:r>
        <w:t>OVERVIEW OF THE BILL</w:t>
      </w:r>
    </w:p>
    <w:p w14:paraId="64C3D74E" w14:textId="77777777" w:rsidR="000862E3" w:rsidRPr="00770F50" w:rsidRDefault="000862E3" w:rsidP="000862E3">
      <w:pPr>
        <w:rPr>
          <w:rFonts w:ascii="Arial" w:hAnsi="Arial" w:cs="Arial"/>
          <w:sz w:val="24"/>
          <w:szCs w:val="24"/>
        </w:rPr>
      </w:pPr>
      <w:r w:rsidRPr="000D192F">
        <w:rPr>
          <w:rFonts w:ascii="Arial" w:hAnsi="Arial" w:cs="Arial"/>
          <w:sz w:val="24"/>
          <w:szCs w:val="24"/>
        </w:rPr>
        <w:t>The Bill is an omnibus bill which amends of the following legislation:</w:t>
      </w:r>
    </w:p>
    <w:p w14:paraId="74F7243D" w14:textId="77777777" w:rsidR="00B539FF" w:rsidRPr="007E6611" w:rsidRDefault="00B539FF" w:rsidP="002007AA">
      <w:pPr>
        <w:pStyle w:val="RecommendationList"/>
        <w:numPr>
          <w:ilvl w:val="0"/>
          <w:numId w:val="3"/>
        </w:numPr>
        <w:spacing w:line="276" w:lineRule="auto"/>
        <w:rPr>
          <w:rFonts w:ascii="Arial" w:hAnsi="Arial" w:cs="Arial"/>
          <w:i/>
          <w:iCs w:val="0"/>
        </w:rPr>
      </w:pPr>
      <w:r w:rsidRPr="007E6611">
        <w:rPr>
          <w:rFonts w:ascii="Arial" w:hAnsi="Arial" w:cs="Arial"/>
          <w:i/>
          <w:iCs w:val="0"/>
        </w:rPr>
        <w:t>Aboriginal and Torres Strait Islander and Children and Young People Commissioner Act 2022</w:t>
      </w:r>
    </w:p>
    <w:p w14:paraId="62036634" w14:textId="77777777" w:rsidR="00B539FF" w:rsidRPr="007E6611" w:rsidRDefault="00B539FF" w:rsidP="002007AA">
      <w:pPr>
        <w:pStyle w:val="RecommendationList"/>
        <w:numPr>
          <w:ilvl w:val="0"/>
          <w:numId w:val="3"/>
        </w:numPr>
        <w:spacing w:line="276" w:lineRule="auto"/>
        <w:rPr>
          <w:rFonts w:ascii="Arial" w:hAnsi="Arial" w:cs="Arial"/>
          <w:i/>
          <w:iCs w:val="0"/>
        </w:rPr>
      </w:pPr>
      <w:r w:rsidRPr="007E6611">
        <w:rPr>
          <w:rFonts w:ascii="Arial" w:hAnsi="Arial" w:cs="Arial"/>
          <w:i/>
          <w:iCs w:val="0"/>
        </w:rPr>
        <w:t>Custodial Inspector Act 2017</w:t>
      </w:r>
    </w:p>
    <w:p w14:paraId="3774CD7B" w14:textId="77777777" w:rsidR="00B539FF" w:rsidRPr="007E6611" w:rsidRDefault="00B539FF" w:rsidP="002007AA">
      <w:pPr>
        <w:pStyle w:val="RecommendationList"/>
        <w:numPr>
          <w:ilvl w:val="0"/>
          <w:numId w:val="3"/>
        </w:numPr>
        <w:spacing w:line="276" w:lineRule="auto"/>
        <w:rPr>
          <w:rFonts w:ascii="Arial" w:hAnsi="Arial" w:cs="Arial"/>
          <w:i/>
          <w:iCs w:val="0"/>
        </w:rPr>
      </w:pPr>
      <w:r w:rsidRPr="007E6611">
        <w:rPr>
          <w:rFonts w:ascii="Arial" w:hAnsi="Arial" w:cs="Arial"/>
          <w:i/>
          <w:iCs w:val="0"/>
        </w:rPr>
        <w:t>Electoral Act 1992</w:t>
      </w:r>
    </w:p>
    <w:p w14:paraId="511F9BAA" w14:textId="77777777" w:rsidR="00B539FF" w:rsidRPr="003A43B8" w:rsidRDefault="00B539FF" w:rsidP="002007AA">
      <w:pPr>
        <w:pStyle w:val="RecommendationList"/>
        <w:numPr>
          <w:ilvl w:val="0"/>
          <w:numId w:val="3"/>
        </w:numPr>
        <w:spacing w:line="276" w:lineRule="auto"/>
        <w:rPr>
          <w:rFonts w:ascii="Arial" w:hAnsi="Arial" w:cs="Arial"/>
          <w:i/>
          <w:iCs w:val="0"/>
        </w:rPr>
      </w:pPr>
      <w:r w:rsidRPr="003A43B8">
        <w:rPr>
          <w:rFonts w:ascii="Arial" w:hAnsi="Arial" w:cs="Arial"/>
          <w:i/>
          <w:iCs w:val="0"/>
        </w:rPr>
        <w:t>Human Rights Commission Act 2005</w:t>
      </w:r>
    </w:p>
    <w:p w14:paraId="4519C269" w14:textId="284E63D1" w:rsidR="00E97C79" w:rsidRPr="003A43B8" w:rsidRDefault="00E97C79" w:rsidP="002007AA">
      <w:pPr>
        <w:pStyle w:val="RecommendationList"/>
        <w:numPr>
          <w:ilvl w:val="0"/>
          <w:numId w:val="3"/>
        </w:numPr>
        <w:spacing w:line="276" w:lineRule="auto"/>
        <w:rPr>
          <w:rFonts w:ascii="Arial" w:hAnsi="Arial" w:cs="Arial"/>
          <w:i/>
          <w:iCs w:val="0"/>
        </w:rPr>
      </w:pPr>
      <w:r w:rsidRPr="003A43B8">
        <w:rPr>
          <w:rFonts w:ascii="Arial" w:hAnsi="Arial" w:cs="Arial"/>
          <w:i/>
          <w:iCs w:val="0"/>
        </w:rPr>
        <w:t>Inquiries Act 1991</w:t>
      </w:r>
    </w:p>
    <w:p w14:paraId="44A3A9A4" w14:textId="77777777" w:rsidR="00B539FF" w:rsidRPr="007E6611" w:rsidRDefault="00B539FF" w:rsidP="002007AA">
      <w:pPr>
        <w:pStyle w:val="RecommendationList"/>
        <w:numPr>
          <w:ilvl w:val="0"/>
          <w:numId w:val="3"/>
        </w:numPr>
        <w:spacing w:line="276" w:lineRule="auto"/>
        <w:rPr>
          <w:rFonts w:ascii="Arial" w:hAnsi="Arial" w:cs="Arial"/>
          <w:i/>
          <w:iCs w:val="0"/>
        </w:rPr>
      </w:pPr>
      <w:r w:rsidRPr="007E6611">
        <w:rPr>
          <w:rFonts w:ascii="Arial" w:hAnsi="Arial" w:cs="Arial"/>
          <w:i/>
          <w:iCs w:val="0"/>
        </w:rPr>
        <w:t>Oaths and Affirmations Act 1984</w:t>
      </w:r>
    </w:p>
    <w:p w14:paraId="545C0DB9" w14:textId="77777777" w:rsidR="00B539FF" w:rsidRPr="007E6611" w:rsidRDefault="00B539FF" w:rsidP="002007AA">
      <w:pPr>
        <w:pStyle w:val="RecommendationList"/>
        <w:numPr>
          <w:ilvl w:val="0"/>
          <w:numId w:val="3"/>
        </w:numPr>
        <w:spacing w:line="276" w:lineRule="auto"/>
        <w:rPr>
          <w:rFonts w:ascii="Arial" w:hAnsi="Arial" w:cs="Arial"/>
          <w:i/>
          <w:iCs w:val="0"/>
        </w:rPr>
      </w:pPr>
      <w:r w:rsidRPr="007E6611">
        <w:rPr>
          <w:rFonts w:ascii="Arial" w:hAnsi="Arial" w:cs="Arial"/>
          <w:i/>
          <w:iCs w:val="0"/>
        </w:rPr>
        <w:t>Supreme Court Act 1933</w:t>
      </w:r>
    </w:p>
    <w:p w14:paraId="6A8763A5" w14:textId="77777777" w:rsidR="00B539FF" w:rsidRPr="007E6611" w:rsidRDefault="00B539FF" w:rsidP="002007AA">
      <w:pPr>
        <w:pStyle w:val="RecommendationList"/>
        <w:numPr>
          <w:ilvl w:val="0"/>
          <w:numId w:val="3"/>
        </w:numPr>
        <w:spacing w:line="276" w:lineRule="auto"/>
        <w:rPr>
          <w:rFonts w:ascii="Arial" w:hAnsi="Arial" w:cs="Arial"/>
        </w:rPr>
      </w:pPr>
      <w:r w:rsidRPr="007E6611">
        <w:rPr>
          <w:rFonts w:ascii="Arial" w:hAnsi="Arial" w:cs="Arial"/>
          <w:i/>
          <w:iCs w:val="0"/>
        </w:rPr>
        <w:t>Unit Titles (Management) Act 2011</w:t>
      </w:r>
    </w:p>
    <w:p w14:paraId="3EE8E5D4" w14:textId="58B3CD28" w:rsidR="00B539FF" w:rsidRDefault="00B539FF" w:rsidP="00E90DF9">
      <w:pPr>
        <w:rPr>
          <w:rFonts w:ascii="Arial" w:hAnsi="Arial" w:cs="Arial"/>
          <w:b/>
          <w:sz w:val="24"/>
          <w:szCs w:val="24"/>
        </w:rPr>
      </w:pPr>
    </w:p>
    <w:p w14:paraId="3D5BF1EF" w14:textId="77777777" w:rsidR="000862E3" w:rsidRDefault="000862E3" w:rsidP="000862E3">
      <w:pPr>
        <w:rPr>
          <w:rFonts w:ascii="Arial" w:hAnsi="Arial" w:cs="Arial"/>
          <w:sz w:val="24"/>
          <w:szCs w:val="24"/>
        </w:rPr>
      </w:pPr>
      <w:r>
        <w:rPr>
          <w:rFonts w:ascii="Arial" w:hAnsi="Arial" w:cs="Arial"/>
          <w:sz w:val="24"/>
          <w:szCs w:val="24"/>
        </w:rPr>
        <w:t xml:space="preserve">The Bill will improve the ACT’s justice and community safety legislation, to ensure that it is of the highest standards, facilitates the practical operations of justice sector agencies and best supports and protects the ACT community. </w:t>
      </w:r>
    </w:p>
    <w:p w14:paraId="0D5B1B2F" w14:textId="77777777" w:rsidR="00C120F1" w:rsidRDefault="00C120F1" w:rsidP="00C120F1">
      <w:pPr>
        <w:pStyle w:val="Paragraphtext"/>
        <w:spacing w:line="276" w:lineRule="auto"/>
        <w:rPr>
          <w:rFonts w:ascii="Arial" w:hAnsi="Arial" w:cs="Arial"/>
          <w:i/>
          <w:iCs/>
          <w:u w:val="single"/>
        </w:rPr>
      </w:pPr>
      <w:r w:rsidRPr="001B31AB">
        <w:rPr>
          <w:rFonts w:ascii="Arial" w:hAnsi="Arial" w:cs="Arial"/>
          <w:i/>
          <w:iCs/>
          <w:u w:val="single"/>
        </w:rPr>
        <w:t>Aboriginal and Torres Strait Islander</w:t>
      </w:r>
      <w:r>
        <w:rPr>
          <w:rFonts w:ascii="Arial" w:hAnsi="Arial" w:cs="Arial"/>
          <w:i/>
          <w:iCs/>
          <w:u w:val="single"/>
        </w:rPr>
        <w:t>,</w:t>
      </w:r>
      <w:r w:rsidRPr="001B31AB">
        <w:rPr>
          <w:rFonts w:ascii="Arial" w:hAnsi="Arial" w:cs="Arial"/>
          <w:i/>
          <w:iCs/>
          <w:u w:val="single"/>
        </w:rPr>
        <w:t xml:space="preserve"> Children and Young People Commissioner Act 2022</w:t>
      </w:r>
      <w:r w:rsidRPr="001B31AB">
        <w:rPr>
          <w:rFonts w:ascii="Arial" w:hAnsi="Arial" w:cs="Arial"/>
          <w:u w:val="single"/>
        </w:rPr>
        <w:t xml:space="preserve"> and </w:t>
      </w:r>
      <w:r w:rsidRPr="001B31AB">
        <w:rPr>
          <w:rFonts w:ascii="Arial" w:hAnsi="Arial" w:cs="Arial"/>
          <w:i/>
          <w:iCs/>
          <w:u w:val="single"/>
        </w:rPr>
        <w:t>Custodial Inspector Act 2017</w:t>
      </w:r>
    </w:p>
    <w:p w14:paraId="799F3E1C" w14:textId="0038CF16" w:rsidR="00953EA3" w:rsidRPr="00C8665A" w:rsidRDefault="00953EA3" w:rsidP="00C120F1">
      <w:pPr>
        <w:pStyle w:val="Paragraphtext"/>
        <w:spacing w:line="276" w:lineRule="auto"/>
        <w:rPr>
          <w:rFonts w:ascii="Arial" w:hAnsi="Arial" w:cs="Arial"/>
        </w:rPr>
      </w:pPr>
      <w:r w:rsidRPr="008D338F">
        <w:rPr>
          <w:rFonts w:ascii="Arial" w:hAnsi="Arial" w:cs="Arial"/>
        </w:rPr>
        <w:t xml:space="preserve">The Aboriginal and Torres Strait Islander Children and Young People Commissioner advocates for the rights and interests of young Aboriginal and Torres Strait Islander </w:t>
      </w:r>
      <w:r w:rsidR="00C8665A">
        <w:rPr>
          <w:rFonts w:ascii="Arial" w:hAnsi="Arial" w:cs="Arial"/>
        </w:rPr>
        <w:t>p</w:t>
      </w:r>
      <w:r w:rsidRPr="008B0479">
        <w:rPr>
          <w:rFonts w:ascii="Arial" w:hAnsi="Arial" w:cs="Arial"/>
        </w:rPr>
        <w:t>eople</w:t>
      </w:r>
      <w:r w:rsidR="00C8665A">
        <w:rPr>
          <w:rFonts w:ascii="Arial" w:hAnsi="Arial" w:cs="Arial"/>
        </w:rPr>
        <w:t>.</w:t>
      </w:r>
      <w:r w:rsidR="008B0479">
        <w:rPr>
          <w:rFonts w:ascii="Arial" w:hAnsi="Arial" w:cs="Arial"/>
        </w:rPr>
        <w:t xml:space="preserve"> </w:t>
      </w:r>
      <w:r w:rsidR="00C8665A">
        <w:rPr>
          <w:rFonts w:ascii="Arial" w:hAnsi="Arial" w:cs="Arial"/>
        </w:rPr>
        <w:t>T</w:t>
      </w:r>
      <w:r w:rsidRPr="008B0479">
        <w:rPr>
          <w:rFonts w:ascii="Arial" w:hAnsi="Arial" w:cs="Arial"/>
        </w:rPr>
        <w:t xml:space="preserve">he Custodial Inspector independently </w:t>
      </w:r>
      <w:r w:rsidR="005A620D">
        <w:rPr>
          <w:rFonts w:ascii="Arial" w:hAnsi="Arial" w:cs="Arial"/>
        </w:rPr>
        <w:t>examines and reviews</w:t>
      </w:r>
      <w:r w:rsidR="005A620D" w:rsidRPr="008D338F">
        <w:rPr>
          <w:rFonts w:ascii="Arial" w:hAnsi="Arial" w:cs="Arial"/>
        </w:rPr>
        <w:t xml:space="preserve"> c</w:t>
      </w:r>
      <w:r w:rsidR="005A620D">
        <w:rPr>
          <w:rFonts w:ascii="Arial" w:hAnsi="Arial" w:cs="Arial"/>
        </w:rPr>
        <w:t xml:space="preserve">orrective </w:t>
      </w:r>
      <w:r w:rsidRPr="008D338F">
        <w:rPr>
          <w:rFonts w:ascii="Arial" w:hAnsi="Arial" w:cs="Arial"/>
        </w:rPr>
        <w:t xml:space="preserve">centres in the ACT, including the treatment and wellbeing of detainees. </w:t>
      </w:r>
      <w:r w:rsidR="00C8665A">
        <w:rPr>
          <w:rFonts w:ascii="Arial" w:hAnsi="Arial" w:cs="Arial"/>
        </w:rPr>
        <w:t>Both statutory officers have a role in relation to supporting young people in the Bimberi Youth Justice Centre and are members of the ACT National Preventive Mechanism</w:t>
      </w:r>
      <w:r w:rsidR="006F3C61">
        <w:rPr>
          <w:rFonts w:ascii="Arial" w:hAnsi="Arial" w:cs="Arial"/>
        </w:rPr>
        <w:t xml:space="preserve"> (NPM)</w:t>
      </w:r>
      <w:r w:rsidR="00C8665A">
        <w:rPr>
          <w:rFonts w:ascii="Arial" w:hAnsi="Arial" w:cs="Arial"/>
        </w:rPr>
        <w:t>.</w:t>
      </w:r>
    </w:p>
    <w:p w14:paraId="7B2E9916" w14:textId="38582B8C" w:rsidR="00C120F1" w:rsidRPr="001B31AB" w:rsidRDefault="00C120F1" w:rsidP="00C120F1">
      <w:pPr>
        <w:pStyle w:val="Paragraphtext"/>
        <w:spacing w:line="276" w:lineRule="auto"/>
        <w:rPr>
          <w:rFonts w:ascii="Arial" w:hAnsi="Arial" w:cs="Arial"/>
        </w:rPr>
      </w:pPr>
      <w:r w:rsidRPr="001B31AB">
        <w:rPr>
          <w:rFonts w:ascii="Arial" w:hAnsi="Arial" w:cs="Arial"/>
          <w:szCs w:val="24"/>
        </w:rPr>
        <w:lastRenderedPageBreak/>
        <w:t xml:space="preserve">The </w:t>
      </w:r>
      <w:r>
        <w:rPr>
          <w:rFonts w:ascii="Arial" w:hAnsi="Arial" w:cs="Arial"/>
          <w:szCs w:val="24"/>
        </w:rPr>
        <w:t>Bill</w:t>
      </w:r>
      <w:r w:rsidRPr="001B31AB">
        <w:rPr>
          <w:rFonts w:ascii="Arial" w:hAnsi="Arial" w:cs="Arial"/>
          <w:szCs w:val="24"/>
        </w:rPr>
        <w:t xml:space="preserve"> will introduce information sharing provisions to ensure that when matters of concern or overlapping jurisdiction occur (for example, in relation to Aboriginal and Torres Strait Islander young people at</w:t>
      </w:r>
      <w:r w:rsidRPr="001B31AB">
        <w:rPr>
          <w:rFonts w:ascii="Arial" w:hAnsi="Arial" w:cs="Arial"/>
          <w:i/>
          <w:iCs/>
          <w:szCs w:val="24"/>
        </w:rPr>
        <w:t xml:space="preserve"> </w:t>
      </w:r>
      <w:r w:rsidRPr="00653185">
        <w:rPr>
          <w:rFonts w:ascii="Arial" w:hAnsi="Arial" w:cs="Arial"/>
          <w:szCs w:val="24"/>
        </w:rPr>
        <w:t>Bimberi Youth Justice Centre</w:t>
      </w:r>
      <w:r w:rsidRPr="000A624B">
        <w:rPr>
          <w:rFonts w:ascii="Arial" w:hAnsi="Arial" w:cs="Arial"/>
          <w:szCs w:val="24"/>
        </w:rPr>
        <w:t xml:space="preserve"> </w:t>
      </w:r>
      <w:r w:rsidRPr="001B31AB">
        <w:rPr>
          <w:rFonts w:ascii="Arial" w:hAnsi="Arial" w:cs="Arial"/>
          <w:szCs w:val="24"/>
        </w:rPr>
        <w:t xml:space="preserve">or Aboriginal and Torres Strait Islander parents at the </w:t>
      </w:r>
      <w:r w:rsidR="003631A5">
        <w:rPr>
          <w:rFonts w:ascii="Arial" w:hAnsi="Arial" w:cs="Arial"/>
          <w:szCs w:val="24"/>
        </w:rPr>
        <w:t>Alexander Maconochie Centre (</w:t>
      </w:r>
      <w:r w:rsidRPr="001B31AB">
        <w:rPr>
          <w:rFonts w:ascii="Arial" w:hAnsi="Arial" w:cs="Arial"/>
          <w:szCs w:val="24"/>
        </w:rPr>
        <w:t>AMC)</w:t>
      </w:r>
      <w:r w:rsidR="00953EA3">
        <w:rPr>
          <w:rFonts w:ascii="Arial" w:hAnsi="Arial" w:cs="Arial"/>
          <w:szCs w:val="24"/>
        </w:rPr>
        <w:t>)</w:t>
      </w:r>
      <w:r w:rsidRPr="001B31AB">
        <w:rPr>
          <w:rFonts w:ascii="Arial" w:hAnsi="Arial" w:cs="Arial"/>
          <w:szCs w:val="24"/>
        </w:rPr>
        <w:t xml:space="preserve">, the Office of the ACT Inspector of Custodial Services (OICS) </w:t>
      </w:r>
      <w:r w:rsidR="006F3C61">
        <w:rPr>
          <w:rFonts w:ascii="Arial" w:hAnsi="Arial" w:cs="Arial"/>
          <w:szCs w:val="24"/>
        </w:rPr>
        <w:t xml:space="preserve">and NPM </w:t>
      </w:r>
      <w:r w:rsidRPr="001B31AB">
        <w:rPr>
          <w:rFonts w:ascii="Arial" w:hAnsi="Arial" w:cs="Arial"/>
          <w:szCs w:val="24"/>
        </w:rPr>
        <w:t>can effectively cooperate and share information with the Aboriginal and Torres Strait Islander Children and Young People Commissioner to enable the effective investigation and review of matters of concern.</w:t>
      </w:r>
    </w:p>
    <w:p w14:paraId="45B3D7FA" w14:textId="77777777" w:rsidR="00C120F1" w:rsidRPr="001B31AB" w:rsidRDefault="00C120F1" w:rsidP="00C120F1">
      <w:pPr>
        <w:pStyle w:val="Paragraphtext"/>
        <w:spacing w:line="276" w:lineRule="auto"/>
        <w:rPr>
          <w:rFonts w:ascii="Arial" w:hAnsi="Arial" w:cs="Arial"/>
          <w:i/>
          <w:iCs/>
          <w:u w:val="single"/>
        </w:rPr>
      </w:pPr>
      <w:r w:rsidRPr="001B31AB">
        <w:rPr>
          <w:rFonts w:ascii="Arial" w:hAnsi="Arial" w:cs="Arial"/>
          <w:i/>
          <w:iCs/>
          <w:u w:val="single"/>
        </w:rPr>
        <w:t>Electoral Act 1992</w:t>
      </w:r>
    </w:p>
    <w:p w14:paraId="1B404B41" w14:textId="05A89035" w:rsidR="003631A5" w:rsidRPr="001B31AB" w:rsidRDefault="003631A5" w:rsidP="00C120F1">
      <w:pPr>
        <w:pStyle w:val="Paragraphtext"/>
        <w:spacing w:line="276" w:lineRule="auto"/>
        <w:rPr>
          <w:rFonts w:ascii="Arial" w:hAnsi="Arial" w:cs="Arial"/>
        </w:rPr>
      </w:pPr>
      <w:r>
        <w:rPr>
          <w:rFonts w:ascii="Arial" w:hAnsi="Arial" w:cs="Arial"/>
        </w:rPr>
        <w:t>A</w:t>
      </w:r>
      <w:r w:rsidR="00C120F1" w:rsidRPr="001B31AB">
        <w:rPr>
          <w:rFonts w:ascii="Arial" w:hAnsi="Arial" w:cs="Arial"/>
        </w:rPr>
        <w:t xml:space="preserve">n amendment to s 216B of the </w:t>
      </w:r>
      <w:r w:rsidR="00C120F1" w:rsidRPr="001B31AB">
        <w:rPr>
          <w:rFonts w:ascii="Arial" w:hAnsi="Arial" w:cs="Arial"/>
          <w:i/>
          <w:iCs/>
        </w:rPr>
        <w:t xml:space="preserve">Electoral Act 1992 </w:t>
      </w:r>
      <w:r w:rsidR="00C120F1" w:rsidRPr="001B31AB">
        <w:rPr>
          <w:rFonts w:ascii="Arial" w:hAnsi="Arial" w:cs="Arial"/>
        </w:rPr>
        <w:t xml:space="preserve">(Electoral Act) will re-insert the requirement for a political entity to disclose ‘additional gifts’ by a political entity once the total amount of gifts received from a person during the reporting period has reached $1,000 or more. </w:t>
      </w:r>
      <w:r>
        <w:rPr>
          <w:rFonts w:ascii="Arial" w:hAnsi="Arial" w:cs="Arial"/>
        </w:rPr>
        <w:t>The amendment was recommended by both the Standing Committee on the Integrity Commission and Statutory Office Holders and the ACT Electoral Commissioner. The</w:t>
      </w:r>
      <w:r w:rsidR="008D338F">
        <w:rPr>
          <w:rFonts w:ascii="Arial" w:hAnsi="Arial" w:cs="Arial"/>
        </w:rPr>
        <w:t xml:space="preserve"> requirement</w:t>
      </w:r>
      <w:r>
        <w:rPr>
          <w:rFonts w:ascii="Arial" w:hAnsi="Arial" w:cs="Arial"/>
        </w:rPr>
        <w:t xml:space="preserve"> was in the </w:t>
      </w:r>
      <w:r w:rsidRPr="008F7381">
        <w:rPr>
          <w:rFonts w:ascii="Arial" w:hAnsi="Arial" w:cs="Arial"/>
          <w:i/>
          <w:iCs/>
        </w:rPr>
        <w:t>Electoral Act</w:t>
      </w:r>
      <w:r>
        <w:rPr>
          <w:rFonts w:ascii="Arial" w:hAnsi="Arial" w:cs="Arial"/>
        </w:rPr>
        <w:t xml:space="preserve"> (s 216A(3)(b)) prior to the commencement of the </w:t>
      </w:r>
      <w:r w:rsidRPr="008F7381">
        <w:rPr>
          <w:rFonts w:ascii="Arial" w:hAnsi="Arial" w:cs="Arial"/>
          <w:i/>
          <w:iCs/>
        </w:rPr>
        <w:t>Electoral and Road Safety Legislation Amendment Act 2023</w:t>
      </w:r>
      <w:r>
        <w:rPr>
          <w:rFonts w:ascii="Arial" w:hAnsi="Arial" w:cs="Arial"/>
        </w:rPr>
        <w:t>. Re-inserting the provision will further promote transparency</w:t>
      </w:r>
      <w:r w:rsidR="00043294">
        <w:rPr>
          <w:rFonts w:ascii="Arial" w:hAnsi="Arial" w:cs="Arial"/>
        </w:rPr>
        <w:t xml:space="preserve"> and integrity</w:t>
      </w:r>
      <w:r>
        <w:rPr>
          <w:rFonts w:ascii="Arial" w:hAnsi="Arial" w:cs="Arial"/>
        </w:rPr>
        <w:t xml:space="preserve"> in the electoral process</w:t>
      </w:r>
      <w:r w:rsidR="00043294">
        <w:rPr>
          <w:rFonts w:ascii="Arial" w:hAnsi="Arial" w:cs="Arial"/>
        </w:rPr>
        <w:t>.</w:t>
      </w:r>
    </w:p>
    <w:p w14:paraId="192B28A4" w14:textId="77777777" w:rsidR="00C120F1" w:rsidRPr="001B31AB" w:rsidRDefault="00C120F1" w:rsidP="00C120F1">
      <w:pPr>
        <w:pStyle w:val="Paragraphtext"/>
        <w:keepNext/>
        <w:spacing w:line="276" w:lineRule="auto"/>
        <w:rPr>
          <w:rFonts w:ascii="Arial" w:hAnsi="Arial" w:cs="Arial"/>
          <w:i/>
          <w:iCs/>
          <w:u w:val="single"/>
        </w:rPr>
      </w:pPr>
      <w:r w:rsidRPr="001B31AB">
        <w:rPr>
          <w:rFonts w:ascii="Arial" w:hAnsi="Arial" w:cs="Arial"/>
          <w:i/>
          <w:iCs/>
          <w:u w:val="single"/>
        </w:rPr>
        <w:t>Human Rights Commission Act 2005</w:t>
      </w:r>
    </w:p>
    <w:p w14:paraId="39A496CE" w14:textId="18CC6285" w:rsidR="00785325" w:rsidRDefault="00F158D9" w:rsidP="00C120F1">
      <w:pPr>
        <w:pStyle w:val="Paragraphtext"/>
        <w:keepNext/>
        <w:spacing w:line="276" w:lineRule="auto"/>
        <w:rPr>
          <w:rFonts w:ascii="Arial" w:hAnsi="Arial" w:cs="Arial"/>
        </w:rPr>
      </w:pPr>
      <w:r>
        <w:rPr>
          <w:rFonts w:ascii="Arial" w:hAnsi="Arial" w:cs="Arial"/>
        </w:rPr>
        <w:t>C</w:t>
      </w:r>
      <w:r w:rsidR="008D338F">
        <w:rPr>
          <w:rFonts w:ascii="Arial" w:hAnsi="Arial" w:cs="Arial"/>
        </w:rPr>
        <w:t>ommunity members can make c</w:t>
      </w:r>
      <w:r>
        <w:rPr>
          <w:rFonts w:ascii="Arial" w:hAnsi="Arial" w:cs="Arial"/>
        </w:rPr>
        <w:t xml:space="preserve">omplaints to the </w:t>
      </w:r>
      <w:r w:rsidR="00C7458C">
        <w:rPr>
          <w:rFonts w:ascii="Arial" w:hAnsi="Arial" w:cs="Arial"/>
        </w:rPr>
        <w:t xml:space="preserve">ACT </w:t>
      </w:r>
      <w:r>
        <w:rPr>
          <w:rFonts w:ascii="Arial" w:hAnsi="Arial" w:cs="Arial"/>
        </w:rPr>
        <w:t xml:space="preserve">Human Rights Commission </w:t>
      </w:r>
      <w:r w:rsidR="00C7458C">
        <w:rPr>
          <w:rFonts w:ascii="Arial" w:hAnsi="Arial" w:cs="Arial"/>
        </w:rPr>
        <w:t xml:space="preserve">(Commission) </w:t>
      </w:r>
      <w:r w:rsidR="008D338F">
        <w:rPr>
          <w:rFonts w:ascii="Arial" w:hAnsi="Arial" w:cs="Arial"/>
        </w:rPr>
        <w:t>about a range of matters including</w:t>
      </w:r>
      <w:r>
        <w:rPr>
          <w:rFonts w:ascii="Arial" w:hAnsi="Arial" w:cs="Arial"/>
        </w:rPr>
        <w:t xml:space="preserve"> discrimination, </w:t>
      </w:r>
      <w:r w:rsidR="008D338F">
        <w:rPr>
          <w:rFonts w:ascii="Arial" w:hAnsi="Arial" w:cs="Arial"/>
        </w:rPr>
        <w:t xml:space="preserve">retirement villages, </w:t>
      </w:r>
      <w:r>
        <w:rPr>
          <w:rFonts w:ascii="Arial" w:hAnsi="Arial" w:cs="Arial"/>
        </w:rPr>
        <w:t>occupancy disputes</w:t>
      </w:r>
      <w:r w:rsidR="008D338F">
        <w:rPr>
          <w:rFonts w:ascii="Arial" w:hAnsi="Arial" w:cs="Arial"/>
        </w:rPr>
        <w:t xml:space="preserve"> and conversion practices</w:t>
      </w:r>
      <w:r>
        <w:rPr>
          <w:rFonts w:ascii="Arial" w:hAnsi="Arial" w:cs="Arial"/>
        </w:rPr>
        <w:t xml:space="preserve">. </w:t>
      </w:r>
      <w:r w:rsidR="00C120F1" w:rsidRPr="001B31AB">
        <w:rPr>
          <w:rFonts w:ascii="Arial" w:hAnsi="Arial" w:cs="Arial"/>
        </w:rPr>
        <w:t xml:space="preserve">The amendment will require a complainant </w:t>
      </w:r>
      <w:r w:rsidR="00B90DFA">
        <w:rPr>
          <w:rFonts w:ascii="Arial" w:hAnsi="Arial" w:cs="Arial"/>
        </w:rPr>
        <w:t>in these types of</w:t>
      </w:r>
      <w:r w:rsidR="008D338F">
        <w:rPr>
          <w:rFonts w:ascii="Arial" w:hAnsi="Arial" w:cs="Arial"/>
        </w:rPr>
        <w:t xml:space="preserve"> matters </w:t>
      </w:r>
      <w:r w:rsidR="00C120F1" w:rsidRPr="001B31AB">
        <w:rPr>
          <w:rFonts w:ascii="Arial" w:hAnsi="Arial" w:cs="Arial"/>
        </w:rPr>
        <w:t xml:space="preserve">to seek leave from the ACAT before applying to the Tribunal to consider a matter where the Commission </w:t>
      </w:r>
      <w:r w:rsidR="00C7458C">
        <w:rPr>
          <w:rFonts w:ascii="Arial" w:hAnsi="Arial" w:cs="Arial"/>
        </w:rPr>
        <w:t>closes a complaint because it is satisfied of one of the reasons mentioned in section 78(2)(c)</w:t>
      </w:r>
      <w:r w:rsidR="00C120F1" w:rsidRPr="001B31AB">
        <w:rPr>
          <w:rFonts w:ascii="Arial" w:hAnsi="Arial" w:cs="Arial"/>
        </w:rPr>
        <w:t xml:space="preserve"> of the </w:t>
      </w:r>
      <w:r w:rsidR="00C120F1" w:rsidRPr="001B31AB">
        <w:rPr>
          <w:rFonts w:ascii="Arial" w:hAnsi="Arial" w:cs="Arial"/>
          <w:i/>
          <w:iCs/>
        </w:rPr>
        <w:t xml:space="preserve">Human Rights Commission ACT 2005 </w:t>
      </w:r>
      <w:r w:rsidR="00C120F1" w:rsidRPr="001B31AB">
        <w:rPr>
          <w:rFonts w:ascii="Arial" w:hAnsi="Arial" w:cs="Arial"/>
        </w:rPr>
        <w:t xml:space="preserve">(HRC Act). </w:t>
      </w:r>
    </w:p>
    <w:p w14:paraId="27C2CC22" w14:textId="040C8B8A" w:rsidR="00C120F1" w:rsidRPr="001B31AB" w:rsidRDefault="00C7458C" w:rsidP="00C120F1">
      <w:pPr>
        <w:pStyle w:val="Paragraphtext"/>
        <w:keepNext/>
        <w:spacing w:line="276" w:lineRule="auto"/>
        <w:rPr>
          <w:rFonts w:ascii="Arial" w:hAnsi="Arial" w:cs="Arial"/>
        </w:rPr>
      </w:pPr>
      <w:r>
        <w:rPr>
          <w:rFonts w:ascii="Arial" w:hAnsi="Arial" w:cs="Arial"/>
        </w:rPr>
        <w:t>The Commission must close a complaint under section 78(2)(c) if satisfied that the complainant has been given a reasonable explanation and the complaint needs no further action by the Commissioner, or the complaint is frivolous</w:t>
      </w:r>
      <w:r w:rsidR="00785325">
        <w:rPr>
          <w:rFonts w:ascii="Arial" w:hAnsi="Arial" w:cs="Arial"/>
        </w:rPr>
        <w:t xml:space="preserve">, vexatious or not made honestly, or the matters raised by the complaint have been, or are being dealt with by a court or tribunal or have been dealt with by the commission, or the complaint lacks substance. </w:t>
      </w:r>
      <w:r w:rsidR="00C120F1" w:rsidRPr="001B31AB">
        <w:rPr>
          <w:rFonts w:ascii="Arial" w:hAnsi="Arial" w:cs="Arial"/>
        </w:rPr>
        <w:t xml:space="preserve">The amendment will </w:t>
      </w:r>
      <w:r w:rsidR="00B90DFA">
        <w:rPr>
          <w:rFonts w:ascii="Arial" w:hAnsi="Arial" w:cs="Arial"/>
        </w:rPr>
        <w:t>ensure that where</w:t>
      </w:r>
      <w:r w:rsidR="00C120F1" w:rsidRPr="001B31AB">
        <w:rPr>
          <w:rFonts w:ascii="Arial" w:hAnsi="Arial" w:cs="Arial"/>
        </w:rPr>
        <w:t xml:space="preserve"> a complaint has been </w:t>
      </w:r>
      <w:r>
        <w:rPr>
          <w:rFonts w:ascii="Arial" w:hAnsi="Arial" w:cs="Arial"/>
        </w:rPr>
        <w:t>closed by the Commission under section 78(2)(c)</w:t>
      </w:r>
      <w:r w:rsidR="00C120F1" w:rsidRPr="001B31AB">
        <w:rPr>
          <w:rFonts w:ascii="Arial" w:hAnsi="Arial" w:cs="Arial"/>
        </w:rPr>
        <w:t>, a complainant</w:t>
      </w:r>
      <w:r w:rsidR="00B90DFA">
        <w:rPr>
          <w:rFonts w:ascii="Arial" w:hAnsi="Arial" w:cs="Arial"/>
        </w:rPr>
        <w:t xml:space="preserve"> will be required to seek leave from the ACAT before their matter can be considered by the Tribunal.</w:t>
      </w:r>
    </w:p>
    <w:p w14:paraId="261D752B" w14:textId="18919F0C" w:rsidR="0053660E" w:rsidRPr="00CE487C" w:rsidRDefault="0053660E" w:rsidP="00C120F1">
      <w:pPr>
        <w:pStyle w:val="Paragraphtext"/>
        <w:spacing w:line="276" w:lineRule="auto"/>
        <w:rPr>
          <w:rFonts w:ascii="Arial" w:hAnsi="Arial" w:cs="Arial"/>
          <w:i/>
          <w:iCs/>
          <w:u w:val="single"/>
        </w:rPr>
      </w:pPr>
      <w:r w:rsidRPr="00CE487C">
        <w:rPr>
          <w:rFonts w:ascii="Arial" w:hAnsi="Arial" w:cs="Arial"/>
          <w:i/>
          <w:iCs/>
          <w:u w:val="single"/>
        </w:rPr>
        <w:t>Inquiries Act 1991</w:t>
      </w:r>
    </w:p>
    <w:p w14:paraId="5A4AAF3D" w14:textId="55B27965" w:rsidR="009A6C9C" w:rsidRPr="009A6C9C" w:rsidRDefault="009A6C9C" w:rsidP="009A6C9C">
      <w:pPr>
        <w:spacing w:line="279" w:lineRule="auto"/>
        <w:ind w:right="-45"/>
        <w:contextualSpacing/>
        <w:rPr>
          <w:rFonts w:ascii="Arial" w:eastAsia="Calibri" w:hAnsi="Arial" w:cs="Arial"/>
          <w:sz w:val="24"/>
          <w:szCs w:val="24"/>
        </w:rPr>
      </w:pPr>
      <w:r w:rsidRPr="009A6C9C">
        <w:rPr>
          <w:rFonts w:ascii="Arial" w:eastAsia="Calibri" w:hAnsi="Arial" w:cs="Arial"/>
          <w:sz w:val="24"/>
          <w:szCs w:val="24"/>
        </w:rPr>
        <w:t xml:space="preserve">In consideration of the outcomes and learnings from </w:t>
      </w:r>
      <w:r w:rsidR="007800F3">
        <w:rPr>
          <w:rFonts w:ascii="Arial" w:eastAsia="Calibri" w:hAnsi="Arial" w:cs="Arial"/>
          <w:sz w:val="24"/>
          <w:szCs w:val="24"/>
        </w:rPr>
        <w:t>previous Boards of Inquiry</w:t>
      </w:r>
      <w:r w:rsidRPr="009A6C9C">
        <w:rPr>
          <w:rFonts w:ascii="Arial" w:eastAsia="Calibri" w:hAnsi="Arial" w:cs="Arial"/>
          <w:sz w:val="24"/>
          <w:szCs w:val="24"/>
        </w:rPr>
        <w:t xml:space="preserve">, a review of the </w:t>
      </w:r>
      <w:r w:rsidRPr="009A6C9C">
        <w:rPr>
          <w:rFonts w:ascii="Arial" w:eastAsia="Calibri" w:hAnsi="Arial" w:cs="Arial"/>
          <w:i/>
          <w:iCs/>
          <w:sz w:val="24"/>
          <w:szCs w:val="24"/>
        </w:rPr>
        <w:t xml:space="preserve">Inquiries Act 1991 </w:t>
      </w:r>
      <w:r w:rsidRPr="009A6C9C">
        <w:rPr>
          <w:rFonts w:ascii="Arial" w:eastAsia="Calibri" w:hAnsi="Arial" w:cs="Arial"/>
          <w:sz w:val="24"/>
          <w:szCs w:val="24"/>
        </w:rPr>
        <w:t>was undertaken</w:t>
      </w:r>
      <w:r w:rsidRPr="009A6C9C">
        <w:rPr>
          <w:rFonts w:ascii="Arial" w:eastAsia="Calibri" w:hAnsi="Arial" w:cs="Arial"/>
          <w:i/>
          <w:iCs/>
          <w:sz w:val="24"/>
          <w:szCs w:val="24"/>
        </w:rPr>
        <w:t xml:space="preserve"> </w:t>
      </w:r>
      <w:r w:rsidRPr="009A6C9C">
        <w:rPr>
          <w:rFonts w:ascii="Arial" w:eastAsia="Calibri" w:hAnsi="Arial" w:cs="Arial"/>
          <w:sz w:val="24"/>
          <w:szCs w:val="24"/>
        </w:rPr>
        <w:t xml:space="preserve">to ensure it is fit for purpose and reflects contemporary best practice approaches. Through consultation with key stakeholders, a number of potential amendments to the </w:t>
      </w:r>
      <w:r w:rsidRPr="009A6C9C">
        <w:rPr>
          <w:rFonts w:ascii="Arial" w:eastAsia="Calibri" w:hAnsi="Arial" w:cs="Arial"/>
          <w:i/>
          <w:iCs/>
          <w:sz w:val="24"/>
          <w:szCs w:val="24"/>
        </w:rPr>
        <w:t>Inquiries Act 1991</w:t>
      </w:r>
      <w:r w:rsidRPr="009A6C9C">
        <w:rPr>
          <w:rFonts w:ascii="Arial" w:eastAsia="Calibri" w:hAnsi="Arial" w:cs="Arial"/>
          <w:sz w:val="24"/>
          <w:szCs w:val="24"/>
        </w:rPr>
        <w:t xml:space="preserve"> were </w:t>
      </w:r>
      <w:r w:rsidRPr="009A6C9C">
        <w:rPr>
          <w:rFonts w:ascii="Arial" w:eastAsia="Calibri" w:hAnsi="Arial" w:cs="Arial"/>
          <w:sz w:val="24"/>
          <w:szCs w:val="24"/>
        </w:rPr>
        <w:lastRenderedPageBreak/>
        <w:t>identified. Amendments considered technical and low complexity are proposed for inclusion in th</w:t>
      </w:r>
      <w:r>
        <w:rPr>
          <w:rFonts w:ascii="Arial" w:eastAsia="Calibri" w:hAnsi="Arial" w:cs="Arial"/>
          <w:sz w:val="24"/>
          <w:szCs w:val="24"/>
        </w:rPr>
        <w:t>is Bill</w:t>
      </w:r>
      <w:r w:rsidRPr="009A6C9C">
        <w:rPr>
          <w:rFonts w:ascii="Arial" w:eastAsia="Calibri" w:hAnsi="Arial" w:cs="Arial"/>
          <w:sz w:val="24"/>
          <w:szCs w:val="24"/>
        </w:rPr>
        <w:t>.</w:t>
      </w:r>
    </w:p>
    <w:p w14:paraId="315175E5" w14:textId="77777777" w:rsidR="009A6C9C" w:rsidRDefault="009A6C9C" w:rsidP="009A6C9C">
      <w:pPr>
        <w:spacing w:line="279" w:lineRule="auto"/>
        <w:ind w:right="-45"/>
        <w:contextualSpacing/>
        <w:rPr>
          <w:rFonts w:ascii="Arial" w:eastAsia="Calibri" w:hAnsi="Arial" w:cs="Arial"/>
          <w:sz w:val="24"/>
          <w:szCs w:val="24"/>
        </w:rPr>
      </w:pPr>
    </w:p>
    <w:p w14:paraId="6551D232" w14:textId="3DF313F5" w:rsidR="009A6C9C" w:rsidRPr="009A6C9C" w:rsidRDefault="009A6C9C" w:rsidP="009A6C9C">
      <w:pPr>
        <w:spacing w:line="279" w:lineRule="auto"/>
        <w:ind w:right="-45"/>
        <w:contextualSpacing/>
        <w:rPr>
          <w:rFonts w:ascii="Arial" w:eastAsia="Calibri" w:hAnsi="Arial" w:cs="Arial"/>
          <w:sz w:val="24"/>
          <w:szCs w:val="24"/>
        </w:rPr>
      </w:pPr>
      <w:r w:rsidRPr="009A6C9C">
        <w:rPr>
          <w:rFonts w:ascii="Arial" w:eastAsia="Calibri" w:hAnsi="Arial" w:cs="Arial"/>
          <w:sz w:val="24"/>
          <w:szCs w:val="24"/>
        </w:rPr>
        <w:t xml:space="preserve">Amendments to the </w:t>
      </w:r>
      <w:r w:rsidRPr="009A6C9C">
        <w:rPr>
          <w:rFonts w:ascii="Arial" w:eastAsia="Calibri" w:hAnsi="Arial" w:cs="Arial"/>
          <w:i/>
          <w:iCs/>
          <w:sz w:val="24"/>
          <w:szCs w:val="24"/>
        </w:rPr>
        <w:t>Inquiries Act 1991</w:t>
      </w:r>
      <w:r w:rsidRPr="009A6C9C">
        <w:rPr>
          <w:rFonts w:ascii="Arial" w:eastAsia="Calibri" w:hAnsi="Arial" w:cs="Arial"/>
          <w:sz w:val="24"/>
          <w:szCs w:val="24"/>
        </w:rPr>
        <w:t xml:space="preserve"> proposed to be included will</w:t>
      </w:r>
      <w:r w:rsidRPr="009A6C9C">
        <w:rPr>
          <w:rFonts w:ascii="Arial" w:eastAsia="Calibri" w:hAnsi="Arial" w:cs="Arial"/>
          <w:i/>
          <w:iCs/>
          <w:sz w:val="24"/>
          <w:szCs w:val="24"/>
        </w:rPr>
        <w:t xml:space="preserve"> </w:t>
      </w:r>
      <w:r w:rsidRPr="009A6C9C">
        <w:rPr>
          <w:rFonts w:ascii="Arial" w:eastAsia="Calibri" w:hAnsi="Arial" w:cs="Arial"/>
          <w:sz w:val="24"/>
          <w:szCs w:val="24"/>
        </w:rPr>
        <w:t>address confidentiality and report handling requirements; strengthen safeguards around disclosure and</w:t>
      </w:r>
      <w:r w:rsidRPr="009A6C9C">
        <w:rPr>
          <w:rFonts w:ascii="Arial" w:eastAsia="Calibri" w:hAnsi="Arial" w:cs="Arial"/>
          <w:i/>
          <w:iCs/>
          <w:sz w:val="24"/>
          <w:szCs w:val="24"/>
        </w:rPr>
        <w:t xml:space="preserve"> </w:t>
      </w:r>
      <w:r w:rsidRPr="009A6C9C">
        <w:rPr>
          <w:rFonts w:ascii="Arial" w:eastAsia="Calibri" w:hAnsi="Arial" w:cs="Arial"/>
          <w:sz w:val="24"/>
          <w:szCs w:val="24"/>
        </w:rPr>
        <w:t xml:space="preserve">enhance procedural fairness by extending response times for adverse comments. </w:t>
      </w:r>
    </w:p>
    <w:p w14:paraId="771E02CC" w14:textId="71B41F30" w:rsidR="00C120F1" w:rsidRPr="001B31AB" w:rsidRDefault="00C120F1" w:rsidP="00C120F1">
      <w:pPr>
        <w:pStyle w:val="Paragraphtext"/>
        <w:spacing w:line="276" w:lineRule="auto"/>
        <w:rPr>
          <w:rFonts w:ascii="Arial" w:hAnsi="Arial" w:cs="Arial"/>
          <w:i/>
          <w:iCs/>
          <w:szCs w:val="24"/>
          <w:u w:val="single"/>
        </w:rPr>
      </w:pPr>
      <w:r w:rsidRPr="001B31AB">
        <w:rPr>
          <w:rFonts w:ascii="Arial" w:hAnsi="Arial" w:cs="Arial"/>
          <w:i/>
          <w:iCs/>
          <w:u w:val="single"/>
        </w:rPr>
        <w:t xml:space="preserve">Supreme Court Act </w:t>
      </w:r>
      <w:r w:rsidRPr="001B31AB">
        <w:rPr>
          <w:rFonts w:ascii="Arial" w:hAnsi="Arial" w:cs="Arial"/>
          <w:i/>
          <w:iCs/>
          <w:szCs w:val="24"/>
          <w:u w:val="single"/>
        </w:rPr>
        <w:t>1933</w:t>
      </w:r>
    </w:p>
    <w:p w14:paraId="555E5321" w14:textId="77777777" w:rsidR="00C120F1" w:rsidRPr="001B31AB" w:rsidRDefault="00C120F1" w:rsidP="00C120F1">
      <w:pPr>
        <w:pStyle w:val="Paragraphtext"/>
        <w:spacing w:line="276" w:lineRule="auto"/>
        <w:rPr>
          <w:rFonts w:ascii="Arial" w:hAnsi="Arial" w:cs="Arial"/>
          <w:szCs w:val="24"/>
        </w:rPr>
      </w:pPr>
      <w:r w:rsidRPr="001B31AB">
        <w:rPr>
          <w:rFonts w:ascii="Arial" w:hAnsi="Arial" w:cs="Arial"/>
          <w:szCs w:val="24"/>
        </w:rPr>
        <w:t xml:space="preserve">The </w:t>
      </w:r>
      <w:r>
        <w:rPr>
          <w:rFonts w:ascii="Arial" w:hAnsi="Arial" w:cs="Arial"/>
          <w:szCs w:val="24"/>
        </w:rPr>
        <w:t>Bill</w:t>
      </w:r>
      <w:r w:rsidRPr="001B31AB">
        <w:rPr>
          <w:rFonts w:ascii="Arial" w:hAnsi="Arial" w:cs="Arial"/>
          <w:szCs w:val="24"/>
        </w:rPr>
        <w:t xml:space="preserve"> will allow the Supreme Court to initiate a declaration for vexatious proceedings on its own motion. Vexatious proceedings are proceedings which harass, annoy, seek to cause delay, are used for ulterior purposes or lack reasonable grounds. These matters are often initiated without sufficient grounds, aimed at harassing another party and pursuing meritless proceedings. </w:t>
      </w:r>
    </w:p>
    <w:p w14:paraId="59E6A88F" w14:textId="2AC069E1" w:rsidR="00D17727" w:rsidRDefault="00C120F1" w:rsidP="00C120F1">
      <w:pPr>
        <w:pStyle w:val="Paragraphtext"/>
        <w:spacing w:line="276" w:lineRule="auto"/>
        <w:rPr>
          <w:rFonts w:ascii="Arial" w:hAnsi="Arial" w:cs="Arial"/>
          <w:szCs w:val="24"/>
        </w:rPr>
      </w:pPr>
      <w:r w:rsidRPr="001B31AB">
        <w:rPr>
          <w:rFonts w:ascii="Arial" w:hAnsi="Arial" w:cs="Arial"/>
          <w:szCs w:val="24"/>
        </w:rPr>
        <w:t xml:space="preserve">The Court already has the power under s 67A of the </w:t>
      </w:r>
      <w:r w:rsidRPr="001B31AB">
        <w:rPr>
          <w:rFonts w:ascii="Arial" w:hAnsi="Arial" w:cs="Arial"/>
          <w:i/>
          <w:iCs/>
          <w:szCs w:val="24"/>
        </w:rPr>
        <w:t xml:space="preserve">Supreme Court Act 1933 </w:t>
      </w:r>
      <w:r w:rsidRPr="001B31AB">
        <w:rPr>
          <w:rFonts w:ascii="Arial" w:hAnsi="Arial" w:cs="Arial"/>
          <w:szCs w:val="24"/>
        </w:rPr>
        <w:t>to determine that a person has frequently initiated vexatious proceedings. However</w:t>
      </w:r>
      <w:r>
        <w:rPr>
          <w:rFonts w:ascii="Arial" w:hAnsi="Arial" w:cs="Arial"/>
          <w:szCs w:val="24"/>
        </w:rPr>
        <w:t>,</w:t>
      </w:r>
      <w:r w:rsidRPr="001B31AB">
        <w:rPr>
          <w:rFonts w:ascii="Arial" w:hAnsi="Arial" w:cs="Arial"/>
          <w:szCs w:val="24"/>
        </w:rPr>
        <w:t xml:space="preserve"> </w:t>
      </w:r>
      <w:r>
        <w:rPr>
          <w:rFonts w:ascii="Arial" w:hAnsi="Arial" w:cs="Arial"/>
          <w:szCs w:val="24"/>
        </w:rPr>
        <w:t xml:space="preserve">the Court can only make a vexatious declaration on the motion of the </w:t>
      </w:r>
      <w:r w:rsidRPr="001B31AB">
        <w:rPr>
          <w:rFonts w:ascii="Arial" w:hAnsi="Arial" w:cs="Arial"/>
          <w:szCs w:val="24"/>
        </w:rPr>
        <w:t>Attorney-General or aggrieved person (who are often victims of the vexatious proceedings). This amendment will allow the Court to commence such an application on its own initiative</w:t>
      </w:r>
      <w:r w:rsidR="000548DC">
        <w:rPr>
          <w:rFonts w:ascii="Arial" w:hAnsi="Arial" w:cs="Arial"/>
          <w:szCs w:val="24"/>
        </w:rPr>
        <w:t xml:space="preserve">, taking the burden of cost, stress and time </w:t>
      </w:r>
      <w:r w:rsidR="00B90DFA">
        <w:rPr>
          <w:rFonts w:ascii="Arial" w:hAnsi="Arial" w:cs="Arial"/>
          <w:szCs w:val="24"/>
        </w:rPr>
        <w:t>from</w:t>
      </w:r>
      <w:r w:rsidR="000548DC">
        <w:rPr>
          <w:rFonts w:ascii="Arial" w:hAnsi="Arial" w:cs="Arial"/>
          <w:szCs w:val="24"/>
        </w:rPr>
        <w:t xml:space="preserve"> the aggrieved person having to deal with vexatious proceedings. This amendment will enhance the Court’s ability to intervene early, reduce misuse of the legal system, and ensure that judicial resources are appropriately directed.</w:t>
      </w:r>
    </w:p>
    <w:p w14:paraId="1EA7FF1E" w14:textId="15ABA2AF" w:rsidR="00C120F1" w:rsidRPr="001B31AB" w:rsidRDefault="00B90DFA" w:rsidP="00C120F1">
      <w:pPr>
        <w:pStyle w:val="Paragraphtext"/>
        <w:spacing w:line="276" w:lineRule="auto"/>
        <w:rPr>
          <w:rFonts w:ascii="Arial" w:hAnsi="Arial" w:cs="Arial"/>
          <w:szCs w:val="24"/>
        </w:rPr>
      </w:pPr>
      <w:r>
        <w:rPr>
          <w:rFonts w:ascii="Arial" w:hAnsi="Arial" w:cs="Arial"/>
          <w:szCs w:val="24"/>
        </w:rPr>
        <w:t>O</w:t>
      </w:r>
      <w:r w:rsidR="00D17727">
        <w:rPr>
          <w:rFonts w:ascii="Arial" w:hAnsi="Arial" w:cs="Arial"/>
          <w:szCs w:val="24"/>
        </w:rPr>
        <w:t>ther</w:t>
      </w:r>
      <w:r>
        <w:rPr>
          <w:rFonts w:ascii="Arial" w:hAnsi="Arial" w:cs="Arial"/>
          <w:szCs w:val="24"/>
        </w:rPr>
        <w:t xml:space="preserve"> Australian</w:t>
      </w:r>
      <w:r w:rsidR="00D17727">
        <w:rPr>
          <w:rFonts w:ascii="Arial" w:hAnsi="Arial" w:cs="Arial"/>
          <w:szCs w:val="24"/>
        </w:rPr>
        <w:t xml:space="preserve"> jurisdictions have conferred powers on their respective Supreme Courts to initiate vexatious litigant orders, </w:t>
      </w:r>
      <w:r w:rsidR="000548DC">
        <w:rPr>
          <w:rFonts w:ascii="Arial" w:hAnsi="Arial" w:cs="Arial"/>
          <w:szCs w:val="24"/>
        </w:rPr>
        <w:t>and other courts such as the Federal Court, NSW Land and Environment Court, NSW Industrial Court and WA district courts, have also been conferred the power.</w:t>
      </w:r>
    </w:p>
    <w:p w14:paraId="2DF2EB7B" w14:textId="77777777" w:rsidR="00C120F1" w:rsidRPr="001B31AB" w:rsidRDefault="00C120F1" w:rsidP="00C120F1">
      <w:pPr>
        <w:pStyle w:val="Paragraphtext"/>
        <w:spacing w:line="276" w:lineRule="auto"/>
        <w:rPr>
          <w:rFonts w:ascii="Arial" w:hAnsi="Arial" w:cs="Arial"/>
          <w:i/>
          <w:iCs/>
          <w:u w:val="single"/>
        </w:rPr>
      </w:pPr>
      <w:r w:rsidRPr="001B31AB">
        <w:rPr>
          <w:rFonts w:ascii="Arial" w:hAnsi="Arial" w:cs="Arial"/>
          <w:i/>
          <w:iCs/>
          <w:u w:val="single"/>
        </w:rPr>
        <w:t>Other minor amendments</w:t>
      </w:r>
    </w:p>
    <w:p w14:paraId="5B408F65" w14:textId="77777777" w:rsidR="00C120F1" w:rsidRDefault="00C120F1" w:rsidP="00C120F1">
      <w:pPr>
        <w:pStyle w:val="Paragraphtext"/>
        <w:spacing w:line="276" w:lineRule="auto"/>
        <w:rPr>
          <w:rFonts w:ascii="Arial" w:hAnsi="Arial" w:cs="Arial"/>
        </w:rPr>
      </w:pPr>
      <w:r>
        <w:rPr>
          <w:rFonts w:ascii="Arial" w:hAnsi="Arial" w:cs="Arial"/>
        </w:rPr>
        <w:t>The Bill also contains other amendments to address minor and technical issues. The</w:t>
      </w:r>
      <w:r w:rsidRPr="001B31AB">
        <w:rPr>
          <w:rFonts w:ascii="Arial" w:hAnsi="Arial" w:cs="Arial"/>
        </w:rPr>
        <w:t xml:space="preserve"> amendment to the </w:t>
      </w:r>
      <w:r w:rsidRPr="001B31AB">
        <w:rPr>
          <w:rFonts w:ascii="Arial" w:hAnsi="Arial" w:cs="Arial"/>
          <w:i/>
          <w:iCs/>
        </w:rPr>
        <w:t>Unit Titles (Management) Act 2011</w:t>
      </w:r>
      <w:r w:rsidRPr="001B31AB">
        <w:rPr>
          <w:rFonts w:ascii="Arial" w:hAnsi="Arial" w:cs="Arial"/>
        </w:rPr>
        <w:t xml:space="preserve"> will rectify an error in a cross reference in the legislation</w:t>
      </w:r>
      <w:r>
        <w:rPr>
          <w:rFonts w:ascii="Arial" w:hAnsi="Arial" w:cs="Arial"/>
        </w:rPr>
        <w:t>, and a</w:t>
      </w:r>
      <w:r w:rsidRPr="001B31AB">
        <w:rPr>
          <w:rFonts w:ascii="Arial" w:hAnsi="Arial" w:cs="Arial"/>
        </w:rPr>
        <w:t xml:space="preserve">n amendment to the </w:t>
      </w:r>
      <w:r w:rsidRPr="001B31AB">
        <w:rPr>
          <w:rFonts w:ascii="Arial" w:hAnsi="Arial" w:cs="Arial"/>
          <w:i/>
          <w:iCs/>
        </w:rPr>
        <w:t>Oaths and Affirmations Act 1984</w:t>
      </w:r>
      <w:r w:rsidRPr="001B31AB">
        <w:rPr>
          <w:rFonts w:ascii="Arial" w:hAnsi="Arial" w:cs="Arial"/>
        </w:rPr>
        <w:t xml:space="preserve"> will amend the title of Part 3.</w:t>
      </w:r>
    </w:p>
    <w:p w14:paraId="696A270D" w14:textId="77777777" w:rsidR="00B90DFA" w:rsidRPr="001B31AB" w:rsidRDefault="00B90DFA" w:rsidP="00C120F1">
      <w:pPr>
        <w:pStyle w:val="Paragraphtext"/>
        <w:spacing w:line="276" w:lineRule="auto"/>
        <w:rPr>
          <w:rFonts w:ascii="Arial" w:hAnsi="Arial" w:cs="Arial"/>
        </w:rPr>
      </w:pPr>
    </w:p>
    <w:p w14:paraId="25E5EC3A" w14:textId="08C49B19" w:rsidR="00E90DF9" w:rsidRDefault="00E90DF9" w:rsidP="00E90DF9">
      <w:pPr>
        <w:rPr>
          <w:rFonts w:ascii="Arial" w:hAnsi="Arial" w:cs="Arial"/>
          <w:b/>
          <w:sz w:val="24"/>
          <w:szCs w:val="24"/>
        </w:rPr>
      </w:pPr>
      <w:r w:rsidRPr="00AC59DF">
        <w:rPr>
          <w:rFonts w:ascii="Arial" w:hAnsi="Arial" w:cs="Arial"/>
          <w:b/>
          <w:sz w:val="24"/>
          <w:szCs w:val="24"/>
        </w:rPr>
        <w:t>CONSULTATION ON THE PROPOSED APPROACH</w:t>
      </w:r>
    </w:p>
    <w:p w14:paraId="338D44A1" w14:textId="64ACBC5F" w:rsidR="00770CBC" w:rsidRDefault="00192E5A" w:rsidP="005B0897">
      <w:pPr>
        <w:rPr>
          <w:rFonts w:ascii="Arial" w:hAnsi="Arial" w:cs="Arial"/>
          <w:sz w:val="24"/>
          <w:szCs w:val="24"/>
        </w:rPr>
      </w:pPr>
      <w:r>
        <w:rPr>
          <w:rFonts w:ascii="Arial" w:hAnsi="Arial" w:cs="Arial"/>
          <w:sz w:val="24"/>
          <w:szCs w:val="24"/>
        </w:rPr>
        <w:t>Government has consulted with the Aboriginal and Torres Strait Islander Children and Young People Commissioner, Office of the ACT Inspector of Custodial Services</w:t>
      </w:r>
      <w:r w:rsidR="00B90DFA">
        <w:rPr>
          <w:rFonts w:ascii="Arial" w:hAnsi="Arial" w:cs="Arial"/>
          <w:sz w:val="24"/>
          <w:szCs w:val="24"/>
        </w:rPr>
        <w:t xml:space="preserve">, </w:t>
      </w:r>
      <w:r w:rsidR="00785325">
        <w:rPr>
          <w:rFonts w:ascii="Arial" w:hAnsi="Arial" w:cs="Arial"/>
          <w:sz w:val="24"/>
          <w:szCs w:val="24"/>
        </w:rPr>
        <w:t xml:space="preserve">ACT National Preventive Mechanism, ACT Human Rights Commission, </w:t>
      </w:r>
      <w:r w:rsidR="00B90DFA">
        <w:rPr>
          <w:rFonts w:ascii="Arial" w:hAnsi="Arial" w:cs="Arial"/>
          <w:sz w:val="24"/>
          <w:szCs w:val="24"/>
        </w:rPr>
        <w:t>ACT Courts and Tribunal</w:t>
      </w:r>
      <w:r>
        <w:rPr>
          <w:rFonts w:ascii="Arial" w:hAnsi="Arial" w:cs="Arial"/>
          <w:sz w:val="24"/>
          <w:szCs w:val="24"/>
        </w:rPr>
        <w:t xml:space="preserve"> and ACT Electoral Commission in the development of the Bill.</w:t>
      </w:r>
    </w:p>
    <w:p w14:paraId="74DFF48F" w14:textId="77777777" w:rsidR="00B90DFA" w:rsidRPr="00B90DFA" w:rsidRDefault="00B90DFA" w:rsidP="005B0897">
      <w:pPr>
        <w:rPr>
          <w:rFonts w:ascii="Arial" w:hAnsi="Arial" w:cs="Arial"/>
          <w:sz w:val="24"/>
          <w:szCs w:val="24"/>
        </w:rPr>
      </w:pPr>
    </w:p>
    <w:p w14:paraId="23CB6687" w14:textId="71391E94" w:rsidR="00CF76B1" w:rsidRDefault="00CF76B1" w:rsidP="005B0897">
      <w:pPr>
        <w:rPr>
          <w:rFonts w:ascii="Arial" w:hAnsi="Arial" w:cs="Arial"/>
          <w:b/>
          <w:sz w:val="24"/>
          <w:szCs w:val="24"/>
        </w:rPr>
      </w:pPr>
      <w:r w:rsidRPr="005B0897">
        <w:rPr>
          <w:rFonts w:ascii="Arial" w:hAnsi="Arial" w:cs="Arial"/>
          <w:b/>
          <w:sz w:val="24"/>
          <w:szCs w:val="24"/>
        </w:rPr>
        <w:lastRenderedPageBreak/>
        <w:t>CLIMATE IMPACT</w:t>
      </w:r>
    </w:p>
    <w:p w14:paraId="1FBC555F" w14:textId="4F3624D1" w:rsidR="0012581B" w:rsidRPr="00B81C82" w:rsidRDefault="00DF23D1" w:rsidP="00B81C82">
      <w:pPr>
        <w:rPr>
          <w:rFonts w:ascii="Arial" w:hAnsi="Arial" w:cs="Arial"/>
          <w:bCs/>
          <w:sz w:val="24"/>
          <w:szCs w:val="24"/>
        </w:rPr>
      </w:pPr>
      <w:r>
        <w:rPr>
          <w:rFonts w:ascii="Arial" w:hAnsi="Arial" w:cs="Arial"/>
          <w:bCs/>
          <w:sz w:val="24"/>
          <w:szCs w:val="24"/>
        </w:rPr>
        <w:t>This Bill does not have a climate impact.</w:t>
      </w:r>
    </w:p>
    <w:p w14:paraId="00AF0E6A" w14:textId="77777777" w:rsidR="006A3370" w:rsidRDefault="006A3370" w:rsidP="00E90DF9">
      <w:pPr>
        <w:pStyle w:val="Heading2"/>
      </w:pPr>
    </w:p>
    <w:p w14:paraId="6BB71180" w14:textId="69275CE6" w:rsidR="006A3370" w:rsidRPr="006A3370" w:rsidRDefault="00E90DF9" w:rsidP="006A3370">
      <w:pPr>
        <w:pStyle w:val="Heading2"/>
      </w:pPr>
      <w:r>
        <w:t xml:space="preserve">CONSISTENCY WITH </w:t>
      </w:r>
      <w:r w:rsidRPr="008C225D">
        <w:t>HUMAN RIGHTS</w:t>
      </w:r>
    </w:p>
    <w:p w14:paraId="3AA827AB" w14:textId="1EB09CDD" w:rsidR="00E90DF9" w:rsidRPr="00B81C82" w:rsidRDefault="00E90DF9" w:rsidP="00E90DF9">
      <w:pPr>
        <w:rPr>
          <w:rFonts w:ascii="Arial" w:hAnsi="Arial" w:cs="Arial"/>
          <w:b/>
          <w:bCs/>
          <w:i/>
          <w:sz w:val="24"/>
          <w:szCs w:val="24"/>
        </w:rPr>
      </w:pPr>
      <w:r w:rsidRPr="00B81C82">
        <w:rPr>
          <w:rFonts w:ascii="Arial" w:hAnsi="Arial" w:cs="Arial"/>
          <w:b/>
          <w:bCs/>
          <w:i/>
          <w:sz w:val="24"/>
          <w:szCs w:val="24"/>
        </w:rPr>
        <w:t xml:space="preserve">Rights </w:t>
      </w:r>
      <w:r w:rsidR="00192E5A">
        <w:rPr>
          <w:rFonts w:ascii="Arial" w:hAnsi="Arial" w:cs="Arial"/>
          <w:b/>
          <w:bCs/>
          <w:i/>
          <w:sz w:val="24"/>
          <w:szCs w:val="24"/>
        </w:rPr>
        <w:t>e</w:t>
      </w:r>
      <w:r w:rsidRPr="00B81C82">
        <w:rPr>
          <w:rFonts w:ascii="Arial" w:hAnsi="Arial" w:cs="Arial"/>
          <w:b/>
          <w:bCs/>
          <w:i/>
          <w:sz w:val="24"/>
          <w:szCs w:val="24"/>
        </w:rPr>
        <w:t>ngaged</w:t>
      </w:r>
    </w:p>
    <w:p w14:paraId="786C366A" w14:textId="77777777" w:rsidR="00D44B7C" w:rsidRPr="00F7027D" w:rsidRDefault="00D44B7C" w:rsidP="00D44B7C">
      <w:pPr>
        <w:keepNext/>
        <w:rPr>
          <w:rFonts w:ascii="Arial" w:hAnsi="Arial" w:cs="Arial"/>
          <w:sz w:val="24"/>
          <w:szCs w:val="24"/>
        </w:rPr>
      </w:pPr>
      <w:r w:rsidRPr="000D192F">
        <w:rPr>
          <w:rFonts w:ascii="Arial" w:hAnsi="Arial" w:cs="Arial"/>
          <w:sz w:val="24"/>
          <w:szCs w:val="24"/>
        </w:rPr>
        <w:t>The Bill engages the following sections of the Human Rights Act 2004 (</w:t>
      </w:r>
      <w:r w:rsidRPr="000D192F">
        <w:rPr>
          <w:rFonts w:ascii="Arial" w:hAnsi="Arial" w:cs="Arial"/>
          <w:b/>
          <w:bCs/>
          <w:sz w:val="24"/>
          <w:szCs w:val="24"/>
        </w:rPr>
        <w:t>HRA</w:t>
      </w:r>
      <w:r w:rsidRPr="000D192F">
        <w:rPr>
          <w:rFonts w:ascii="Arial" w:hAnsi="Arial" w:cs="Arial"/>
          <w:sz w:val="24"/>
          <w:szCs w:val="24"/>
        </w:rPr>
        <w:t>)</w:t>
      </w:r>
      <w:r>
        <w:rPr>
          <w:rFonts w:ascii="Arial" w:hAnsi="Arial" w:cs="Arial"/>
          <w:sz w:val="24"/>
          <w:szCs w:val="24"/>
        </w:rPr>
        <w:t>:</w:t>
      </w:r>
    </w:p>
    <w:p w14:paraId="24FF967A" w14:textId="33601F56" w:rsidR="007514D4" w:rsidRPr="00AA6080" w:rsidRDefault="007514D4" w:rsidP="00AA6080">
      <w:pPr>
        <w:pStyle w:val="ListParagraph"/>
        <w:numPr>
          <w:ilvl w:val="0"/>
          <w:numId w:val="11"/>
        </w:numPr>
        <w:spacing w:line="276" w:lineRule="auto"/>
        <w:rPr>
          <w:rFonts w:ascii="Arial" w:hAnsi="Arial" w:cs="Arial"/>
          <w:sz w:val="24"/>
          <w:szCs w:val="24"/>
        </w:rPr>
      </w:pPr>
      <w:r w:rsidRPr="007514D4">
        <w:rPr>
          <w:rFonts w:ascii="Arial" w:hAnsi="Arial" w:cs="Arial"/>
          <w:b/>
          <w:bCs/>
          <w:sz w:val="24"/>
          <w:szCs w:val="24"/>
        </w:rPr>
        <w:t>Section 11</w:t>
      </w:r>
      <w:r>
        <w:rPr>
          <w:rFonts w:ascii="Arial" w:hAnsi="Arial" w:cs="Arial"/>
          <w:sz w:val="24"/>
          <w:szCs w:val="24"/>
        </w:rPr>
        <w:t xml:space="preserve"> – Right to protection of children and family (</w:t>
      </w:r>
      <w:r w:rsidRPr="007514D4">
        <w:rPr>
          <w:rFonts w:ascii="Arial" w:hAnsi="Arial" w:cs="Arial"/>
          <w:i/>
          <w:iCs/>
          <w:sz w:val="24"/>
          <w:szCs w:val="24"/>
        </w:rPr>
        <w:t>promoted</w:t>
      </w:r>
      <w:r>
        <w:rPr>
          <w:rFonts w:ascii="Arial" w:hAnsi="Arial" w:cs="Arial"/>
          <w:sz w:val="24"/>
          <w:szCs w:val="24"/>
        </w:rPr>
        <w:t>)</w:t>
      </w:r>
    </w:p>
    <w:p w14:paraId="2F4A51D8" w14:textId="14109E6F" w:rsidR="00D44B7C" w:rsidRDefault="00D44B7C" w:rsidP="00AA6080">
      <w:pPr>
        <w:pStyle w:val="ListParagraph"/>
        <w:numPr>
          <w:ilvl w:val="0"/>
          <w:numId w:val="11"/>
        </w:numPr>
        <w:spacing w:line="276" w:lineRule="auto"/>
        <w:rPr>
          <w:rFonts w:ascii="Arial" w:hAnsi="Arial" w:cs="Arial"/>
          <w:sz w:val="24"/>
          <w:szCs w:val="24"/>
        </w:rPr>
      </w:pPr>
      <w:r w:rsidRPr="007514D4">
        <w:rPr>
          <w:rFonts w:ascii="Arial" w:hAnsi="Arial" w:cs="Arial"/>
          <w:b/>
          <w:bCs/>
          <w:sz w:val="24"/>
          <w:szCs w:val="24"/>
        </w:rPr>
        <w:t xml:space="preserve">Section </w:t>
      </w:r>
      <w:r w:rsidR="00AA6080" w:rsidRPr="007514D4">
        <w:rPr>
          <w:rFonts w:ascii="Arial" w:hAnsi="Arial" w:cs="Arial"/>
          <w:b/>
          <w:bCs/>
          <w:sz w:val="24"/>
          <w:szCs w:val="24"/>
        </w:rPr>
        <w:t>12</w:t>
      </w:r>
      <w:r w:rsidRPr="00DD553B">
        <w:rPr>
          <w:rFonts w:ascii="Arial" w:hAnsi="Arial" w:cs="Arial"/>
          <w:sz w:val="24"/>
          <w:szCs w:val="24"/>
        </w:rPr>
        <w:t xml:space="preserve"> – Right to </w:t>
      </w:r>
      <w:r w:rsidR="00AA6080">
        <w:rPr>
          <w:rFonts w:ascii="Arial" w:hAnsi="Arial" w:cs="Arial"/>
          <w:sz w:val="24"/>
          <w:szCs w:val="24"/>
        </w:rPr>
        <w:t>privacy and reputation (</w:t>
      </w:r>
      <w:r w:rsidR="00AA6080" w:rsidRPr="00AA6080">
        <w:rPr>
          <w:rFonts w:ascii="Arial" w:hAnsi="Arial" w:cs="Arial"/>
          <w:i/>
          <w:iCs/>
          <w:sz w:val="24"/>
          <w:szCs w:val="24"/>
        </w:rPr>
        <w:t>limited</w:t>
      </w:r>
      <w:r w:rsidR="003F34D3">
        <w:rPr>
          <w:rFonts w:ascii="Arial" w:hAnsi="Arial" w:cs="Arial"/>
          <w:i/>
          <w:iCs/>
          <w:sz w:val="24"/>
          <w:szCs w:val="24"/>
        </w:rPr>
        <w:t xml:space="preserve"> and promoted</w:t>
      </w:r>
      <w:r w:rsidR="00AA6080">
        <w:rPr>
          <w:rFonts w:ascii="Arial" w:hAnsi="Arial" w:cs="Arial"/>
          <w:sz w:val="24"/>
          <w:szCs w:val="24"/>
        </w:rPr>
        <w:t>)</w:t>
      </w:r>
    </w:p>
    <w:p w14:paraId="20D4CC94" w14:textId="77777777" w:rsidR="003F34D3" w:rsidRDefault="003F34D3" w:rsidP="003F34D3">
      <w:pPr>
        <w:pStyle w:val="ListParagraph"/>
        <w:numPr>
          <w:ilvl w:val="0"/>
          <w:numId w:val="11"/>
        </w:numPr>
        <w:spacing w:line="276" w:lineRule="auto"/>
        <w:rPr>
          <w:rFonts w:ascii="Arial" w:hAnsi="Arial" w:cs="Arial"/>
          <w:sz w:val="24"/>
          <w:szCs w:val="24"/>
        </w:rPr>
      </w:pPr>
      <w:r w:rsidRPr="000E62B2">
        <w:rPr>
          <w:rFonts w:ascii="Arial" w:hAnsi="Arial" w:cs="Arial"/>
          <w:b/>
          <w:bCs/>
          <w:sz w:val="24"/>
          <w:szCs w:val="24"/>
        </w:rPr>
        <w:t>Section</w:t>
      </w:r>
      <w:r>
        <w:rPr>
          <w:rFonts w:ascii="Arial" w:hAnsi="Arial" w:cs="Arial"/>
          <w:b/>
          <w:bCs/>
          <w:sz w:val="24"/>
          <w:szCs w:val="24"/>
        </w:rPr>
        <w:t xml:space="preserve"> 16</w:t>
      </w:r>
      <w:r w:rsidRPr="000E62B2">
        <w:rPr>
          <w:rFonts w:ascii="Arial" w:hAnsi="Arial" w:cs="Arial"/>
          <w:b/>
          <w:bCs/>
          <w:sz w:val="24"/>
          <w:szCs w:val="24"/>
        </w:rPr>
        <w:t xml:space="preserve"> </w:t>
      </w:r>
      <w:r>
        <w:rPr>
          <w:rFonts w:ascii="Arial" w:hAnsi="Arial" w:cs="Arial"/>
          <w:sz w:val="24"/>
          <w:szCs w:val="24"/>
        </w:rPr>
        <w:t xml:space="preserve"> </w:t>
      </w:r>
      <w:r w:rsidRPr="00DD553B">
        <w:rPr>
          <w:rFonts w:ascii="Arial" w:hAnsi="Arial" w:cs="Arial"/>
          <w:sz w:val="24"/>
          <w:szCs w:val="24"/>
        </w:rPr>
        <w:t>–</w:t>
      </w:r>
      <w:r>
        <w:rPr>
          <w:rFonts w:ascii="Arial" w:hAnsi="Arial" w:cs="Arial"/>
          <w:sz w:val="24"/>
          <w:szCs w:val="24"/>
        </w:rPr>
        <w:t xml:space="preserve"> Right to freedom of expression (</w:t>
      </w:r>
      <w:r w:rsidRPr="003F34D3">
        <w:rPr>
          <w:rFonts w:ascii="Arial" w:hAnsi="Arial" w:cs="Arial"/>
          <w:i/>
          <w:iCs/>
          <w:sz w:val="24"/>
          <w:szCs w:val="24"/>
        </w:rPr>
        <w:t>limited</w:t>
      </w:r>
      <w:r>
        <w:rPr>
          <w:rFonts w:ascii="Arial" w:hAnsi="Arial" w:cs="Arial"/>
          <w:sz w:val="24"/>
          <w:szCs w:val="24"/>
        </w:rPr>
        <w:t>)</w:t>
      </w:r>
    </w:p>
    <w:p w14:paraId="316B84E7" w14:textId="77777777" w:rsidR="000E62B2" w:rsidRDefault="00AA6080" w:rsidP="000E62B2">
      <w:pPr>
        <w:pStyle w:val="ListParagraph"/>
        <w:numPr>
          <w:ilvl w:val="0"/>
          <w:numId w:val="11"/>
        </w:numPr>
        <w:spacing w:line="276" w:lineRule="auto"/>
        <w:rPr>
          <w:rFonts w:ascii="Arial" w:hAnsi="Arial" w:cs="Arial"/>
          <w:sz w:val="24"/>
          <w:szCs w:val="24"/>
        </w:rPr>
      </w:pPr>
      <w:r w:rsidRPr="007514D4">
        <w:rPr>
          <w:rFonts w:ascii="Arial" w:hAnsi="Arial" w:cs="Arial"/>
          <w:b/>
          <w:bCs/>
          <w:sz w:val="24"/>
          <w:szCs w:val="24"/>
        </w:rPr>
        <w:t>Section 17</w:t>
      </w:r>
      <w:r>
        <w:rPr>
          <w:rFonts w:ascii="Arial" w:hAnsi="Arial" w:cs="Arial"/>
          <w:sz w:val="24"/>
          <w:szCs w:val="24"/>
        </w:rPr>
        <w:t xml:space="preserve"> – </w:t>
      </w:r>
      <w:r w:rsidR="006A3370">
        <w:rPr>
          <w:rFonts w:ascii="Arial" w:hAnsi="Arial" w:cs="Arial"/>
          <w:sz w:val="24"/>
          <w:szCs w:val="24"/>
        </w:rPr>
        <w:t xml:space="preserve">Right to take </w:t>
      </w:r>
      <w:r>
        <w:rPr>
          <w:rFonts w:ascii="Arial" w:hAnsi="Arial" w:cs="Arial"/>
          <w:sz w:val="24"/>
          <w:szCs w:val="24"/>
        </w:rPr>
        <w:t>part in public life (</w:t>
      </w:r>
      <w:r w:rsidRPr="00AA6080">
        <w:rPr>
          <w:rFonts w:ascii="Arial" w:hAnsi="Arial" w:cs="Arial"/>
          <w:i/>
          <w:iCs/>
          <w:sz w:val="24"/>
          <w:szCs w:val="24"/>
        </w:rPr>
        <w:t>promoted</w:t>
      </w:r>
      <w:r>
        <w:rPr>
          <w:rFonts w:ascii="Arial" w:hAnsi="Arial" w:cs="Arial"/>
          <w:sz w:val="24"/>
          <w:szCs w:val="24"/>
        </w:rPr>
        <w:t>)</w:t>
      </w:r>
      <w:r w:rsidR="000E62B2">
        <w:rPr>
          <w:rFonts w:ascii="Arial" w:hAnsi="Arial" w:cs="Arial"/>
          <w:sz w:val="24"/>
          <w:szCs w:val="24"/>
        </w:rPr>
        <w:t xml:space="preserve"> </w:t>
      </w:r>
    </w:p>
    <w:p w14:paraId="59BC0FBF" w14:textId="12E75A91" w:rsidR="00AA6080" w:rsidRPr="00AA6080" w:rsidRDefault="00AA6080" w:rsidP="00AA6080">
      <w:pPr>
        <w:pStyle w:val="ListParagraph"/>
        <w:numPr>
          <w:ilvl w:val="0"/>
          <w:numId w:val="11"/>
        </w:numPr>
        <w:spacing w:line="276" w:lineRule="auto"/>
        <w:rPr>
          <w:rFonts w:ascii="Arial" w:hAnsi="Arial" w:cs="Arial"/>
          <w:sz w:val="24"/>
          <w:szCs w:val="24"/>
        </w:rPr>
      </w:pPr>
      <w:r w:rsidRPr="007514D4">
        <w:rPr>
          <w:rFonts w:ascii="Arial" w:hAnsi="Arial" w:cs="Arial"/>
          <w:b/>
          <w:bCs/>
          <w:sz w:val="24"/>
          <w:szCs w:val="24"/>
        </w:rPr>
        <w:t>Section 21</w:t>
      </w:r>
      <w:r>
        <w:rPr>
          <w:rFonts w:ascii="Arial" w:hAnsi="Arial" w:cs="Arial"/>
          <w:sz w:val="24"/>
          <w:szCs w:val="24"/>
        </w:rPr>
        <w:t xml:space="preserve"> – </w:t>
      </w:r>
      <w:r w:rsidR="00124DB4">
        <w:rPr>
          <w:rFonts w:ascii="Arial" w:hAnsi="Arial" w:cs="Arial"/>
          <w:sz w:val="24"/>
          <w:szCs w:val="24"/>
        </w:rPr>
        <w:t>Right to a f</w:t>
      </w:r>
      <w:r>
        <w:rPr>
          <w:rFonts w:ascii="Arial" w:hAnsi="Arial" w:cs="Arial"/>
          <w:sz w:val="24"/>
          <w:szCs w:val="24"/>
        </w:rPr>
        <w:t>air trial (</w:t>
      </w:r>
      <w:r w:rsidRPr="00AA6080">
        <w:rPr>
          <w:rFonts w:ascii="Arial" w:hAnsi="Arial" w:cs="Arial"/>
          <w:i/>
          <w:iCs/>
          <w:sz w:val="24"/>
          <w:szCs w:val="24"/>
        </w:rPr>
        <w:t>limited</w:t>
      </w:r>
      <w:r w:rsidR="003F34D3">
        <w:rPr>
          <w:rFonts w:ascii="Arial" w:hAnsi="Arial" w:cs="Arial"/>
          <w:i/>
          <w:iCs/>
          <w:sz w:val="24"/>
          <w:szCs w:val="24"/>
        </w:rPr>
        <w:t xml:space="preserve"> and promoted</w:t>
      </w:r>
      <w:r>
        <w:rPr>
          <w:rFonts w:ascii="Arial" w:hAnsi="Arial" w:cs="Arial"/>
          <w:sz w:val="24"/>
          <w:szCs w:val="24"/>
        </w:rPr>
        <w:t>)</w:t>
      </w:r>
    </w:p>
    <w:p w14:paraId="074018AB" w14:textId="757F98D3" w:rsidR="00AA6080" w:rsidRPr="00D44B7C" w:rsidRDefault="00AA6080" w:rsidP="00AA6080">
      <w:pPr>
        <w:pStyle w:val="ListParagraph"/>
        <w:numPr>
          <w:ilvl w:val="0"/>
          <w:numId w:val="11"/>
        </w:numPr>
        <w:spacing w:line="276" w:lineRule="auto"/>
        <w:rPr>
          <w:rFonts w:ascii="Arial" w:hAnsi="Arial" w:cs="Arial"/>
          <w:sz w:val="24"/>
          <w:szCs w:val="24"/>
        </w:rPr>
      </w:pPr>
      <w:r w:rsidRPr="007514D4">
        <w:rPr>
          <w:rFonts w:ascii="Arial" w:hAnsi="Arial" w:cs="Arial"/>
          <w:b/>
          <w:bCs/>
          <w:sz w:val="24"/>
          <w:szCs w:val="24"/>
        </w:rPr>
        <w:t>Section 27</w:t>
      </w:r>
      <w:r>
        <w:rPr>
          <w:rFonts w:ascii="Arial" w:hAnsi="Arial" w:cs="Arial"/>
          <w:sz w:val="24"/>
          <w:szCs w:val="24"/>
        </w:rPr>
        <w:t xml:space="preserve"> – Cultural and other rights of Aboriginal and Torres Strait Islander peoples and other minorities (</w:t>
      </w:r>
      <w:r w:rsidRPr="00AA6080">
        <w:rPr>
          <w:rFonts w:ascii="Arial" w:hAnsi="Arial" w:cs="Arial"/>
          <w:i/>
          <w:iCs/>
          <w:sz w:val="24"/>
          <w:szCs w:val="24"/>
        </w:rPr>
        <w:t>promoted</w:t>
      </w:r>
      <w:r>
        <w:rPr>
          <w:rFonts w:ascii="Arial" w:hAnsi="Arial" w:cs="Arial"/>
          <w:sz w:val="24"/>
          <w:szCs w:val="24"/>
        </w:rPr>
        <w:t>)</w:t>
      </w:r>
    </w:p>
    <w:p w14:paraId="191375CD" w14:textId="77777777" w:rsidR="00D44B7C" w:rsidRPr="00D44B7C" w:rsidRDefault="00D44B7C" w:rsidP="00D44B7C">
      <w:pPr>
        <w:pStyle w:val="ListParagraph"/>
        <w:spacing w:line="276" w:lineRule="auto"/>
        <w:rPr>
          <w:rFonts w:ascii="Arial" w:hAnsi="Arial" w:cs="Arial"/>
          <w:sz w:val="24"/>
          <w:szCs w:val="24"/>
        </w:rPr>
      </w:pPr>
    </w:p>
    <w:p w14:paraId="774721D1" w14:textId="47C2183F" w:rsidR="00E90DF9" w:rsidRPr="00BC3EF0" w:rsidRDefault="00E90DF9" w:rsidP="00E90DF9">
      <w:pPr>
        <w:rPr>
          <w:rFonts w:ascii="Arial" w:hAnsi="Arial" w:cs="Arial"/>
          <w:b/>
          <w:bCs/>
          <w:i/>
          <w:sz w:val="24"/>
          <w:szCs w:val="24"/>
        </w:rPr>
      </w:pPr>
      <w:r w:rsidRPr="00BC3EF0">
        <w:rPr>
          <w:rFonts w:ascii="Arial" w:hAnsi="Arial" w:cs="Arial"/>
          <w:b/>
          <w:bCs/>
          <w:i/>
          <w:sz w:val="24"/>
          <w:szCs w:val="24"/>
        </w:rPr>
        <w:t xml:space="preserve">Rights </w:t>
      </w:r>
      <w:r w:rsidR="000A624B">
        <w:rPr>
          <w:rFonts w:ascii="Arial" w:hAnsi="Arial" w:cs="Arial"/>
          <w:b/>
          <w:bCs/>
          <w:i/>
          <w:sz w:val="24"/>
          <w:szCs w:val="24"/>
        </w:rPr>
        <w:t>p</w:t>
      </w:r>
      <w:r w:rsidRPr="00BC3EF0">
        <w:rPr>
          <w:rFonts w:ascii="Arial" w:hAnsi="Arial" w:cs="Arial"/>
          <w:b/>
          <w:bCs/>
          <w:i/>
          <w:sz w:val="24"/>
          <w:szCs w:val="24"/>
        </w:rPr>
        <w:t>romoted</w:t>
      </w:r>
    </w:p>
    <w:p w14:paraId="5FBEF304" w14:textId="461D54C0" w:rsidR="00CB2B8E" w:rsidRDefault="00CB2B8E" w:rsidP="00E90DF9">
      <w:pPr>
        <w:rPr>
          <w:rFonts w:ascii="Arial" w:hAnsi="Arial" w:cs="Arial"/>
          <w:iCs/>
          <w:sz w:val="24"/>
          <w:szCs w:val="24"/>
        </w:rPr>
      </w:pPr>
      <w:r>
        <w:rPr>
          <w:rFonts w:ascii="Arial" w:hAnsi="Arial" w:cs="Arial"/>
          <w:iCs/>
          <w:sz w:val="24"/>
          <w:szCs w:val="24"/>
        </w:rPr>
        <w:t xml:space="preserve">The amendments to the </w:t>
      </w:r>
      <w:r w:rsidRPr="00192E5A">
        <w:rPr>
          <w:rFonts w:ascii="Arial" w:hAnsi="Arial" w:cs="Arial"/>
          <w:i/>
          <w:sz w:val="24"/>
          <w:szCs w:val="24"/>
        </w:rPr>
        <w:t>Aboriginal and Torres Strait Islander Children and Young People Commissioner Act 2022</w:t>
      </w:r>
      <w:r>
        <w:rPr>
          <w:rFonts w:ascii="Arial" w:hAnsi="Arial" w:cs="Arial"/>
          <w:iCs/>
          <w:sz w:val="24"/>
          <w:szCs w:val="24"/>
        </w:rPr>
        <w:t xml:space="preserve"> and </w:t>
      </w:r>
      <w:r w:rsidRPr="00192E5A">
        <w:rPr>
          <w:rFonts w:ascii="Arial" w:hAnsi="Arial" w:cs="Arial"/>
          <w:i/>
          <w:sz w:val="24"/>
          <w:szCs w:val="24"/>
        </w:rPr>
        <w:t>Custodial Inspector Act 2017</w:t>
      </w:r>
      <w:r>
        <w:rPr>
          <w:rFonts w:ascii="Arial" w:hAnsi="Arial" w:cs="Arial"/>
          <w:iCs/>
          <w:sz w:val="24"/>
          <w:szCs w:val="24"/>
        </w:rPr>
        <w:t xml:space="preserve"> will promote Aboriginal and Torres Strait Islander cultural rights (section 27 HRA) and the right to protection of children and the family (section 11 HRA). The amendments will ensure that when matters of concern or overlapping jurisdiction occur (for example, in relation to Aboriginal and Torres Strait Islander young people at Bimberi Youth Justice Centre or Aboriginal and Torres Strait Islander parents at the A</w:t>
      </w:r>
      <w:r w:rsidR="00B81C82">
        <w:rPr>
          <w:rFonts w:ascii="Arial" w:hAnsi="Arial" w:cs="Arial"/>
          <w:iCs/>
          <w:sz w:val="24"/>
          <w:szCs w:val="24"/>
        </w:rPr>
        <w:t>lexander Maconochie Centre</w:t>
      </w:r>
      <w:r w:rsidR="000D007C">
        <w:rPr>
          <w:rFonts w:ascii="Arial" w:hAnsi="Arial" w:cs="Arial"/>
          <w:iCs/>
          <w:sz w:val="24"/>
          <w:szCs w:val="24"/>
        </w:rPr>
        <w:t>)</w:t>
      </w:r>
      <w:r>
        <w:rPr>
          <w:rFonts w:ascii="Arial" w:hAnsi="Arial" w:cs="Arial"/>
          <w:iCs/>
          <w:sz w:val="24"/>
          <w:szCs w:val="24"/>
        </w:rPr>
        <w:t>, the Office of the ACT Inspector of Custodial Services (OICS) and the ACT National Preventive Mechanism (NPM) can effectively cooperate and share information with the Aboriginal and Torres Strait Islander Children and Young People Commissioner to enable the effective investigation and review of these matters.</w:t>
      </w:r>
    </w:p>
    <w:p w14:paraId="625D9589" w14:textId="34674E44" w:rsidR="00CB2B8E" w:rsidRDefault="00CB2B8E" w:rsidP="00E90DF9">
      <w:pPr>
        <w:rPr>
          <w:rFonts w:ascii="Arial" w:hAnsi="Arial" w:cs="Arial"/>
          <w:iCs/>
          <w:sz w:val="24"/>
          <w:szCs w:val="24"/>
        </w:rPr>
      </w:pPr>
      <w:r>
        <w:rPr>
          <w:rFonts w:ascii="Arial" w:hAnsi="Arial" w:cs="Arial"/>
          <w:iCs/>
          <w:sz w:val="24"/>
          <w:szCs w:val="24"/>
        </w:rPr>
        <w:t>The amendment to the Electoral Act 1992 will promote the right to take part in public life (section 17 HRA), by providing for stronger regulation</w:t>
      </w:r>
      <w:r w:rsidR="00C64AAA">
        <w:rPr>
          <w:rFonts w:ascii="Arial" w:hAnsi="Arial" w:cs="Arial"/>
          <w:iCs/>
          <w:sz w:val="24"/>
          <w:szCs w:val="24"/>
        </w:rPr>
        <w:t xml:space="preserve"> and transparency</w:t>
      </w:r>
      <w:r>
        <w:rPr>
          <w:rFonts w:ascii="Arial" w:hAnsi="Arial" w:cs="Arial"/>
          <w:iCs/>
          <w:sz w:val="24"/>
          <w:szCs w:val="24"/>
        </w:rPr>
        <w:t xml:space="preserve"> of gifts in the context of our electoral system. This will ensure that entities participating in democratic processes are more transparent and accountable, supporting proper elections in the ACT.</w:t>
      </w:r>
    </w:p>
    <w:p w14:paraId="0AF2CE65" w14:textId="77777777" w:rsidR="005B5584" w:rsidRPr="005B5584" w:rsidRDefault="005B5584" w:rsidP="005B5584">
      <w:pPr>
        <w:rPr>
          <w:rFonts w:ascii="Arial" w:hAnsi="Arial" w:cs="Arial"/>
          <w:sz w:val="24"/>
          <w:szCs w:val="24"/>
        </w:rPr>
      </w:pPr>
      <w:r w:rsidRPr="005B5584">
        <w:rPr>
          <w:rFonts w:ascii="Arial" w:hAnsi="Arial" w:cs="Arial"/>
          <w:sz w:val="24"/>
          <w:szCs w:val="24"/>
        </w:rPr>
        <w:t xml:space="preserve">The amendments to sections 4, 14(1), 17, 38(3) and 38A of the </w:t>
      </w:r>
      <w:r w:rsidRPr="005B5584">
        <w:rPr>
          <w:rFonts w:ascii="Arial" w:hAnsi="Arial" w:cs="Arial"/>
          <w:i/>
          <w:iCs/>
          <w:sz w:val="24"/>
          <w:szCs w:val="24"/>
        </w:rPr>
        <w:t>Inquiries Act 1991</w:t>
      </w:r>
      <w:r w:rsidRPr="005B5584">
        <w:rPr>
          <w:rFonts w:ascii="Arial" w:hAnsi="Arial" w:cs="Arial"/>
          <w:sz w:val="24"/>
          <w:szCs w:val="24"/>
        </w:rPr>
        <w:t xml:space="preserve"> will promote the Right to Privacy and Reputation (section 12, HRA) by enhancing confidentiality of information shared by witnesses during proceedings of a Board of Inquiry, clarifying conditions for publication of inquiry reports, as well as by strengthening compliance with information management standards including the </w:t>
      </w:r>
      <w:r w:rsidRPr="005B5584">
        <w:rPr>
          <w:rFonts w:ascii="Arial" w:hAnsi="Arial" w:cs="Arial"/>
          <w:i/>
          <w:iCs/>
          <w:sz w:val="24"/>
          <w:szCs w:val="24"/>
        </w:rPr>
        <w:t>Territory Records Act 2002</w:t>
      </w:r>
      <w:r w:rsidRPr="005B5584">
        <w:rPr>
          <w:rFonts w:ascii="Arial" w:hAnsi="Arial" w:cs="Arial"/>
          <w:sz w:val="24"/>
          <w:szCs w:val="24"/>
        </w:rPr>
        <w:t xml:space="preserve">. </w:t>
      </w:r>
    </w:p>
    <w:p w14:paraId="1FE4BBC1" w14:textId="77777777" w:rsidR="005B5584" w:rsidRPr="005B5584" w:rsidRDefault="005B5584" w:rsidP="005B5584">
      <w:pPr>
        <w:rPr>
          <w:rFonts w:ascii="Arial" w:hAnsi="Arial" w:cs="Arial"/>
          <w:sz w:val="24"/>
          <w:szCs w:val="24"/>
          <w:lang w:val="en-GB"/>
        </w:rPr>
      </w:pPr>
      <w:r w:rsidRPr="005B5584">
        <w:rPr>
          <w:rFonts w:ascii="Arial" w:hAnsi="Arial" w:cs="Arial"/>
          <w:sz w:val="24"/>
          <w:szCs w:val="24"/>
        </w:rPr>
        <w:lastRenderedPageBreak/>
        <w:t xml:space="preserve">Amendments to section 26A of the Inquiries Act relating to adverse comments, including the amount of time provided to witnesses to respond, will promote the Right to a Fair Trial (section 21, HRA).  Amendments relating to proposed adverse comments in reports will also promote the Right to Privacy and Reputation (section 12, HRA) by </w:t>
      </w:r>
      <w:r w:rsidRPr="005B5584">
        <w:rPr>
          <w:rFonts w:ascii="Arial" w:eastAsia="Aptos" w:hAnsi="Arial" w:cs="Arial"/>
          <w:sz w:val="24"/>
          <w:szCs w:val="24"/>
        </w:rPr>
        <w:t>ensuring that, if a comment is not included in the report, no other material that</w:t>
      </w:r>
      <w:r w:rsidRPr="005B5584">
        <w:rPr>
          <w:rFonts w:ascii="Arial" w:hAnsi="Arial" w:cs="Arial"/>
          <w:sz w:val="24"/>
          <w:szCs w:val="24"/>
        </w:rPr>
        <w:t xml:space="preserve"> </w:t>
      </w:r>
      <w:r w:rsidRPr="005B5584">
        <w:rPr>
          <w:rFonts w:ascii="Arial" w:eastAsia="Aptos" w:hAnsi="Arial" w:cs="Arial"/>
          <w:sz w:val="24"/>
          <w:szCs w:val="24"/>
        </w:rPr>
        <w:t>would disclose the fact that a notice was given in relation to the comment will be included either</w:t>
      </w:r>
      <w:r w:rsidRPr="005B5584">
        <w:rPr>
          <w:rFonts w:ascii="Arial" w:hAnsi="Arial" w:cs="Arial"/>
          <w:sz w:val="24"/>
          <w:szCs w:val="24"/>
        </w:rPr>
        <w:t xml:space="preserve">. Thereby, the assurances of confidentiality of comments are expanded. </w:t>
      </w:r>
    </w:p>
    <w:p w14:paraId="05EA8434" w14:textId="77777777" w:rsidR="009E665E" w:rsidRPr="002D028C" w:rsidRDefault="009E665E" w:rsidP="00E90DF9">
      <w:pPr>
        <w:rPr>
          <w:rFonts w:ascii="Arial" w:hAnsi="Arial" w:cs="Arial"/>
          <w:i/>
          <w:sz w:val="24"/>
          <w:szCs w:val="24"/>
        </w:rPr>
      </w:pPr>
    </w:p>
    <w:p w14:paraId="05731F59" w14:textId="62C26727" w:rsidR="00CB2B8E" w:rsidRDefault="00E90DF9" w:rsidP="00E90DF9">
      <w:pPr>
        <w:rPr>
          <w:rFonts w:ascii="Arial" w:hAnsi="Arial" w:cs="Arial"/>
          <w:b/>
          <w:bCs/>
          <w:i/>
          <w:sz w:val="24"/>
          <w:szCs w:val="24"/>
        </w:rPr>
      </w:pPr>
      <w:r w:rsidRPr="00BC3EF0">
        <w:rPr>
          <w:rFonts w:ascii="Arial" w:hAnsi="Arial" w:cs="Arial"/>
          <w:b/>
          <w:bCs/>
          <w:i/>
          <w:sz w:val="24"/>
          <w:szCs w:val="24"/>
        </w:rPr>
        <w:t xml:space="preserve">Rights </w:t>
      </w:r>
      <w:r w:rsidR="000A624B">
        <w:rPr>
          <w:rFonts w:ascii="Arial" w:hAnsi="Arial" w:cs="Arial"/>
          <w:b/>
          <w:bCs/>
          <w:i/>
          <w:sz w:val="24"/>
          <w:szCs w:val="24"/>
        </w:rPr>
        <w:t>l</w:t>
      </w:r>
      <w:r w:rsidRPr="00BC3EF0">
        <w:rPr>
          <w:rFonts w:ascii="Arial" w:hAnsi="Arial" w:cs="Arial"/>
          <w:b/>
          <w:bCs/>
          <w:i/>
          <w:sz w:val="24"/>
          <w:szCs w:val="24"/>
        </w:rPr>
        <w:t>imited</w:t>
      </w:r>
    </w:p>
    <w:p w14:paraId="259629B1" w14:textId="7D8122FD" w:rsidR="00CB2B8E" w:rsidRDefault="00CB2B8E" w:rsidP="00E90DF9">
      <w:pPr>
        <w:rPr>
          <w:rFonts w:ascii="Arial" w:hAnsi="Arial" w:cs="Arial"/>
          <w:i/>
          <w:sz w:val="24"/>
          <w:szCs w:val="24"/>
          <w:u w:val="single"/>
        </w:rPr>
      </w:pPr>
      <w:r w:rsidRPr="00CB2B8E">
        <w:rPr>
          <w:rFonts w:ascii="Arial" w:hAnsi="Arial" w:cs="Arial"/>
          <w:iCs/>
          <w:sz w:val="24"/>
          <w:szCs w:val="24"/>
          <w:u w:val="single"/>
        </w:rPr>
        <w:t xml:space="preserve">Section 12 HRA – Right to Privacy – Amendments to </w:t>
      </w:r>
      <w:r w:rsidRPr="00CB2B8E">
        <w:rPr>
          <w:rFonts w:ascii="Arial" w:hAnsi="Arial" w:cs="Arial"/>
          <w:i/>
          <w:sz w:val="24"/>
          <w:szCs w:val="24"/>
          <w:u w:val="single"/>
        </w:rPr>
        <w:t>Aboriginal and Torres Strait Islander Children and Young People Commissioner Act 2022</w:t>
      </w:r>
      <w:r w:rsidRPr="00CB2B8E">
        <w:rPr>
          <w:rFonts w:ascii="Arial" w:hAnsi="Arial" w:cs="Arial"/>
          <w:iCs/>
          <w:sz w:val="24"/>
          <w:szCs w:val="24"/>
          <w:u w:val="single"/>
        </w:rPr>
        <w:t xml:space="preserve"> and </w:t>
      </w:r>
      <w:r w:rsidRPr="00CB2B8E">
        <w:rPr>
          <w:rFonts w:ascii="Arial" w:hAnsi="Arial" w:cs="Arial"/>
          <w:i/>
          <w:sz w:val="24"/>
          <w:szCs w:val="24"/>
          <w:u w:val="single"/>
        </w:rPr>
        <w:t xml:space="preserve">Custodial Inspector Act 2017 </w:t>
      </w:r>
    </w:p>
    <w:p w14:paraId="39978987" w14:textId="063C81E0" w:rsidR="00E90DF9" w:rsidRPr="00414921" w:rsidRDefault="00E90DF9" w:rsidP="00E90DF9">
      <w:pPr>
        <w:pStyle w:val="ListParagraph"/>
        <w:numPr>
          <w:ilvl w:val="0"/>
          <w:numId w:val="1"/>
        </w:numPr>
        <w:rPr>
          <w:rFonts w:ascii="Arial" w:hAnsi="Arial" w:cs="Arial"/>
          <w:b/>
          <w:bCs/>
          <w:i/>
          <w:sz w:val="24"/>
          <w:szCs w:val="24"/>
        </w:rPr>
      </w:pPr>
      <w:r w:rsidRPr="00414921">
        <w:rPr>
          <w:rFonts w:ascii="Arial" w:hAnsi="Arial" w:cs="Arial"/>
          <w:b/>
          <w:bCs/>
          <w:i/>
          <w:sz w:val="24"/>
          <w:szCs w:val="24"/>
        </w:rPr>
        <w:t>Nature of the right and the limitation (s28</w:t>
      </w:r>
      <w:r w:rsidR="008E12F9">
        <w:rPr>
          <w:rFonts w:ascii="Arial" w:hAnsi="Arial" w:cs="Arial"/>
          <w:b/>
          <w:bCs/>
          <w:i/>
          <w:sz w:val="24"/>
          <w:szCs w:val="24"/>
        </w:rPr>
        <w:t>(2)</w:t>
      </w:r>
      <w:r w:rsidRPr="00414921">
        <w:rPr>
          <w:rFonts w:ascii="Arial" w:hAnsi="Arial" w:cs="Arial"/>
          <w:b/>
          <w:bCs/>
          <w:i/>
          <w:sz w:val="24"/>
          <w:szCs w:val="24"/>
        </w:rPr>
        <w:t>(a) and</w:t>
      </w:r>
      <w:r>
        <w:rPr>
          <w:rFonts w:ascii="Arial" w:hAnsi="Arial" w:cs="Arial"/>
          <w:b/>
          <w:bCs/>
          <w:i/>
          <w:sz w:val="24"/>
          <w:szCs w:val="24"/>
        </w:rPr>
        <w:t xml:space="preserve"> </w:t>
      </w:r>
      <w:r w:rsidRPr="00414921">
        <w:rPr>
          <w:rFonts w:ascii="Arial" w:hAnsi="Arial" w:cs="Arial"/>
          <w:b/>
          <w:bCs/>
          <w:i/>
          <w:sz w:val="24"/>
          <w:szCs w:val="24"/>
        </w:rPr>
        <w:t>(c))</w:t>
      </w:r>
    </w:p>
    <w:p w14:paraId="0583DAB6" w14:textId="77777777" w:rsidR="00E90DF9" w:rsidRPr="002D028C" w:rsidRDefault="00E90DF9" w:rsidP="00E90DF9">
      <w:pPr>
        <w:pStyle w:val="ListParagraph"/>
        <w:ind w:left="360"/>
        <w:rPr>
          <w:rFonts w:ascii="Arial" w:hAnsi="Arial" w:cs="Arial"/>
          <w:i/>
          <w:sz w:val="24"/>
          <w:szCs w:val="24"/>
        </w:rPr>
      </w:pPr>
    </w:p>
    <w:p w14:paraId="2984E514" w14:textId="77777777" w:rsidR="00785325" w:rsidRDefault="00174EE4" w:rsidP="00785325">
      <w:pPr>
        <w:pStyle w:val="ListParagraph"/>
        <w:spacing w:line="276" w:lineRule="auto"/>
        <w:ind w:left="360"/>
        <w:rPr>
          <w:rFonts w:ascii="Arial" w:hAnsi="Arial" w:cs="Arial"/>
          <w:iCs/>
          <w:sz w:val="24"/>
          <w:szCs w:val="24"/>
        </w:rPr>
      </w:pPr>
      <w:r w:rsidRPr="00CB6930">
        <w:rPr>
          <w:rFonts w:ascii="Arial" w:hAnsi="Arial" w:cs="Arial"/>
          <w:iCs/>
          <w:sz w:val="24"/>
          <w:szCs w:val="24"/>
        </w:rPr>
        <w:t>The right to privacy provides that everyone has the right not to have their privacy, family, home or correspondence inferred with unlawfully or arbitrarily.</w:t>
      </w:r>
      <w:r w:rsidR="00785325">
        <w:rPr>
          <w:rFonts w:ascii="Arial" w:hAnsi="Arial" w:cs="Arial"/>
          <w:iCs/>
          <w:sz w:val="24"/>
          <w:szCs w:val="24"/>
        </w:rPr>
        <w:t xml:space="preserve"> The amendment provides that the Aboriginal and Torres Strait Islander Children and Young People Commissioner may disclose to an information sharing entity any information that has been disclosed to, or obtained by, the commissioner in the exercised of a function under the Act. The Commissioner may do so if reasonably satisfied the information is relevant to the exercise of the entity’s functions, and if the individual has given consent for the sharing of their personal information. </w:t>
      </w:r>
    </w:p>
    <w:p w14:paraId="38DB061E" w14:textId="3144234C" w:rsidR="00E90DF9" w:rsidRPr="00E97C79" w:rsidRDefault="00785325" w:rsidP="00B9578F">
      <w:pPr>
        <w:pStyle w:val="ListParagraph"/>
        <w:spacing w:line="276" w:lineRule="auto"/>
        <w:ind w:left="360"/>
        <w:rPr>
          <w:rFonts w:ascii="Arial" w:hAnsi="Arial" w:cs="Arial"/>
          <w:iCs/>
          <w:sz w:val="24"/>
          <w:szCs w:val="24"/>
        </w:rPr>
      </w:pPr>
      <w:r>
        <w:rPr>
          <w:rFonts w:ascii="Arial" w:hAnsi="Arial" w:cs="Arial"/>
          <w:iCs/>
          <w:sz w:val="24"/>
          <w:szCs w:val="24"/>
        </w:rPr>
        <w:t>The amendment also provides that the Commission may disclose personal information about an individual to an information sharing entity without the individual’s consent if the Commissioner believes on reasonable grounds that the disclosure is necessary</w:t>
      </w:r>
      <w:r w:rsidR="00B9578F">
        <w:rPr>
          <w:rFonts w:ascii="Arial" w:hAnsi="Arial" w:cs="Arial"/>
          <w:iCs/>
          <w:sz w:val="24"/>
          <w:szCs w:val="24"/>
        </w:rPr>
        <w:t xml:space="preserve"> to ensure that a coordinated approach or effective advocacy is able to be undertaken in relation to an Aboriginal or Torres Strait Islander child or young person.</w:t>
      </w:r>
      <w:r w:rsidR="003A6311" w:rsidRPr="00E97C79">
        <w:rPr>
          <w:rFonts w:ascii="Arial" w:hAnsi="Arial" w:cs="Arial"/>
          <w:iCs/>
          <w:sz w:val="24"/>
          <w:szCs w:val="24"/>
        </w:rPr>
        <w:t xml:space="preserve"> </w:t>
      </w:r>
      <w:r w:rsidR="00B9578F">
        <w:rPr>
          <w:rFonts w:ascii="Arial" w:hAnsi="Arial" w:cs="Arial"/>
          <w:iCs/>
          <w:sz w:val="24"/>
          <w:szCs w:val="24"/>
        </w:rPr>
        <w:t>B</w:t>
      </w:r>
      <w:r w:rsidR="00E64C29" w:rsidRPr="00E97C79">
        <w:rPr>
          <w:rFonts w:ascii="Arial" w:hAnsi="Arial" w:cs="Arial"/>
          <w:iCs/>
          <w:sz w:val="24"/>
          <w:szCs w:val="24"/>
        </w:rPr>
        <w:t>y allowing for the sharing of personal information without consent</w:t>
      </w:r>
      <w:r w:rsidR="00B9578F">
        <w:rPr>
          <w:rFonts w:ascii="Arial" w:hAnsi="Arial" w:cs="Arial"/>
          <w:iCs/>
          <w:sz w:val="24"/>
          <w:szCs w:val="24"/>
        </w:rPr>
        <w:t>, the amendment limits the right to privacy.</w:t>
      </w:r>
    </w:p>
    <w:p w14:paraId="7EC2D948" w14:textId="77777777" w:rsidR="003A6311" w:rsidRPr="003A6311" w:rsidRDefault="003A6311" w:rsidP="003A6311">
      <w:pPr>
        <w:pStyle w:val="ListParagraph"/>
        <w:spacing w:line="276" w:lineRule="auto"/>
        <w:ind w:left="360"/>
        <w:rPr>
          <w:rFonts w:ascii="Arial" w:hAnsi="Arial" w:cs="Arial"/>
          <w:iCs/>
          <w:sz w:val="24"/>
          <w:szCs w:val="24"/>
        </w:rPr>
      </w:pPr>
    </w:p>
    <w:p w14:paraId="45867F3F" w14:textId="6D6AE7F6" w:rsidR="00E90DF9" w:rsidRPr="00414921" w:rsidRDefault="00E90DF9" w:rsidP="00E90DF9">
      <w:pPr>
        <w:pStyle w:val="ListParagraph"/>
        <w:numPr>
          <w:ilvl w:val="0"/>
          <w:numId w:val="1"/>
        </w:numPr>
        <w:rPr>
          <w:rFonts w:ascii="Arial" w:hAnsi="Arial" w:cs="Arial"/>
          <w:b/>
          <w:bCs/>
          <w:i/>
          <w:sz w:val="24"/>
          <w:szCs w:val="24"/>
        </w:rPr>
      </w:pPr>
      <w:r w:rsidRPr="00414921">
        <w:rPr>
          <w:rFonts w:ascii="Arial" w:hAnsi="Arial" w:cs="Arial"/>
          <w:b/>
          <w:bCs/>
          <w:i/>
          <w:sz w:val="24"/>
          <w:szCs w:val="24"/>
        </w:rPr>
        <w:t>Legitimate purpose (s28</w:t>
      </w:r>
      <w:r w:rsidR="008E12F9">
        <w:rPr>
          <w:rFonts w:ascii="Arial" w:hAnsi="Arial" w:cs="Arial"/>
          <w:b/>
          <w:bCs/>
          <w:i/>
          <w:sz w:val="24"/>
          <w:szCs w:val="24"/>
        </w:rPr>
        <w:t>(2)</w:t>
      </w:r>
      <w:r w:rsidRPr="00414921">
        <w:rPr>
          <w:rFonts w:ascii="Arial" w:hAnsi="Arial" w:cs="Arial"/>
          <w:b/>
          <w:bCs/>
          <w:i/>
          <w:sz w:val="24"/>
          <w:szCs w:val="24"/>
        </w:rPr>
        <w:t>(b))</w:t>
      </w:r>
    </w:p>
    <w:p w14:paraId="53CC5F44" w14:textId="77777777" w:rsidR="00E90DF9" w:rsidRPr="002D028C" w:rsidRDefault="00E90DF9" w:rsidP="00E90DF9">
      <w:pPr>
        <w:pStyle w:val="ListParagraph"/>
        <w:ind w:left="360"/>
        <w:rPr>
          <w:rFonts w:ascii="Arial" w:hAnsi="Arial" w:cs="Arial"/>
          <w:i/>
          <w:sz w:val="24"/>
          <w:szCs w:val="24"/>
        </w:rPr>
      </w:pPr>
    </w:p>
    <w:p w14:paraId="4C169635" w14:textId="07DFEC0E" w:rsidR="00DA17D2" w:rsidRDefault="00C64AAA" w:rsidP="003A6311">
      <w:pPr>
        <w:pStyle w:val="ListParagraph"/>
        <w:spacing w:line="276" w:lineRule="auto"/>
        <w:ind w:left="360"/>
        <w:rPr>
          <w:rFonts w:ascii="Arial" w:hAnsi="Arial" w:cs="Arial"/>
          <w:sz w:val="24"/>
          <w:szCs w:val="24"/>
        </w:rPr>
      </w:pPr>
      <w:r>
        <w:rPr>
          <w:rFonts w:ascii="Arial" w:eastAsia="Calibri" w:hAnsi="Arial" w:cs="Arial"/>
          <w:color w:val="000000" w:themeColor="text1"/>
          <w:sz w:val="24"/>
        </w:rPr>
        <w:t>T</w:t>
      </w:r>
      <w:r w:rsidR="00DA17D2">
        <w:rPr>
          <w:rFonts w:ascii="Arial" w:eastAsia="Calibri" w:hAnsi="Arial" w:cs="Arial"/>
          <w:color w:val="000000" w:themeColor="text1"/>
          <w:sz w:val="24"/>
        </w:rPr>
        <w:t xml:space="preserve">he </w:t>
      </w:r>
      <w:r w:rsidR="00DA17D2" w:rsidRPr="08B69F05">
        <w:rPr>
          <w:rFonts w:ascii="Arial" w:hAnsi="Arial" w:cs="Arial"/>
          <w:sz w:val="24"/>
          <w:szCs w:val="24"/>
        </w:rPr>
        <w:t>legitimate purpose of the amendment is to better facilitate information sharing</w:t>
      </w:r>
      <w:r w:rsidR="00B407E7">
        <w:rPr>
          <w:rFonts w:ascii="Arial" w:hAnsi="Arial" w:cs="Arial"/>
          <w:sz w:val="24"/>
          <w:szCs w:val="24"/>
        </w:rPr>
        <w:t xml:space="preserve"> to</w:t>
      </w:r>
      <w:r w:rsidR="00DA17D2">
        <w:rPr>
          <w:rFonts w:ascii="Arial" w:hAnsi="Arial" w:cs="Arial"/>
          <w:sz w:val="24"/>
          <w:szCs w:val="24"/>
        </w:rPr>
        <w:t xml:space="preserve"> ensure that when matters of concern or overlapping jurisdiction occur</w:t>
      </w:r>
      <w:r w:rsidR="00B9578F">
        <w:rPr>
          <w:rFonts w:ascii="Arial" w:hAnsi="Arial" w:cs="Arial"/>
          <w:sz w:val="24"/>
          <w:szCs w:val="24"/>
        </w:rPr>
        <w:t xml:space="preserve">, </w:t>
      </w:r>
      <w:r w:rsidR="00B9578F">
        <w:rPr>
          <w:rFonts w:ascii="Arial" w:hAnsi="Arial" w:cs="Arial"/>
          <w:iCs/>
          <w:sz w:val="24"/>
          <w:szCs w:val="24"/>
        </w:rPr>
        <w:t>(for example, in relation to Aboriginal and Torres Strait Islander young people at Bimberi Youth Justice Centre or Aboriginal and Torres Strait Islander parents at the Alexander Maconochie Centre)</w:t>
      </w:r>
      <w:r w:rsidR="00B81C82">
        <w:rPr>
          <w:rFonts w:ascii="Arial" w:hAnsi="Arial" w:cs="Arial"/>
          <w:sz w:val="24"/>
          <w:szCs w:val="24"/>
        </w:rPr>
        <w:t>,</w:t>
      </w:r>
      <w:r w:rsidR="00DA17D2">
        <w:rPr>
          <w:rFonts w:ascii="Arial" w:hAnsi="Arial" w:cs="Arial"/>
          <w:sz w:val="24"/>
          <w:szCs w:val="24"/>
        </w:rPr>
        <w:t xml:space="preserve"> the </w:t>
      </w:r>
      <w:r w:rsidR="00B9578F">
        <w:rPr>
          <w:rFonts w:ascii="Arial" w:hAnsi="Arial" w:cs="Arial"/>
          <w:sz w:val="24"/>
          <w:szCs w:val="24"/>
        </w:rPr>
        <w:t>OICS</w:t>
      </w:r>
      <w:r w:rsidR="00DA17D2">
        <w:rPr>
          <w:rFonts w:ascii="Arial" w:hAnsi="Arial" w:cs="Arial"/>
          <w:sz w:val="24"/>
          <w:szCs w:val="24"/>
        </w:rPr>
        <w:t xml:space="preserve"> and the </w:t>
      </w:r>
      <w:r w:rsidR="00B9578F">
        <w:rPr>
          <w:rFonts w:ascii="Arial" w:hAnsi="Arial" w:cs="Arial"/>
          <w:sz w:val="24"/>
          <w:szCs w:val="24"/>
        </w:rPr>
        <w:t>NPM</w:t>
      </w:r>
      <w:r w:rsidR="00DA17D2">
        <w:rPr>
          <w:rFonts w:ascii="Arial" w:hAnsi="Arial" w:cs="Arial"/>
          <w:sz w:val="24"/>
          <w:szCs w:val="24"/>
        </w:rPr>
        <w:t xml:space="preserve"> can effectively cooperate and share information with the </w:t>
      </w:r>
      <w:r w:rsidR="00B407E7">
        <w:rPr>
          <w:rFonts w:ascii="Arial" w:hAnsi="Arial" w:cs="Arial"/>
          <w:sz w:val="24"/>
          <w:szCs w:val="24"/>
        </w:rPr>
        <w:t xml:space="preserve">Aboriginal and Torres Strait Islander Children and Young People </w:t>
      </w:r>
      <w:r w:rsidR="00DA17D2">
        <w:rPr>
          <w:rFonts w:ascii="Arial" w:hAnsi="Arial" w:cs="Arial"/>
          <w:sz w:val="24"/>
          <w:szCs w:val="24"/>
        </w:rPr>
        <w:t>Commissioner to enable the effective investigation and review of matters of concern.</w:t>
      </w:r>
      <w:r w:rsidR="00A002A6">
        <w:rPr>
          <w:rFonts w:ascii="Arial" w:hAnsi="Arial" w:cs="Arial"/>
          <w:sz w:val="24"/>
          <w:szCs w:val="24"/>
        </w:rPr>
        <w:t xml:space="preserve"> </w:t>
      </w:r>
    </w:p>
    <w:p w14:paraId="51346B7D" w14:textId="77777777" w:rsidR="00E90DF9" w:rsidRPr="002D028C" w:rsidRDefault="00E90DF9" w:rsidP="00E90DF9">
      <w:pPr>
        <w:pStyle w:val="ListParagraph"/>
        <w:ind w:left="360"/>
        <w:rPr>
          <w:rFonts w:ascii="Arial" w:hAnsi="Arial" w:cs="Arial"/>
          <w:i/>
          <w:sz w:val="24"/>
          <w:szCs w:val="24"/>
        </w:rPr>
      </w:pPr>
    </w:p>
    <w:p w14:paraId="630C85B5" w14:textId="223F2B70" w:rsidR="00E90DF9" w:rsidRPr="00414921" w:rsidRDefault="00E90DF9" w:rsidP="00A002A6">
      <w:pPr>
        <w:pStyle w:val="ListParagraph"/>
        <w:keepNext/>
        <w:numPr>
          <w:ilvl w:val="0"/>
          <w:numId w:val="1"/>
        </w:numPr>
        <w:ind w:left="357"/>
        <w:rPr>
          <w:rFonts w:ascii="Arial" w:hAnsi="Arial" w:cs="Arial"/>
          <w:b/>
          <w:bCs/>
          <w:i/>
          <w:sz w:val="24"/>
          <w:szCs w:val="24"/>
        </w:rPr>
      </w:pPr>
      <w:r w:rsidRPr="00414921">
        <w:rPr>
          <w:rFonts w:ascii="Arial" w:hAnsi="Arial" w:cs="Arial"/>
          <w:b/>
          <w:bCs/>
          <w:i/>
          <w:sz w:val="24"/>
          <w:szCs w:val="24"/>
        </w:rPr>
        <w:t>Rational connection between the limitation and the purpose (s28</w:t>
      </w:r>
      <w:r w:rsidR="008E12F9">
        <w:rPr>
          <w:rFonts w:ascii="Arial" w:hAnsi="Arial" w:cs="Arial"/>
          <w:b/>
          <w:bCs/>
          <w:i/>
          <w:sz w:val="24"/>
          <w:szCs w:val="24"/>
        </w:rPr>
        <w:t>(2)</w:t>
      </w:r>
      <w:r w:rsidRPr="00414921">
        <w:rPr>
          <w:rFonts w:ascii="Arial" w:hAnsi="Arial" w:cs="Arial"/>
          <w:b/>
          <w:bCs/>
          <w:i/>
          <w:sz w:val="24"/>
          <w:szCs w:val="24"/>
        </w:rPr>
        <w:t>(d))</w:t>
      </w:r>
    </w:p>
    <w:p w14:paraId="72724EC9" w14:textId="77777777" w:rsidR="00E90DF9" w:rsidRPr="002D028C" w:rsidRDefault="00E90DF9" w:rsidP="00A002A6">
      <w:pPr>
        <w:pStyle w:val="ListParagraph"/>
        <w:keepNext/>
        <w:spacing w:line="276" w:lineRule="auto"/>
        <w:ind w:left="357"/>
        <w:rPr>
          <w:rFonts w:ascii="Arial" w:hAnsi="Arial" w:cs="Arial"/>
          <w:i/>
          <w:sz w:val="24"/>
          <w:szCs w:val="24"/>
        </w:rPr>
      </w:pPr>
    </w:p>
    <w:p w14:paraId="1D9CB11D" w14:textId="20C4AE49" w:rsidR="00B407E7" w:rsidRPr="00B407E7" w:rsidRDefault="00B407E7" w:rsidP="00A002A6">
      <w:pPr>
        <w:pStyle w:val="ListParagraph"/>
        <w:keepNext/>
        <w:spacing w:line="276" w:lineRule="auto"/>
        <w:ind w:left="357"/>
        <w:rPr>
          <w:rFonts w:ascii="Arial" w:hAnsi="Arial" w:cs="Arial"/>
          <w:iCs/>
          <w:sz w:val="24"/>
          <w:szCs w:val="24"/>
        </w:rPr>
      </w:pPr>
      <w:r w:rsidRPr="00B407E7">
        <w:rPr>
          <w:rFonts w:ascii="Arial" w:hAnsi="Arial" w:cs="Arial"/>
          <w:iCs/>
          <w:sz w:val="24"/>
          <w:szCs w:val="24"/>
        </w:rPr>
        <w:t>The sharing of information between these entities for the purpose of effective investigation and review necessitates the sharing of personal information</w:t>
      </w:r>
      <w:r w:rsidR="00B9578F">
        <w:rPr>
          <w:rFonts w:ascii="Arial" w:hAnsi="Arial" w:cs="Arial"/>
          <w:iCs/>
          <w:sz w:val="24"/>
          <w:szCs w:val="24"/>
        </w:rPr>
        <w:t xml:space="preserve">. In some circumstances, personal information needs to be shared between the Commissioner and information sharing entities without the consent of the Aboriginal and Torres Strait Islander child or young people in order to ensure that a coordinated approach or effective advocacy is able to be undertaken. </w:t>
      </w:r>
    </w:p>
    <w:p w14:paraId="5172803E" w14:textId="77777777" w:rsidR="00E90DF9" w:rsidRPr="002D028C" w:rsidRDefault="00E90DF9" w:rsidP="00E90DF9">
      <w:pPr>
        <w:pStyle w:val="ListParagraph"/>
        <w:rPr>
          <w:rFonts w:ascii="Arial" w:hAnsi="Arial" w:cs="Arial"/>
          <w:i/>
          <w:sz w:val="24"/>
          <w:szCs w:val="24"/>
        </w:rPr>
      </w:pPr>
    </w:p>
    <w:p w14:paraId="30AEBBAB" w14:textId="4BFF3CBA" w:rsidR="00E90DF9" w:rsidRDefault="00E90DF9" w:rsidP="00E90DF9">
      <w:pPr>
        <w:pStyle w:val="ListParagraph"/>
        <w:numPr>
          <w:ilvl w:val="0"/>
          <w:numId w:val="1"/>
        </w:numPr>
        <w:rPr>
          <w:rFonts w:ascii="Arial" w:hAnsi="Arial" w:cs="Arial"/>
          <w:b/>
          <w:bCs/>
          <w:i/>
          <w:sz w:val="24"/>
          <w:szCs w:val="24"/>
        </w:rPr>
      </w:pPr>
      <w:r w:rsidRPr="00414921">
        <w:rPr>
          <w:rFonts w:ascii="Arial" w:hAnsi="Arial" w:cs="Arial"/>
          <w:b/>
          <w:bCs/>
          <w:i/>
          <w:sz w:val="24"/>
          <w:szCs w:val="24"/>
        </w:rPr>
        <w:t>Proportionality (s28</w:t>
      </w:r>
      <w:r w:rsidR="008E12F9">
        <w:rPr>
          <w:rFonts w:ascii="Arial" w:hAnsi="Arial" w:cs="Arial"/>
          <w:b/>
          <w:bCs/>
          <w:i/>
          <w:sz w:val="24"/>
          <w:szCs w:val="24"/>
        </w:rPr>
        <w:t>(2)</w:t>
      </w:r>
      <w:r w:rsidRPr="00414921">
        <w:rPr>
          <w:rFonts w:ascii="Arial" w:hAnsi="Arial" w:cs="Arial"/>
          <w:b/>
          <w:bCs/>
          <w:i/>
          <w:sz w:val="24"/>
          <w:szCs w:val="24"/>
        </w:rPr>
        <w:t>(e))</w:t>
      </w:r>
    </w:p>
    <w:p w14:paraId="3A624D3D" w14:textId="77777777" w:rsidR="00E90DF9" w:rsidRPr="00414921" w:rsidRDefault="00E90DF9" w:rsidP="00E90DF9">
      <w:pPr>
        <w:pStyle w:val="ListParagraph"/>
        <w:ind w:left="360"/>
        <w:rPr>
          <w:rFonts w:ascii="Arial" w:hAnsi="Arial" w:cs="Arial"/>
          <w:b/>
          <w:bCs/>
          <w:i/>
          <w:sz w:val="24"/>
          <w:szCs w:val="24"/>
        </w:rPr>
      </w:pPr>
    </w:p>
    <w:p w14:paraId="381FA2A5" w14:textId="38CA0FEA" w:rsidR="00B9578F" w:rsidRPr="00E97C79" w:rsidRDefault="00505472" w:rsidP="00B9578F">
      <w:pPr>
        <w:pStyle w:val="ListParagraph"/>
        <w:spacing w:line="276" w:lineRule="auto"/>
        <w:ind w:left="360"/>
        <w:rPr>
          <w:rFonts w:ascii="Arial" w:hAnsi="Arial" w:cs="Arial"/>
          <w:iCs/>
          <w:sz w:val="24"/>
          <w:szCs w:val="24"/>
        </w:rPr>
      </w:pPr>
      <w:r>
        <w:rPr>
          <w:rFonts w:ascii="Arial" w:hAnsi="Arial" w:cs="Arial"/>
          <w:iCs/>
          <w:sz w:val="24"/>
          <w:szCs w:val="24"/>
        </w:rPr>
        <w:t>The</w:t>
      </w:r>
      <w:r w:rsidR="00E64C29" w:rsidRPr="00E64C29">
        <w:rPr>
          <w:rFonts w:ascii="Arial" w:hAnsi="Arial" w:cs="Arial"/>
          <w:iCs/>
          <w:sz w:val="24"/>
          <w:szCs w:val="24"/>
        </w:rPr>
        <w:t xml:space="preserve"> least restrictive approach is taken, in that personal information can only be shared </w:t>
      </w:r>
      <w:r w:rsidR="008432DF">
        <w:rPr>
          <w:rFonts w:ascii="Arial" w:hAnsi="Arial" w:cs="Arial"/>
          <w:iCs/>
          <w:sz w:val="24"/>
          <w:szCs w:val="24"/>
        </w:rPr>
        <w:t xml:space="preserve">between these limited and specific named entities. The information can only be shared </w:t>
      </w:r>
      <w:r w:rsidR="00E64C29" w:rsidRPr="00E64C29">
        <w:rPr>
          <w:rFonts w:ascii="Arial" w:hAnsi="Arial" w:cs="Arial"/>
          <w:iCs/>
          <w:sz w:val="24"/>
          <w:szCs w:val="24"/>
        </w:rPr>
        <w:t xml:space="preserve">without consent in limited circumstances, where it is necessary to coordinate support and undertake effective advocacy. </w:t>
      </w:r>
    </w:p>
    <w:p w14:paraId="5937698D" w14:textId="77777777" w:rsidR="00B9578F" w:rsidRDefault="00B9578F" w:rsidP="008432DF">
      <w:pPr>
        <w:pStyle w:val="ListParagraph"/>
        <w:spacing w:line="276" w:lineRule="auto"/>
        <w:ind w:left="360"/>
        <w:rPr>
          <w:rFonts w:ascii="Arial" w:hAnsi="Arial" w:cs="Arial"/>
          <w:iCs/>
          <w:sz w:val="24"/>
          <w:szCs w:val="24"/>
        </w:rPr>
      </w:pPr>
    </w:p>
    <w:p w14:paraId="75D3D4D7" w14:textId="53152499" w:rsidR="00C7736A" w:rsidRDefault="008432DF" w:rsidP="00B9578F">
      <w:pPr>
        <w:pStyle w:val="ListParagraph"/>
        <w:spacing w:line="276" w:lineRule="auto"/>
        <w:ind w:left="360"/>
        <w:rPr>
          <w:rFonts w:ascii="Arial" w:hAnsi="Arial" w:cs="Arial"/>
          <w:iCs/>
          <w:sz w:val="24"/>
          <w:szCs w:val="24"/>
        </w:rPr>
      </w:pPr>
      <w:r>
        <w:rPr>
          <w:rFonts w:ascii="Arial" w:hAnsi="Arial" w:cs="Arial"/>
          <w:iCs/>
          <w:sz w:val="24"/>
          <w:szCs w:val="24"/>
        </w:rPr>
        <w:t xml:space="preserve">Amendments to the </w:t>
      </w:r>
      <w:r w:rsidRPr="00A22958">
        <w:rPr>
          <w:rFonts w:ascii="Arial" w:hAnsi="Arial" w:cs="Arial"/>
          <w:i/>
          <w:sz w:val="24"/>
          <w:szCs w:val="24"/>
        </w:rPr>
        <w:t>Aboriginal and Torres Strait Islander Children Young People Commissioner Act 2022</w:t>
      </w:r>
      <w:r w:rsidR="00A22958">
        <w:rPr>
          <w:rFonts w:ascii="Arial" w:hAnsi="Arial" w:cs="Arial"/>
          <w:iCs/>
          <w:sz w:val="24"/>
          <w:szCs w:val="24"/>
        </w:rPr>
        <w:t xml:space="preserve"> </w:t>
      </w:r>
      <w:r>
        <w:rPr>
          <w:rFonts w:ascii="Arial" w:hAnsi="Arial" w:cs="Arial"/>
          <w:iCs/>
          <w:sz w:val="24"/>
          <w:szCs w:val="24"/>
        </w:rPr>
        <w:t xml:space="preserve">ensure that </w:t>
      </w:r>
      <w:r w:rsidR="00B9578F">
        <w:rPr>
          <w:rFonts w:ascii="Arial" w:hAnsi="Arial" w:cs="Arial"/>
          <w:iCs/>
          <w:sz w:val="24"/>
          <w:szCs w:val="24"/>
        </w:rPr>
        <w:t xml:space="preserve">personal </w:t>
      </w:r>
      <w:r>
        <w:rPr>
          <w:rFonts w:ascii="Arial" w:hAnsi="Arial" w:cs="Arial"/>
          <w:iCs/>
          <w:sz w:val="24"/>
          <w:szCs w:val="24"/>
        </w:rPr>
        <w:t>information may only be shared with the individual’s consent (s</w:t>
      </w:r>
      <w:r w:rsidR="00B9578F">
        <w:rPr>
          <w:rFonts w:ascii="Arial" w:hAnsi="Arial" w:cs="Arial"/>
          <w:iCs/>
          <w:sz w:val="24"/>
          <w:szCs w:val="24"/>
        </w:rPr>
        <w:t>ection</w:t>
      </w:r>
      <w:r>
        <w:rPr>
          <w:rFonts w:ascii="Arial" w:hAnsi="Arial" w:cs="Arial"/>
          <w:iCs/>
          <w:sz w:val="24"/>
          <w:szCs w:val="24"/>
        </w:rPr>
        <w:t xml:space="preserve"> 34(1)), unless the </w:t>
      </w:r>
      <w:r w:rsidR="00A22958">
        <w:rPr>
          <w:rFonts w:ascii="Arial" w:hAnsi="Arial" w:cs="Arial"/>
          <w:iCs/>
          <w:sz w:val="24"/>
          <w:szCs w:val="24"/>
        </w:rPr>
        <w:t>C</w:t>
      </w:r>
      <w:r>
        <w:rPr>
          <w:rFonts w:ascii="Arial" w:hAnsi="Arial" w:cs="Arial"/>
          <w:iCs/>
          <w:sz w:val="24"/>
          <w:szCs w:val="24"/>
        </w:rPr>
        <w:t>ommissioner believe</w:t>
      </w:r>
      <w:r w:rsidR="00A22958">
        <w:rPr>
          <w:rFonts w:ascii="Arial" w:hAnsi="Arial" w:cs="Arial"/>
          <w:iCs/>
          <w:sz w:val="24"/>
          <w:szCs w:val="24"/>
        </w:rPr>
        <w:t>s</w:t>
      </w:r>
      <w:r>
        <w:rPr>
          <w:rFonts w:ascii="Arial" w:hAnsi="Arial" w:cs="Arial"/>
          <w:iCs/>
          <w:sz w:val="24"/>
          <w:szCs w:val="24"/>
        </w:rPr>
        <w:t xml:space="preserve"> on reasonable grounds that the disclosure is necessary to ensure there is a coordinated approach to a matter affecting the young person and effective advocacy is able to undertaken for that person (s</w:t>
      </w:r>
      <w:r w:rsidR="00B9578F">
        <w:rPr>
          <w:rFonts w:ascii="Arial" w:hAnsi="Arial" w:cs="Arial"/>
          <w:iCs/>
          <w:sz w:val="24"/>
          <w:szCs w:val="24"/>
        </w:rPr>
        <w:t>ection</w:t>
      </w:r>
      <w:r>
        <w:rPr>
          <w:rFonts w:ascii="Arial" w:hAnsi="Arial" w:cs="Arial"/>
          <w:iCs/>
          <w:sz w:val="24"/>
          <w:szCs w:val="24"/>
        </w:rPr>
        <w:t xml:space="preserve"> 34(2)).</w:t>
      </w:r>
      <w:r w:rsidR="00B9578F">
        <w:rPr>
          <w:rFonts w:ascii="Arial" w:hAnsi="Arial" w:cs="Arial"/>
          <w:iCs/>
          <w:sz w:val="24"/>
          <w:szCs w:val="24"/>
        </w:rPr>
        <w:t xml:space="preserve"> </w:t>
      </w:r>
      <w:r w:rsidR="00B9578F" w:rsidRPr="00135DFC">
        <w:rPr>
          <w:rFonts w:ascii="Arial" w:hAnsi="Arial" w:cs="Arial"/>
          <w:iCs/>
          <w:sz w:val="24"/>
          <w:szCs w:val="24"/>
        </w:rPr>
        <w:t xml:space="preserve">The </w:t>
      </w:r>
      <w:r w:rsidR="00B9578F" w:rsidRPr="00135DFC">
        <w:rPr>
          <w:rFonts w:ascii="Arial" w:hAnsi="Arial" w:cs="Arial"/>
          <w:i/>
          <w:sz w:val="24"/>
          <w:szCs w:val="24"/>
        </w:rPr>
        <w:t xml:space="preserve">Custodial Inspector Act 2017 </w:t>
      </w:r>
      <w:r w:rsidR="00B9578F">
        <w:rPr>
          <w:rFonts w:ascii="Arial" w:hAnsi="Arial" w:cs="Arial"/>
          <w:iCs/>
          <w:sz w:val="24"/>
          <w:szCs w:val="24"/>
        </w:rPr>
        <w:t xml:space="preserve">also provides at </w:t>
      </w:r>
      <w:r w:rsidR="00B9578F" w:rsidRPr="00135DFC">
        <w:rPr>
          <w:rFonts w:ascii="Arial" w:hAnsi="Arial" w:cs="Arial"/>
          <w:iCs/>
          <w:sz w:val="24"/>
          <w:szCs w:val="24"/>
        </w:rPr>
        <w:t xml:space="preserve">section 35 that ‘an information entity may disclose to the inspector relevant information held by the entity </w:t>
      </w:r>
      <w:r w:rsidR="00B9578F" w:rsidRPr="00135DFC">
        <w:rPr>
          <w:rFonts w:ascii="Arial" w:hAnsi="Arial" w:cs="Arial"/>
          <w:i/>
          <w:sz w:val="24"/>
          <w:szCs w:val="24"/>
        </w:rPr>
        <w:t>to the extent that it is reasonably necessary</w:t>
      </w:r>
      <w:r w:rsidR="00B9578F" w:rsidRPr="00135DFC">
        <w:rPr>
          <w:rFonts w:ascii="Arial" w:hAnsi="Arial" w:cs="Arial"/>
          <w:iCs/>
          <w:sz w:val="24"/>
          <w:szCs w:val="24"/>
        </w:rPr>
        <w:t xml:space="preserve"> for this part’ (emphasis added).</w:t>
      </w:r>
    </w:p>
    <w:p w14:paraId="032AC60A" w14:textId="77777777" w:rsidR="00E97C79" w:rsidRDefault="00E97C79" w:rsidP="00B9578F">
      <w:pPr>
        <w:pStyle w:val="ListParagraph"/>
        <w:spacing w:line="276" w:lineRule="auto"/>
        <w:ind w:left="360"/>
        <w:rPr>
          <w:rFonts w:ascii="Arial" w:hAnsi="Arial" w:cs="Arial"/>
          <w:iCs/>
          <w:sz w:val="24"/>
          <w:szCs w:val="24"/>
        </w:rPr>
      </w:pPr>
    </w:p>
    <w:p w14:paraId="003CCB67" w14:textId="25F5BB2B" w:rsidR="00C7736A" w:rsidRPr="00E97C79" w:rsidRDefault="00C7736A" w:rsidP="00B9578F">
      <w:pPr>
        <w:pStyle w:val="ListParagraph"/>
        <w:spacing w:line="276" w:lineRule="auto"/>
        <w:ind w:left="360"/>
        <w:rPr>
          <w:rFonts w:ascii="Arial" w:hAnsi="Arial" w:cs="Arial"/>
          <w:iCs/>
          <w:sz w:val="24"/>
          <w:szCs w:val="24"/>
        </w:rPr>
      </w:pPr>
      <w:r>
        <w:rPr>
          <w:rFonts w:ascii="Arial" w:hAnsi="Arial" w:cs="Arial"/>
          <w:iCs/>
          <w:sz w:val="24"/>
          <w:szCs w:val="24"/>
        </w:rPr>
        <w:t xml:space="preserve">The amendments to the </w:t>
      </w:r>
      <w:r w:rsidRPr="00A22958">
        <w:rPr>
          <w:rFonts w:ascii="Arial" w:hAnsi="Arial" w:cs="Arial"/>
          <w:i/>
          <w:sz w:val="24"/>
          <w:szCs w:val="24"/>
        </w:rPr>
        <w:t>Aboriginal and Torres Strait Islander Children Young People Commissioner Act 2022</w:t>
      </w:r>
      <w:r>
        <w:rPr>
          <w:rFonts w:ascii="Arial" w:hAnsi="Arial" w:cs="Arial"/>
          <w:iCs/>
          <w:sz w:val="24"/>
          <w:szCs w:val="24"/>
        </w:rPr>
        <w:t xml:space="preserve"> include a privacy safeguard at section 34(3), which provides that if an information sharing entity uses information disclosed to the entity under this section, a secrecy requirement is taken to apply. Secrecy requirement is defined for the purposes of this section as a prohibition on the disclosure of information that applies to the commissioner in relation to the information disclosed to an information sharing entities, whether the prohibition is absolute or subject to state exceptions or qualifications. </w:t>
      </w:r>
    </w:p>
    <w:p w14:paraId="7F0FD207" w14:textId="77777777" w:rsidR="00B407E7" w:rsidRDefault="00B407E7" w:rsidP="003A6311">
      <w:pPr>
        <w:pStyle w:val="ListParagraph"/>
        <w:spacing w:line="276" w:lineRule="auto"/>
        <w:ind w:left="360"/>
        <w:rPr>
          <w:rFonts w:ascii="Arial" w:hAnsi="Arial" w:cs="Arial"/>
          <w:iCs/>
          <w:sz w:val="24"/>
          <w:szCs w:val="24"/>
        </w:rPr>
      </w:pPr>
    </w:p>
    <w:p w14:paraId="5760E40D" w14:textId="6E17B99D" w:rsidR="00E64C29" w:rsidRDefault="00B407E7" w:rsidP="003A6311">
      <w:pPr>
        <w:pStyle w:val="ListParagraph"/>
        <w:spacing w:line="276" w:lineRule="auto"/>
        <w:ind w:left="360"/>
        <w:rPr>
          <w:rFonts w:ascii="Arial" w:hAnsi="Arial" w:cs="Arial"/>
          <w:iCs/>
          <w:sz w:val="24"/>
          <w:szCs w:val="24"/>
        </w:rPr>
      </w:pPr>
      <w:r>
        <w:rPr>
          <w:rFonts w:ascii="Arial" w:hAnsi="Arial" w:cs="Arial"/>
          <w:iCs/>
          <w:sz w:val="24"/>
          <w:szCs w:val="24"/>
        </w:rPr>
        <w:t xml:space="preserve">A key privacy safeguard is the </w:t>
      </w:r>
      <w:r w:rsidR="00C7736A">
        <w:rPr>
          <w:rFonts w:ascii="Arial" w:hAnsi="Arial" w:cs="Arial"/>
          <w:iCs/>
          <w:sz w:val="24"/>
          <w:szCs w:val="24"/>
        </w:rPr>
        <w:t xml:space="preserve">existing </w:t>
      </w:r>
      <w:r w:rsidR="00165088">
        <w:rPr>
          <w:rFonts w:ascii="Arial" w:hAnsi="Arial" w:cs="Arial"/>
          <w:iCs/>
          <w:sz w:val="24"/>
          <w:szCs w:val="24"/>
        </w:rPr>
        <w:t xml:space="preserve">secrecy </w:t>
      </w:r>
      <w:r>
        <w:rPr>
          <w:rFonts w:ascii="Arial" w:hAnsi="Arial" w:cs="Arial"/>
          <w:iCs/>
          <w:sz w:val="24"/>
          <w:szCs w:val="24"/>
        </w:rPr>
        <w:t>offence in s</w:t>
      </w:r>
      <w:r w:rsidR="00B9578F">
        <w:rPr>
          <w:rFonts w:ascii="Arial" w:hAnsi="Arial" w:cs="Arial"/>
          <w:iCs/>
          <w:sz w:val="24"/>
          <w:szCs w:val="24"/>
        </w:rPr>
        <w:t>ection</w:t>
      </w:r>
      <w:r>
        <w:rPr>
          <w:rFonts w:ascii="Arial" w:hAnsi="Arial" w:cs="Arial"/>
          <w:iCs/>
          <w:sz w:val="24"/>
          <w:szCs w:val="24"/>
        </w:rPr>
        <w:t xml:space="preserve"> </w:t>
      </w:r>
      <w:r w:rsidR="00794E1C">
        <w:rPr>
          <w:rFonts w:ascii="Arial" w:hAnsi="Arial" w:cs="Arial"/>
          <w:iCs/>
          <w:sz w:val="24"/>
          <w:szCs w:val="24"/>
        </w:rPr>
        <w:t xml:space="preserve">35 of </w:t>
      </w:r>
      <w:r w:rsidR="00794E1C" w:rsidRPr="00736A5E">
        <w:rPr>
          <w:rFonts w:ascii="Arial" w:hAnsi="Arial" w:cs="Arial"/>
          <w:iCs/>
          <w:sz w:val="24"/>
          <w:szCs w:val="24"/>
        </w:rPr>
        <w:t xml:space="preserve">the </w:t>
      </w:r>
      <w:r w:rsidR="00794E1C" w:rsidRPr="00B81C82">
        <w:rPr>
          <w:rFonts w:ascii="Arial" w:hAnsi="Arial" w:cs="Arial"/>
          <w:i/>
          <w:sz w:val="24"/>
          <w:szCs w:val="24"/>
        </w:rPr>
        <w:t>Aboriginal and Torres Strait Islander Children and Young People Commissioner Act 2022</w:t>
      </w:r>
      <w:r w:rsidR="00165088">
        <w:rPr>
          <w:rFonts w:ascii="Arial" w:hAnsi="Arial" w:cs="Arial"/>
          <w:iCs/>
          <w:sz w:val="24"/>
          <w:szCs w:val="24"/>
        </w:rPr>
        <w:t>,</w:t>
      </w:r>
      <w:r w:rsidR="00794E1C">
        <w:rPr>
          <w:rFonts w:ascii="Arial" w:hAnsi="Arial" w:cs="Arial"/>
          <w:iCs/>
          <w:sz w:val="24"/>
          <w:szCs w:val="24"/>
        </w:rPr>
        <w:t xml:space="preserve"> which prohibits an information holder from making a record of protected information or disclosing protect</w:t>
      </w:r>
      <w:r w:rsidR="00736A5E">
        <w:rPr>
          <w:rFonts w:ascii="Arial" w:hAnsi="Arial" w:cs="Arial"/>
          <w:iCs/>
          <w:sz w:val="24"/>
          <w:szCs w:val="24"/>
        </w:rPr>
        <w:t>ed</w:t>
      </w:r>
      <w:r w:rsidR="00794E1C">
        <w:rPr>
          <w:rFonts w:ascii="Arial" w:hAnsi="Arial" w:cs="Arial"/>
          <w:iCs/>
          <w:sz w:val="24"/>
          <w:szCs w:val="24"/>
        </w:rPr>
        <w:t xml:space="preserve"> information about someone </w:t>
      </w:r>
      <w:r w:rsidR="00736A5E">
        <w:rPr>
          <w:rFonts w:ascii="Arial" w:hAnsi="Arial" w:cs="Arial"/>
          <w:iCs/>
          <w:sz w:val="24"/>
          <w:szCs w:val="24"/>
        </w:rPr>
        <w:t>else and</w:t>
      </w:r>
      <w:r w:rsidR="00794E1C">
        <w:rPr>
          <w:rFonts w:ascii="Arial" w:hAnsi="Arial" w:cs="Arial"/>
          <w:iCs/>
          <w:sz w:val="24"/>
          <w:szCs w:val="24"/>
        </w:rPr>
        <w:t xml:space="preserve"> being reckless about whether the information was protected information. This offence does not apply if the record is made, or the information is disclosed in relation to the exercise of a function under this Act. The sharing of information with these entities (as in the proposed amendment) must be done within the functions </w:t>
      </w:r>
      <w:r w:rsidR="00794E1C">
        <w:rPr>
          <w:rFonts w:ascii="Arial" w:hAnsi="Arial" w:cs="Arial"/>
          <w:iCs/>
          <w:sz w:val="24"/>
          <w:szCs w:val="24"/>
        </w:rPr>
        <w:lastRenderedPageBreak/>
        <w:t>provided by the Act, and this pre-existing offence protects the information from being disclosed outside of these functions.</w:t>
      </w:r>
    </w:p>
    <w:p w14:paraId="284D5967" w14:textId="77777777" w:rsidR="00B85176" w:rsidRDefault="00B85176" w:rsidP="003A6311">
      <w:pPr>
        <w:pStyle w:val="ListParagraph"/>
        <w:spacing w:line="276" w:lineRule="auto"/>
        <w:ind w:left="360"/>
        <w:rPr>
          <w:rFonts w:ascii="Arial" w:hAnsi="Arial" w:cs="Arial"/>
          <w:iCs/>
          <w:sz w:val="24"/>
          <w:szCs w:val="24"/>
        </w:rPr>
      </w:pPr>
    </w:p>
    <w:p w14:paraId="7B310C39" w14:textId="74929685" w:rsidR="008B6ED1" w:rsidRDefault="00B85176" w:rsidP="006A7A8C">
      <w:pPr>
        <w:pStyle w:val="ListParagraph"/>
        <w:spacing w:line="276" w:lineRule="auto"/>
        <w:ind w:left="360"/>
        <w:rPr>
          <w:rFonts w:ascii="Arial" w:hAnsi="Arial" w:cs="Arial"/>
          <w:iCs/>
          <w:sz w:val="24"/>
          <w:szCs w:val="24"/>
        </w:rPr>
      </w:pPr>
      <w:r>
        <w:rPr>
          <w:rFonts w:ascii="Arial" w:hAnsi="Arial" w:cs="Arial"/>
          <w:iCs/>
          <w:sz w:val="24"/>
          <w:szCs w:val="24"/>
        </w:rPr>
        <w:t>A similar offence is found in s</w:t>
      </w:r>
      <w:r w:rsidR="00165088">
        <w:rPr>
          <w:rFonts w:ascii="Arial" w:hAnsi="Arial" w:cs="Arial"/>
          <w:iCs/>
          <w:sz w:val="24"/>
          <w:szCs w:val="24"/>
        </w:rPr>
        <w:t>ection</w:t>
      </w:r>
      <w:r>
        <w:rPr>
          <w:rFonts w:ascii="Arial" w:hAnsi="Arial" w:cs="Arial"/>
          <w:iCs/>
          <w:sz w:val="24"/>
          <w:szCs w:val="24"/>
        </w:rPr>
        <w:t xml:space="preserve"> 37 of the </w:t>
      </w:r>
      <w:r w:rsidRPr="00A22958">
        <w:rPr>
          <w:rFonts w:ascii="Arial" w:hAnsi="Arial" w:cs="Arial"/>
          <w:i/>
          <w:sz w:val="24"/>
          <w:szCs w:val="24"/>
        </w:rPr>
        <w:t>Custodial Inspector Act 2017</w:t>
      </w:r>
      <w:r>
        <w:rPr>
          <w:rFonts w:ascii="Arial" w:hAnsi="Arial" w:cs="Arial"/>
          <w:iCs/>
          <w:sz w:val="24"/>
          <w:szCs w:val="24"/>
        </w:rPr>
        <w:t xml:space="preserve"> which also prohibits the reckless recording or communication of protected information about someone else, unless the information is disclosed in relation to the exercise of a function under the Act.</w:t>
      </w:r>
      <w:bookmarkStart w:id="0" w:name="OLE_LINK1"/>
    </w:p>
    <w:p w14:paraId="022FE847" w14:textId="77777777" w:rsidR="006A7A8C" w:rsidRPr="006A7A8C" w:rsidRDefault="006A7A8C" w:rsidP="006A7A8C">
      <w:pPr>
        <w:pStyle w:val="ListParagraph"/>
        <w:spacing w:line="276" w:lineRule="auto"/>
        <w:ind w:left="360"/>
        <w:rPr>
          <w:rFonts w:ascii="Arial" w:hAnsi="Arial" w:cs="Arial"/>
          <w:iCs/>
          <w:sz w:val="24"/>
          <w:szCs w:val="24"/>
        </w:rPr>
      </w:pPr>
    </w:p>
    <w:p w14:paraId="0A5FCFEB" w14:textId="0F8F38E5" w:rsidR="00174EE4" w:rsidRDefault="00174EE4" w:rsidP="00174EE4">
      <w:pPr>
        <w:rPr>
          <w:rFonts w:ascii="Arial" w:hAnsi="Arial" w:cs="Arial"/>
          <w:i/>
          <w:sz w:val="24"/>
          <w:szCs w:val="24"/>
          <w:u w:val="single"/>
        </w:rPr>
      </w:pPr>
      <w:r>
        <w:rPr>
          <w:rFonts w:ascii="Arial" w:hAnsi="Arial" w:cs="Arial"/>
          <w:iCs/>
          <w:sz w:val="24"/>
          <w:szCs w:val="24"/>
          <w:u w:val="single"/>
        </w:rPr>
        <w:t xml:space="preserve">Section 21 HRA – Right to Fair Trial – Amendments to </w:t>
      </w:r>
      <w:r w:rsidRPr="00CB2B8E">
        <w:rPr>
          <w:rFonts w:ascii="Arial" w:hAnsi="Arial" w:cs="Arial"/>
          <w:i/>
          <w:sz w:val="24"/>
          <w:szCs w:val="24"/>
          <w:u w:val="single"/>
        </w:rPr>
        <w:t>Human Rights Commission Act 2005</w:t>
      </w:r>
    </w:p>
    <w:p w14:paraId="58DE44E0" w14:textId="29E90F77" w:rsidR="00174EE4" w:rsidRPr="00414921" w:rsidRDefault="00174EE4" w:rsidP="000B1338">
      <w:pPr>
        <w:pStyle w:val="ListParagraph"/>
        <w:numPr>
          <w:ilvl w:val="0"/>
          <w:numId w:val="19"/>
        </w:numPr>
        <w:rPr>
          <w:rFonts w:ascii="Arial" w:hAnsi="Arial" w:cs="Arial"/>
          <w:b/>
          <w:bCs/>
          <w:i/>
          <w:sz w:val="24"/>
          <w:szCs w:val="24"/>
        </w:rPr>
      </w:pPr>
      <w:r w:rsidRPr="00414921">
        <w:rPr>
          <w:rFonts w:ascii="Arial" w:hAnsi="Arial" w:cs="Arial"/>
          <w:b/>
          <w:bCs/>
          <w:i/>
          <w:sz w:val="24"/>
          <w:szCs w:val="24"/>
        </w:rPr>
        <w:t>Nature of the right and the limitation (s28</w:t>
      </w:r>
      <w:r w:rsidR="008E12F9">
        <w:rPr>
          <w:rFonts w:ascii="Arial" w:hAnsi="Arial" w:cs="Arial"/>
          <w:b/>
          <w:bCs/>
          <w:i/>
          <w:sz w:val="24"/>
          <w:szCs w:val="24"/>
        </w:rPr>
        <w:t>(2)</w:t>
      </w:r>
      <w:r w:rsidRPr="00414921">
        <w:rPr>
          <w:rFonts w:ascii="Arial" w:hAnsi="Arial" w:cs="Arial"/>
          <w:b/>
          <w:bCs/>
          <w:i/>
          <w:sz w:val="24"/>
          <w:szCs w:val="24"/>
        </w:rPr>
        <w:t>(a) and</w:t>
      </w:r>
      <w:r>
        <w:rPr>
          <w:rFonts w:ascii="Arial" w:hAnsi="Arial" w:cs="Arial"/>
          <w:b/>
          <w:bCs/>
          <w:i/>
          <w:sz w:val="24"/>
          <w:szCs w:val="24"/>
        </w:rPr>
        <w:t xml:space="preserve"> </w:t>
      </w:r>
      <w:r w:rsidRPr="00414921">
        <w:rPr>
          <w:rFonts w:ascii="Arial" w:hAnsi="Arial" w:cs="Arial"/>
          <w:b/>
          <w:bCs/>
          <w:i/>
          <w:sz w:val="24"/>
          <w:szCs w:val="24"/>
        </w:rPr>
        <w:t>(c))</w:t>
      </w:r>
    </w:p>
    <w:p w14:paraId="62051E03" w14:textId="77777777" w:rsidR="00174EE4" w:rsidRPr="002D028C" w:rsidRDefault="00174EE4" w:rsidP="00174EE4">
      <w:pPr>
        <w:pStyle w:val="ListParagraph"/>
        <w:ind w:left="360"/>
        <w:rPr>
          <w:rFonts w:ascii="Arial" w:hAnsi="Arial" w:cs="Arial"/>
          <w:i/>
          <w:sz w:val="24"/>
          <w:szCs w:val="24"/>
        </w:rPr>
      </w:pPr>
    </w:p>
    <w:p w14:paraId="12D25213" w14:textId="5476CE36" w:rsidR="0061530E" w:rsidRDefault="00E64C29" w:rsidP="0061530E">
      <w:pPr>
        <w:pStyle w:val="ListParagraph"/>
        <w:spacing w:line="276" w:lineRule="auto"/>
        <w:ind w:left="360"/>
        <w:rPr>
          <w:rFonts w:ascii="Arial" w:hAnsi="Arial" w:cs="Arial"/>
          <w:iCs/>
          <w:sz w:val="24"/>
          <w:szCs w:val="24"/>
        </w:rPr>
      </w:pPr>
      <w:r w:rsidRPr="00E64C29">
        <w:rPr>
          <w:rFonts w:ascii="Arial" w:hAnsi="Arial" w:cs="Arial"/>
          <w:iCs/>
          <w:sz w:val="24"/>
          <w:szCs w:val="24"/>
        </w:rPr>
        <w:t xml:space="preserve">The right to fair trial provides that everyone has a right to have </w:t>
      </w:r>
      <w:r w:rsidR="00505472">
        <w:rPr>
          <w:rFonts w:ascii="Arial" w:hAnsi="Arial" w:cs="Arial"/>
          <w:iCs/>
          <w:sz w:val="24"/>
          <w:szCs w:val="24"/>
        </w:rPr>
        <w:t xml:space="preserve">the determination of </w:t>
      </w:r>
      <w:r w:rsidRPr="00E64C29">
        <w:rPr>
          <w:rFonts w:ascii="Arial" w:hAnsi="Arial" w:cs="Arial"/>
          <w:iCs/>
          <w:sz w:val="24"/>
          <w:szCs w:val="24"/>
        </w:rPr>
        <w:t>rights and obligations recognised by law</w:t>
      </w:r>
      <w:r w:rsidR="00A7438E">
        <w:rPr>
          <w:rFonts w:ascii="Arial" w:hAnsi="Arial" w:cs="Arial"/>
          <w:iCs/>
          <w:sz w:val="24"/>
          <w:szCs w:val="24"/>
        </w:rPr>
        <w:t>,</w:t>
      </w:r>
      <w:r w:rsidRPr="00E64C29">
        <w:rPr>
          <w:rFonts w:ascii="Arial" w:hAnsi="Arial" w:cs="Arial"/>
          <w:iCs/>
          <w:sz w:val="24"/>
          <w:szCs w:val="24"/>
        </w:rPr>
        <w:t xml:space="preserve"> decided by a competent, independent and impartial court or tribunal after a fair and public hearing.</w:t>
      </w:r>
    </w:p>
    <w:p w14:paraId="36050115" w14:textId="77777777" w:rsidR="0061530E" w:rsidRDefault="0061530E" w:rsidP="0061530E">
      <w:pPr>
        <w:pStyle w:val="ListParagraph"/>
        <w:spacing w:line="276" w:lineRule="auto"/>
        <w:ind w:left="360"/>
        <w:rPr>
          <w:rFonts w:ascii="Arial" w:hAnsi="Arial" w:cs="Arial"/>
          <w:iCs/>
          <w:sz w:val="24"/>
          <w:szCs w:val="24"/>
        </w:rPr>
      </w:pPr>
    </w:p>
    <w:p w14:paraId="04797FE0" w14:textId="55D041CB" w:rsidR="0061530E" w:rsidRPr="00E97C79" w:rsidRDefault="0061530E" w:rsidP="0061530E">
      <w:pPr>
        <w:pStyle w:val="ListParagraph"/>
        <w:spacing w:line="276" w:lineRule="auto"/>
        <w:ind w:left="360"/>
        <w:rPr>
          <w:rFonts w:ascii="Arial" w:hAnsi="Arial" w:cs="Arial"/>
          <w:iCs/>
          <w:sz w:val="24"/>
          <w:szCs w:val="24"/>
        </w:rPr>
      </w:pPr>
      <w:r w:rsidRPr="00E97C79">
        <w:rPr>
          <w:rFonts w:ascii="Arial" w:hAnsi="Arial" w:cs="Arial"/>
          <w:iCs/>
          <w:sz w:val="24"/>
          <w:szCs w:val="24"/>
        </w:rPr>
        <w:t xml:space="preserve">The amendment will require </w:t>
      </w:r>
      <w:r>
        <w:rPr>
          <w:rFonts w:ascii="Arial" w:hAnsi="Arial" w:cs="Arial"/>
          <w:iCs/>
          <w:sz w:val="24"/>
          <w:szCs w:val="24"/>
        </w:rPr>
        <w:t xml:space="preserve">a </w:t>
      </w:r>
      <w:r w:rsidRPr="00E97C79">
        <w:rPr>
          <w:rFonts w:ascii="Arial" w:hAnsi="Arial" w:cs="Arial"/>
          <w:iCs/>
          <w:sz w:val="24"/>
          <w:szCs w:val="24"/>
        </w:rPr>
        <w:t xml:space="preserve">complainant in </w:t>
      </w:r>
      <w:r>
        <w:rPr>
          <w:rFonts w:ascii="Arial" w:hAnsi="Arial" w:cs="Arial"/>
          <w:iCs/>
          <w:sz w:val="24"/>
          <w:szCs w:val="24"/>
        </w:rPr>
        <w:t xml:space="preserve">a </w:t>
      </w:r>
      <w:r w:rsidRPr="00E97C79">
        <w:rPr>
          <w:rFonts w:ascii="Arial" w:hAnsi="Arial" w:cs="Arial"/>
          <w:iCs/>
          <w:sz w:val="24"/>
          <w:szCs w:val="24"/>
        </w:rPr>
        <w:t>discrimination, retirement villages, occupancy disputes and conversion practices matter to seek leave from the ACAT before applying to the Tribunal to consider a matter where the Commission closes a complaint because it is satisfied of one of the reasons mentioned in section 78(2)(c) of the Human Rights Commission ACT 2005 (HRC Act). The Commission must close a complaint under section 78(2)(c) if satisfied that the complainant has been given a reasonable explanation and the complaint needs no further action by the Commissioner, or the complaint is frivolous, vexatious or not made honestly, or the matters raised by the complaint have been, or are being dealt with by a court or tribunal or have been dealt with by the commission, or the complaint lacks substance.</w:t>
      </w:r>
    </w:p>
    <w:p w14:paraId="0C880BCF" w14:textId="1BF25892" w:rsidR="00174EE4" w:rsidRPr="00E97C79" w:rsidRDefault="00B3042E" w:rsidP="00E97C79">
      <w:pPr>
        <w:ind w:left="360"/>
        <w:rPr>
          <w:rFonts w:ascii="Arial" w:hAnsi="Arial" w:cs="Arial"/>
          <w:iCs/>
          <w:sz w:val="24"/>
          <w:szCs w:val="24"/>
        </w:rPr>
      </w:pPr>
      <w:r w:rsidRPr="00E97C79">
        <w:rPr>
          <w:rFonts w:ascii="Arial" w:hAnsi="Arial" w:cs="Arial"/>
          <w:iCs/>
          <w:sz w:val="24"/>
          <w:szCs w:val="24"/>
        </w:rPr>
        <w:br/>
      </w:r>
      <w:r w:rsidR="00763BD6">
        <w:rPr>
          <w:rFonts w:ascii="Arial" w:hAnsi="Arial" w:cs="Arial"/>
          <w:iCs/>
          <w:sz w:val="24"/>
          <w:szCs w:val="24"/>
        </w:rPr>
        <w:t>The</w:t>
      </w:r>
      <w:r w:rsidRPr="00E97C79">
        <w:rPr>
          <w:rFonts w:ascii="Arial" w:hAnsi="Arial" w:cs="Arial"/>
          <w:iCs/>
          <w:sz w:val="24"/>
          <w:szCs w:val="24"/>
        </w:rPr>
        <w:t xml:space="preserve"> amendment will limit the rights of some litigants, including vexatious litigants, to have their discrimination, retirement village, occupancy dispute and conversation practices complaints heard by the ACAT by requiring them to first seek leave from the Tribunal before the complaint is heard.</w:t>
      </w:r>
    </w:p>
    <w:p w14:paraId="5AE62BCA" w14:textId="77777777" w:rsidR="003A6311" w:rsidRPr="003A6311" w:rsidRDefault="003A6311" w:rsidP="003A6311">
      <w:pPr>
        <w:pStyle w:val="ListParagraph"/>
        <w:spacing w:line="276" w:lineRule="auto"/>
        <w:ind w:left="360"/>
        <w:rPr>
          <w:rFonts w:ascii="Arial" w:hAnsi="Arial" w:cs="Arial"/>
          <w:iCs/>
          <w:sz w:val="24"/>
          <w:szCs w:val="24"/>
        </w:rPr>
      </w:pPr>
    </w:p>
    <w:p w14:paraId="5A39CC81" w14:textId="07871AAF" w:rsidR="00174EE4" w:rsidRPr="00414921" w:rsidRDefault="00174EE4" w:rsidP="000B1338">
      <w:pPr>
        <w:pStyle w:val="ListParagraph"/>
        <w:numPr>
          <w:ilvl w:val="0"/>
          <w:numId w:val="19"/>
        </w:numPr>
        <w:rPr>
          <w:rFonts w:ascii="Arial" w:hAnsi="Arial" w:cs="Arial"/>
          <w:b/>
          <w:bCs/>
          <w:i/>
          <w:sz w:val="24"/>
          <w:szCs w:val="24"/>
        </w:rPr>
      </w:pPr>
      <w:r w:rsidRPr="00414921">
        <w:rPr>
          <w:rFonts w:ascii="Arial" w:hAnsi="Arial" w:cs="Arial"/>
          <w:b/>
          <w:bCs/>
          <w:i/>
          <w:sz w:val="24"/>
          <w:szCs w:val="24"/>
        </w:rPr>
        <w:t>Legitimate purpose (s28</w:t>
      </w:r>
      <w:r w:rsidR="008E12F9">
        <w:rPr>
          <w:rFonts w:ascii="Arial" w:hAnsi="Arial" w:cs="Arial"/>
          <w:b/>
          <w:bCs/>
          <w:i/>
          <w:sz w:val="24"/>
          <w:szCs w:val="24"/>
        </w:rPr>
        <w:t>(2)</w:t>
      </w:r>
      <w:r w:rsidRPr="00414921">
        <w:rPr>
          <w:rFonts w:ascii="Arial" w:hAnsi="Arial" w:cs="Arial"/>
          <w:b/>
          <w:bCs/>
          <w:i/>
          <w:sz w:val="24"/>
          <w:szCs w:val="24"/>
        </w:rPr>
        <w:t>(b))</w:t>
      </w:r>
    </w:p>
    <w:p w14:paraId="76675590" w14:textId="77777777" w:rsidR="00174EE4" w:rsidRPr="002D028C" w:rsidRDefault="00174EE4" w:rsidP="00174EE4">
      <w:pPr>
        <w:pStyle w:val="ListParagraph"/>
        <w:ind w:left="360"/>
        <w:rPr>
          <w:rFonts w:ascii="Arial" w:hAnsi="Arial" w:cs="Arial"/>
          <w:i/>
          <w:sz w:val="24"/>
          <w:szCs w:val="24"/>
        </w:rPr>
      </w:pPr>
    </w:p>
    <w:p w14:paraId="286FDA3B" w14:textId="6C9BF34A" w:rsidR="00763BD6" w:rsidRPr="00763BD6" w:rsidRDefault="00763BD6" w:rsidP="00763BD6">
      <w:pPr>
        <w:pStyle w:val="ListParagraph"/>
        <w:spacing w:line="276" w:lineRule="auto"/>
        <w:ind w:left="360"/>
        <w:rPr>
          <w:rFonts w:ascii="Arial" w:hAnsi="Arial" w:cs="Arial"/>
          <w:iCs/>
          <w:sz w:val="24"/>
          <w:szCs w:val="24"/>
        </w:rPr>
      </w:pPr>
      <w:r w:rsidRPr="00763BD6">
        <w:rPr>
          <w:rFonts w:ascii="Arial" w:hAnsi="Arial" w:cs="Arial"/>
          <w:iCs/>
          <w:sz w:val="24"/>
          <w:szCs w:val="24"/>
        </w:rPr>
        <w:t xml:space="preserve">The amendment pursues the </w:t>
      </w:r>
      <w:r w:rsidRPr="00E97C79">
        <w:rPr>
          <w:rFonts w:ascii="Arial" w:hAnsi="Arial" w:cs="Arial"/>
          <w:iCs/>
          <w:sz w:val="24"/>
          <w:szCs w:val="24"/>
        </w:rPr>
        <w:t xml:space="preserve">legitimate objective of protecting the integrity, efficiency and fairness of the </w:t>
      </w:r>
      <w:r>
        <w:rPr>
          <w:rFonts w:ascii="Arial" w:hAnsi="Arial" w:cs="Arial"/>
          <w:iCs/>
          <w:sz w:val="24"/>
          <w:szCs w:val="24"/>
        </w:rPr>
        <w:t>T</w:t>
      </w:r>
      <w:r w:rsidRPr="00E97C79">
        <w:rPr>
          <w:rFonts w:ascii="Arial" w:hAnsi="Arial" w:cs="Arial"/>
          <w:iCs/>
          <w:sz w:val="24"/>
          <w:szCs w:val="24"/>
        </w:rPr>
        <w:t>ribunal system</w:t>
      </w:r>
      <w:r w:rsidRPr="00763BD6">
        <w:rPr>
          <w:rFonts w:ascii="Arial" w:hAnsi="Arial" w:cs="Arial"/>
          <w:iCs/>
          <w:sz w:val="24"/>
          <w:szCs w:val="24"/>
        </w:rPr>
        <w:t xml:space="preserve"> by preventing the unnecessary </w:t>
      </w:r>
      <w:r>
        <w:rPr>
          <w:rFonts w:ascii="Arial" w:hAnsi="Arial" w:cs="Arial"/>
          <w:iCs/>
          <w:sz w:val="24"/>
          <w:szCs w:val="24"/>
        </w:rPr>
        <w:t>consideration by the Tribunal</w:t>
      </w:r>
      <w:r w:rsidRPr="00763BD6">
        <w:rPr>
          <w:rFonts w:ascii="Arial" w:hAnsi="Arial" w:cs="Arial"/>
          <w:iCs/>
          <w:sz w:val="24"/>
          <w:szCs w:val="24"/>
        </w:rPr>
        <w:t xml:space="preserve"> of complaints that have already been assessed and determined by the Human Rights Commission to be non</w:t>
      </w:r>
      <w:r w:rsidRPr="00763BD6">
        <w:rPr>
          <w:rFonts w:ascii="Arial" w:hAnsi="Arial" w:cs="Arial"/>
          <w:iCs/>
          <w:sz w:val="24"/>
          <w:szCs w:val="24"/>
        </w:rPr>
        <w:noBreakHyphen/>
        <w:t>meritorious</w:t>
      </w:r>
      <w:r>
        <w:rPr>
          <w:rFonts w:ascii="Arial" w:hAnsi="Arial" w:cs="Arial"/>
          <w:iCs/>
          <w:sz w:val="24"/>
          <w:szCs w:val="24"/>
        </w:rPr>
        <w:t xml:space="preserve">. The amendment is intended to prevent the abuse of tribunal processes, promote the efficient use of public resources, and protect respondents from unnecessary litigation. </w:t>
      </w:r>
    </w:p>
    <w:p w14:paraId="68E6142E" w14:textId="77777777" w:rsidR="00763BD6" w:rsidRDefault="00763BD6" w:rsidP="003A6311">
      <w:pPr>
        <w:pStyle w:val="ListParagraph"/>
        <w:spacing w:line="276" w:lineRule="auto"/>
        <w:ind w:left="360"/>
        <w:rPr>
          <w:rFonts w:ascii="Arial" w:hAnsi="Arial" w:cs="Arial"/>
          <w:iCs/>
          <w:sz w:val="24"/>
          <w:szCs w:val="24"/>
        </w:rPr>
      </w:pPr>
    </w:p>
    <w:p w14:paraId="28CD91CB" w14:textId="77777777" w:rsidR="00174EE4" w:rsidRPr="002D028C" w:rsidRDefault="00174EE4" w:rsidP="00174EE4">
      <w:pPr>
        <w:pStyle w:val="ListParagraph"/>
        <w:ind w:left="360"/>
        <w:rPr>
          <w:rFonts w:ascii="Arial" w:hAnsi="Arial" w:cs="Arial"/>
          <w:i/>
          <w:sz w:val="24"/>
          <w:szCs w:val="24"/>
        </w:rPr>
      </w:pPr>
    </w:p>
    <w:p w14:paraId="17518705" w14:textId="765AB53A" w:rsidR="00174EE4" w:rsidRDefault="00174EE4" w:rsidP="000B1338">
      <w:pPr>
        <w:pStyle w:val="ListParagraph"/>
        <w:numPr>
          <w:ilvl w:val="0"/>
          <w:numId w:val="19"/>
        </w:numPr>
        <w:rPr>
          <w:rFonts w:ascii="Arial" w:hAnsi="Arial" w:cs="Arial"/>
          <w:b/>
          <w:bCs/>
          <w:i/>
          <w:sz w:val="24"/>
          <w:szCs w:val="24"/>
        </w:rPr>
      </w:pPr>
      <w:r w:rsidRPr="00414921">
        <w:rPr>
          <w:rFonts w:ascii="Arial" w:hAnsi="Arial" w:cs="Arial"/>
          <w:b/>
          <w:bCs/>
          <w:i/>
          <w:sz w:val="24"/>
          <w:szCs w:val="24"/>
        </w:rPr>
        <w:t>Rational connection between the limitation and the purpose (s28</w:t>
      </w:r>
      <w:r w:rsidR="008E12F9">
        <w:rPr>
          <w:rFonts w:ascii="Arial" w:hAnsi="Arial" w:cs="Arial"/>
          <w:b/>
          <w:bCs/>
          <w:i/>
          <w:sz w:val="24"/>
          <w:szCs w:val="24"/>
        </w:rPr>
        <w:t>(2)</w:t>
      </w:r>
      <w:r w:rsidRPr="00414921">
        <w:rPr>
          <w:rFonts w:ascii="Arial" w:hAnsi="Arial" w:cs="Arial"/>
          <w:b/>
          <w:bCs/>
          <w:i/>
          <w:sz w:val="24"/>
          <w:szCs w:val="24"/>
        </w:rPr>
        <w:t>(d))</w:t>
      </w:r>
    </w:p>
    <w:p w14:paraId="50469AF0" w14:textId="77777777" w:rsidR="00024F98" w:rsidRPr="00024F98" w:rsidRDefault="00024F98" w:rsidP="00024F98">
      <w:pPr>
        <w:pStyle w:val="ListParagraph"/>
        <w:ind w:left="360"/>
        <w:rPr>
          <w:rFonts w:ascii="Arial" w:hAnsi="Arial" w:cs="Arial"/>
          <w:b/>
          <w:bCs/>
          <w:i/>
          <w:sz w:val="24"/>
          <w:szCs w:val="24"/>
        </w:rPr>
      </w:pPr>
    </w:p>
    <w:p w14:paraId="1D80B0E4" w14:textId="4E72719A" w:rsidR="00144B91" w:rsidRPr="009E5C68" w:rsidRDefault="00144B91" w:rsidP="00144B91">
      <w:pPr>
        <w:pStyle w:val="ListParagraph"/>
        <w:spacing w:line="276" w:lineRule="auto"/>
        <w:ind w:left="360"/>
        <w:rPr>
          <w:rFonts w:ascii="Arial" w:hAnsi="Arial" w:cs="Arial"/>
          <w:iCs/>
          <w:sz w:val="24"/>
          <w:szCs w:val="24"/>
        </w:rPr>
      </w:pPr>
      <w:r w:rsidRPr="00192E5A">
        <w:rPr>
          <w:rFonts w:ascii="Arial" w:hAnsi="Arial" w:cs="Arial"/>
          <w:iCs/>
          <w:sz w:val="24"/>
          <w:szCs w:val="24"/>
        </w:rPr>
        <w:t xml:space="preserve">The amendment will </w:t>
      </w:r>
      <w:r>
        <w:rPr>
          <w:rFonts w:ascii="Arial" w:hAnsi="Arial" w:cs="Arial"/>
          <w:iCs/>
          <w:sz w:val="24"/>
          <w:szCs w:val="24"/>
        </w:rPr>
        <w:t>support efficient operations of the Tribunal by giving the</w:t>
      </w:r>
      <w:r w:rsidRPr="00192E5A">
        <w:rPr>
          <w:rFonts w:ascii="Arial" w:hAnsi="Arial" w:cs="Arial"/>
          <w:iCs/>
          <w:sz w:val="24"/>
          <w:szCs w:val="24"/>
        </w:rPr>
        <w:t xml:space="preserve"> ACAT discretion </w:t>
      </w:r>
      <w:r>
        <w:rPr>
          <w:rFonts w:ascii="Arial" w:hAnsi="Arial" w:cs="Arial"/>
          <w:iCs/>
          <w:sz w:val="24"/>
          <w:szCs w:val="24"/>
        </w:rPr>
        <w:t>as to whether to grant</w:t>
      </w:r>
      <w:r w:rsidRPr="00192E5A">
        <w:rPr>
          <w:rFonts w:ascii="Arial" w:hAnsi="Arial" w:cs="Arial"/>
          <w:iCs/>
          <w:sz w:val="24"/>
          <w:szCs w:val="24"/>
        </w:rPr>
        <w:t xml:space="preserve"> leave to hear a matter that</w:t>
      </w:r>
      <w:r>
        <w:rPr>
          <w:rFonts w:ascii="Arial" w:hAnsi="Arial" w:cs="Arial"/>
          <w:iCs/>
          <w:sz w:val="24"/>
          <w:szCs w:val="24"/>
        </w:rPr>
        <w:t xml:space="preserve"> was closed by the Human Rights Commission under s 78 (2) (c) </w:t>
      </w:r>
      <w:r>
        <w:rPr>
          <w:rFonts w:ascii="Arial" w:hAnsi="Arial" w:cs="Arial"/>
          <w:i/>
          <w:sz w:val="24"/>
          <w:szCs w:val="24"/>
        </w:rPr>
        <w:t xml:space="preserve">Human Rights Commission Act </w:t>
      </w:r>
      <w:r>
        <w:rPr>
          <w:rFonts w:ascii="Arial" w:hAnsi="Arial" w:cs="Arial"/>
          <w:iCs/>
          <w:sz w:val="24"/>
          <w:szCs w:val="24"/>
        </w:rPr>
        <w:t xml:space="preserve">(that is, it is frivolous, </w:t>
      </w:r>
      <w:r w:rsidRPr="00192E5A">
        <w:rPr>
          <w:rFonts w:ascii="Arial" w:hAnsi="Arial" w:cs="Arial"/>
          <w:iCs/>
          <w:sz w:val="24"/>
          <w:szCs w:val="24"/>
        </w:rPr>
        <w:t xml:space="preserve">vexatious or </w:t>
      </w:r>
      <w:r>
        <w:rPr>
          <w:rFonts w:ascii="Arial" w:hAnsi="Arial" w:cs="Arial"/>
          <w:iCs/>
          <w:sz w:val="24"/>
          <w:szCs w:val="24"/>
        </w:rPr>
        <w:t>not made honestly, required no further action by the Commission, or relates to matters that have been or are being dealt with by a court or tribunal). Whilst this limits the rights of a small group of litigants,</w:t>
      </w:r>
      <w:r w:rsidRPr="00192E5A">
        <w:rPr>
          <w:rFonts w:ascii="Arial" w:hAnsi="Arial" w:cs="Arial"/>
          <w:iCs/>
          <w:sz w:val="24"/>
          <w:szCs w:val="24"/>
        </w:rPr>
        <w:t xml:space="preserve"> </w:t>
      </w:r>
      <w:r>
        <w:rPr>
          <w:rFonts w:ascii="Arial" w:hAnsi="Arial" w:cs="Arial"/>
          <w:iCs/>
          <w:sz w:val="24"/>
          <w:szCs w:val="24"/>
        </w:rPr>
        <w:t>it</w:t>
      </w:r>
      <w:r w:rsidRPr="00192E5A">
        <w:rPr>
          <w:rFonts w:ascii="Arial" w:hAnsi="Arial" w:cs="Arial"/>
          <w:iCs/>
          <w:sz w:val="24"/>
          <w:szCs w:val="24"/>
        </w:rPr>
        <w:t xml:space="preserve"> free</w:t>
      </w:r>
      <w:r>
        <w:rPr>
          <w:rFonts w:ascii="Arial" w:hAnsi="Arial" w:cs="Arial"/>
          <w:iCs/>
          <w:sz w:val="24"/>
          <w:szCs w:val="24"/>
        </w:rPr>
        <w:t>s</w:t>
      </w:r>
      <w:r w:rsidRPr="00192E5A">
        <w:rPr>
          <w:rFonts w:ascii="Arial" w:hAnsi="Arial" w:cs="Arial"/>
          <w:iCs/>
          <w:sz w:val="24"/>
          <w:szCs w:val="24"/>
        </w:rPr>
        <w:t xml:space="preserve"> up time and resources at ACAT to deal with </w:t>
      </w:r>
      <w:r>
        <w:rPr>
          <w:rFonts w:ascii="Arial" w:hAnsi="Arial" w:cs="Arial"/>
          <w:iCs/>
          <w:sz w:val="24"/>
          <w:szCs w:val="24"/>
        </w:rPr>
        <w:t xml:space="preserve">the majority of </w:t>
      </w:r>
      <w:r w:rsidRPr="00192E5A">
        <w:rPr>
          <w:rFonts w:ascii="Arial" w:hAnsi="Arial" w:cs="Arial"/>
          <w:iCs/>
          <w:sz w:val="24"/>
          <w:szCs w:val="24"/>
        </w:rPr>
        <w:t>matters which are not deemed vexatious and which have higher likelihood of a successful outcome.</w:t>
      </w:r>
    </w:p>
    <w:p w14:paraId="6AF6CCD0" w14:textId="04CEA50E" w:rsidR="00F84D23" w:rsidRPr="00F84D23" w:rsidRDefault="00F84D23" w:rsidP="003A6311">
      <w:pPr>
        <w:pStyle w:val="ListParagraph"/>
        <w:spacing w:line="276" w:lineRule="auto"/>
        <w:ind w:left="360"/>
        <w:rPr>
          <w:rFonts w:ascii="Arial" w:hAnsi="Arial" w:cs="Arial"/>
          <w:iCs/>
          <w:sz w:val="24"/>
          <w:szCs w:val="24"/>
        </w:rPr>
      </w:pPr>
    </w:p>
    <w:p w14:paraId="70183003" w14:textId="77777777" w:rsidR="00F84D23" w:rsidRPr="002D028C" w:rsidRDefault="00F84D23" w:rsidP="00174EE4">
      <w:pPr>
        <w:pStyle w:val="ListParagraph"/>
        <w:rPr>
          <w:rFonts w:ascii="Arial" w:hAnsi="Arial" w:cs="Arial"/>
          <w:i/>
          <w:sz w:val="24"/>
          <w:szCs w:val="24"/>
        </w:rPr>
      </w:pPr>
    </w:p>
    <w:p w14:paraId="2F60BC96" w14:textId="425FEB2D" w:rsidR="00741FFE" w:rsidRDefault="00174EE4" w:rsidP="000B1338">
      <w:pPr>
        <w:pStyle w:val="ListParagraph"/>
        <w:numPr>
          <w:ilvl w:val="0"/>
          <w:numId w:val="19"/>
        </w:numPr>
        <w:rPr>
          <w:rFonts w:ascii="Arial" w:hAnsi="Arial" w:cs="Arial"/>
          <w:b/>
          <w:bCs/>
          <w:i/>
          <w:sz w:val="24"/>
          <w:szCs w:val="24"/>
        </w:rPr>
      </w:pPr>
      <w:r w:rsidRPr="00414921">
        <w:rPr>
          <w:rFonts w:ascii="Arial" w:hAnsi="Arial" w:cs="Arial"/>
          <w:b/>
          <w:bCs/>
          <w:i/>
          <w:sz w:val="24"/>
          <w:szCs w:val="24"/>
        </w:rPr>
        <w:t>Proportionality (s28</w:t>
      </w:r>
      <w:r w:rsidR="008E12F9">
        <w:rPr>
          <w:rFonts w:ascii="Arial" w:hAnsi="Arial" w:cs="Arial"/>
          <w:b/>
          <w:bCs/>
          <w:i/>
          <w:sz w:val="24"/>
          <w:szCs w:val="24"/>
        </w:rPr>
        <w:t>(2)</w:t>
      </w:r>
      <w:r w:rsidRPr="00414921">
        <w:rPr>
          <w:rFonts w:ascii="Arial" w:hAnsi="Arial" w:cs="Arial"/>
          <w:b/>
          <w:bCs/>
          <w:i/>
          <w:sz w:val="24"/>
          <w:szCs w:val="24"/>
        </w:rPr>
        <w:t>(e))</w:t>
      </w:r>
    </w:p>
    <w:p w14:paraId="7BE2664F" w14:textId="77777777" w:rsidR="00192E5A" w:rsidRDefault="00192E5A" w:rsidP="00E97C79">
      <w:pPr>
        <w:pStyle w:val="ListParagraph"/>
        <w:ind w:left="360"/>
      </w:pPr>
    </w:p>
    <w:p w14:paraId="2C43AD81" w14:textId="1ECC5083" w:rsidR="00741FFE" w:rsidRPr="00E97C79" w:rsidRDefault="00CE785C" w:rsidP="00741FFE">
      <w:pPr>
        <w:pStyle w:val="ListParagraph"/>
        <w:spacing w:line="276" w:lineRule="auto"/>
        <w:ind w:left="360"/>
        <w:rPr>
          <w:rFonts w:ascii="Arial" w:hAnsi="Arial" w:cs="Arial"/>
          <w:iCs/>
          <w:sz w:val="24"/>
          <w:szCs w:val="24"/>
        </w:rPr>
      </w:pPr>
      <w:r w:rsidRPr="0061530E">
        <w:rPr>
          <w:rFonts w:ascii="Arial" w:hAnsi="Arial" w:cs="Arial"/>
          <w:iCs/>
          <w:sz w:val="24"/>
          <w:szCs w:val="24"/>
        </w:rPr>
        <w:t xml:space="preserve">The </w:t>
      </w:r>
      <w:r w:rsidR="00155085" w:rsidRPr="0061530E">
        <w:rPr>
          <w:rFonts w:ascii="Arial" w:hAnsi="Arial" w:cs="Arial"/>
          <w:iCs/>
          <w:sz w:val="24"/>
          <w:szCs w:val="24"/>
        </w:rPr>
        <w:t>requirement to seek leave from the</w:t>
      </w:r>
      <w:r w:rsidRPr="0061530E">
        <w:rPr>
          <w:rFonts w:ascii="Arial" w:hAnsi="Arial" w:cs="Arial"/>
          <w:iCs/>
          <w:sz w:val="24"/>
          <w:szCs w:val="24"/>
        </w:rPr>
        <w:t xml:space="preserve"> ACAT to determine whether a claim can proceed is only applicable in the legislation to a limited subsect of c</w:t>
      </w:r>
      <w:r w:rsidR="00155085" w:rsidRPr="0061530E">
        <w:rPr>
          <w:rFonts w:ascii="Arial" w:hAnsi="Arial" w:cs="Arial"/>
          <w:iCs/>
          <w:sz w:val="24"/>
          <w:szCs w:val="24"/>
        </w:rPr>
        <w:t>omplaints</w:t>
      </w:r>
      <w:r w:rsidR="00741FFE">
        <w:rPr>
          <w:rFonts w:ascii="Arial" w:hAnsi="Arial" w:cs="Arial"/>
          <w:iCs/>
          <w:sz w:val="24"/>
          <w:szCs w:val="24"/>
        </w:rPr>
        <w:t>, being</w:t>
      </w:r>
      <w:r w:rsidR="00155085" w:rsidRPr="0061530E">
        <w:rPr>
          <w:rFonts w:ascii="Arial" w:hAnsi="Arial" w:cs="Arial"/>
          <w:iCs/>
          <w:sz w:val="24"/>
          <w:szCs w:val="24"/>
        </w:rPr>
        <w:t xml:space="preserve"> those that are closed by the Human Rights Commission under </w:t>
      </w:r>
      <w:r w:rsidR="00144B91" w:rsidRPr="0061530E">
        <w:rPr>
          <w:rFonts w:ascii="Arial" w:hAnsi="Arial" w:cs="Arial"/>
          <w:iCs/>
          <w:sz w:val="24"/>
          <w:szCs w:val="24"/>
        </w:rPr>
        <w:t>s</w:t>
      </w:r>
      <w:r w:rsidR="00741FFE">
        <w:rPr>
          <w:rFonts w:ascii="Arial" w:hAnsi="Arial" w:cs="Arial"/>
          <w:iCs/>
          <w:sz w:val="24"/>
          <w:szCs w:val="24"/>
        </w:rPr>
        <w:t xml:space="preserve">ection 78(2)(c). </w:t>
      </w:r>
      <w:r w:rsidR="00024F98" w:rsidRPr="00E97C79">
        <w:rPr>
          <w:rFonts w:ascii="Arial" w:hAnsi="Arial" w:cs="Arial"/>
          <w:iCs/>
          <w:sz w:val="24"/>
          <w:szCs w:val="24"/>
        </w:rPr>
        <w:t>There are limited claims seen by ACAT which</w:t>
      </w:r>
      <w:r w:rsidR="006C4CE2" w:rsidRPr="00E97C79">
        <w:rPr>
          <w:rFonts w:ascii="Arial" w:hAnsi="Arial" w:cs="Arial"/>
          <w:iCs/>
          <w:sz w:val="24"/>
          <w:szCs w:val="24"/>
        </w:rPr>
        <w:t xml:space="preserve"> fulfill t</w:t>
      </w:r>
      <w:r w:rsidR="00741FFE" w:rsidRPr="00E97C79">
        <w:rPr>
          <w:rFonts w:ascii="Arial" w:hAnsi="Arial" w:cs="Arial"/>
          <w:iCs/>
          <w:sz w:val="24"/>
          <w:szCs w:val="24"/>
        </w:rPr>
        <w:t xml:space="preserve">his </w:t>
      </w:r>
      <w:r w:rsidR="006C4CE2" w:rsidRPr="00E97C79">
        <w:rPr>
          <w:rFonts w:ascii="Arial" w:hAnsi="Arial" w:cs="Arial"/>
          <w:iCs/>
          <w:sz w:val="24"/>
          <w:szCs w:val="24"/>
        </w:rPr>
        <w:t xml:space="preserve">criteria. </w:t>
      </w:r>
    </w:p>
    <w:p w14:paraId="0A3C1E44" w14:textId="77777777" w:rsidR="00741FFE" w:rsidRDefault="00741FFE" w:rsidP="00741FFE">
      <w:pPr>
        <w:pStyle w:val="ListParagraph"/>
        <w:spacing w:line="276" w:lineRule="auto"/>
        <w:ind w:left="360"/>
      </w:pPr>
    </w:p>
    <w:p w14:paraId="39E6AACA" w14:textId="66B0EB67" w:rsidR="00144B91" w:rsidRDefault="00741FFE" w:rsidP="009D283D">
      <w:pPr>
        <w:pStyle w:val="ListParagraph"/>
        <w:spacing w:line="276" w:lineRule="auto"/>
        <w:ind w:left="360"/>
        <w:rPr>
          <w:rFonts w:ascii="Arial" w:hAnsi="Arial" w:cs="Arial"/>
          <w:iCs/>
          <w:sz w:val="24"/>
          <w:szCs w:val="24"/>
        </w:rPr>
      </w:pPr>
      <w:r>
        <w:rPr>
          <w:rFonts w:ascii="Arial" w:hAnsi="Arial" w:cs="Arial"/>
          <w:iCs/>
          <w:sz w:val="24"/>
          <w:szCs w:val="24"/>
        </w:rPr>
        <w:t xml:space="preserve">The amendment does not remove access to ACAT outright, rather it introduces a threshold procedural step to ensure that only claims with an arguable basis proceed to a hearing. </w:t>
      </w:r>
      <w:r w:rsidR="00144B91">
        <w:rPr>
          <w:rFonts w:ascii="Arial" w:hAnsi="Arial" w:cs="Arial"/>
          <w:iCs/>
          <w:sz w:val="24"/>
          <w:szCs w:val="24"/>
        </w:rPr>
        <w:t xml:space="preserve">The ACAT will retain discretion to determine they should proceed to consider a complaint even if the Commission has deemed it without merit. </w:t>
      </w:r>
    </w:p>
    <w:p w14:paraId="0F8BF9D5" w14:textId="77777777" w:rsidR="00144B91" w:rsidRDefault="00144B91" w:rsidP="009D283D">
      <w:pPr>
        <w:pStyle w:val="ListParagraph"/>
        <w:spacing w:line="276" w:lineRule="auto"/>
        <w:ind w:left="360"/>
        <w:rPr>
          <w:rFonts w:ascii="Arial" w:hAnsi="Arial" w:cs="Arial"/>
          <w:iCs/>
          <w:sz w:val="24"/>
          <w:szCs w:val="24"/>
        </w:rPr>
      </w:pPr>
    </w:p>
    <w:p w14:paraId="52936D02" w14:textId="1DC5763A" w:rsidR="00144B91" w:rsidRDefault="00144B91" w:rsidP="61345658">
      <w:pPr>
        <w:pStyle w:val="ListParagraph"/>
        <w:spacing w:line="276" w:lineRule="auto"/>
        <w:ind w:left="360"/>
        <w:rPr>
          <w:rFonts w:ascii="Arial" w:hAnsi="Arial" w:cs="Arial"/>
          <w:sz w:val="24"/>
          <w:szCs w:val="24"/>
        </w:rPr>
      </w:pPr>
      <w:r w:rsidRPr="61345658">
        <w:rPr>
          <w:rFonts w:ascii="Arial" w:hAnsi="Arial" w:cs="Arial"/>
          <w:sz w:val="24"/>
          <w:szCs w:val="24"/>
        </w:rPr>
        <w:t xml:space="preserve">The Tribunal’s decision on whether to grant leave </w:t>
      </w:r>
      <w:r w:rsidR="009143DA" w:rsidRPr="61345658">
        <w:rPr>
          <w:rFonts w:ascii="Arial" w:hAnsi="Arial" w:cs="Arial"/>
          <w:sz w:val="24"/>
          <w:szCs w:val="24"/>
        </w:rPr>
        <w:t>for a complaint to proceed is reviewable</w:t>
      </w:r>
      <w:r w:rsidR="00741FFE" w:rsidRPr="61345658">
        <w:rPr>
          <w:rFonts w:ascii="Arial" w:hAnsi="Arial" w:cs="Arial"/>
          <w:sz w:val="24"/>
          <w:szCs w:val="24"/>
        </w:rPr>
        <w:t xml:space="preserve"> under the </w:t>
      </w:r>
      <w:r w:rsidR="00741FFE" w:rsidRPr="61345658">
        <w:rPr>
          <w:rFonts w:ascii="Arial" w:hAnsi="Arial" w:cs="Arial"/>
          <w:i/>
          <w:iCs/>
          <w:sz w:val="24"/>
          <w:szCs w:val="24"/>
        </w:rPr>
        <w:t>ACT Civil and Administrative Tribunal Act 2008</w:t>
      </w:r>
      <w:r w:rsidR="00741FFE" w:rsidRPr="61345658">
        <w:rPr>
          <w:rFonts w:ascii="Arial" w:hAnsi="Arial" w:cs="Arial"/>
          <w:sz w:val="24"/>
          <w:szCs w:val="24"/>
        </w:rPr>
        <w:t xml:space="preserve">. </w:t>
      </w:r>
      <w:r w:rsidR="009143DA" w:rsidRPr="61345658">
        <w:rPr>
          <w:rFonts w:ascii="Arial" w:hAnsi="Arial" w:cs="Arial"/>
          <w:sz w:val="24"/>
          <w:szCs w:val="24"/>
        </w:rPr>
        <w:t xml:space="preserve">Therefore, in the circumstance that </w:t>
      </w:r>
      <w:r w:rsidR="00741FFE" w:rsidRPr="61345658">
        <w:rPr>
          <w:rFonts w:ascii="Arial" w:hAnsi="Arial" w:cs="Arial"/>
          <w:sz w:val="24"/>
          <w:szCs w:val="24"/>
        </w:rPr>
        <w:t>a</w:t>
      </w:r>
      <w:r w:rsidR="009143DA" w:rsidRPr="61345658">
        <w:rPr>
          <w:rFonts w:ascii="Arial" w:hAnsi="Arial" w:cs="Arial"/>
          <w:sz w:val="24"/>
          <w:szCs w:val="24"/>
        </w:rPr>
        <w:t xml:space="preserve"> complainant insists that their claim is not vexatious or otherwise without merit</w:t>
      </w:r>
      <w:r w:rsidR="00741FFE" w:rsidRPr="61345658">
        <w:rPr>
          <w:rFonts w:ascii="Arial" w:hAnsi="Arial" w:cs="Arial"/>
          <w:sz w:val="24"/>
          <w:szCs w:val="24"/>
        </w:rPr>
        <w:t>,</w:t>
      </w:r>
      <w:r w:rsidR="009143DA" w:rsidRPr="61345658">
        <w:rPr>
          <w:rFonts w:ascii="Arial" w:hAnsi="Arial" w:cs="Arial"/>
          <w:sz w:val="24"/>
          <w:szCs w:val="24"/>
        </w:rPr>
        <w:t xml:space="preserve"> they </w:t>
      </w:r>
      <w:r w:rsidR="00741FFE" w:rsidRPr="61345658">
        <w:rPr>
          <w:rFonts w:ascii="Arial" w:hAnsi="Arial" w:cs="Arial"/>
          <w:sz w:val="24"/>
          <w:szCs w:val="24"/>
        </w:rPr>
        <w:t>would be</w:t>
      </w:r>
      <w:r w:rsidR="009143DA" w:rsidRPr="61345658">
        <w:rPr>
          <w:rFonts w:ascii="Arial" w:hAnsi="Arial" w:cs="Arial"/>
          <w:sz w:val="24"/>
          <w:szCs w:val="24"/>
        </w:rPr>
        <w:t xml:space="preserve"> able to challenge the Tribunal’s decision </w:t>
      </w:r>
      <w:r w:rsidR="00741FFE" w:rsidRPr="61345658">
        <w:rPr>
          <w:rFonts w:ascii="Arial" w:hAnsi="Arial" w:cs="Arial"/>
          <w:sz w:val="24"/>
          <w:szCs w:val="24"/>
        </w:rPr>
        <w:t>to not grant</w:t>
      </w:r>
      <w:r w:rsidR="009143DA" w:rsidRPr="61345658">
        <w:rPr>
          <w:rFonts w:ascii="Arial" w:hAnsi="Arial" w:cs="Arial"/>
          <w:sz w:val="24"/>
          <w:szCs w:val="24"/>
        </w:rPr>
        <w:t xml:space="preserve"> leave. </w:t>
      </w:r>
    </w:p>
    <w:p w14:paraId="36F7BB6E" w14:textId="77777777" w:rsidR="00174EE4" w:rsidRDefault="00174EE4" w:rsidP="00174EE4">
      <w:pPr>
        <w:rPr>
          <w:rFonts w:ascii="Arial" w:hAnsi="Arial" w:cs="Arial"/>
          <w:i/>
          <w:sz w:val="24"/>
          <w:szCs w:val="24"/>
          <w:u w:val="single"/>
        </w:rPr>
      </w:pPr>
    </w:p>
    <w:p w14:paraId="398358A3" w14:textId="77777777" w:rsidR="006A7A8C" w:rsidRDefault="006A7A8C" w:rsidP="006A7A8C">
      <w:pPr>
        <w:rPr>
          <w:rFonts w:ascii="Arial" w:hAnsi="Arial" w:cs="Arial"/>
          <w:i/>
          <w:sz w:val="24"/>
          <w:szCs w:val="24"/>
          <w:u w:val="single"/>
        </w:rPr>
      </w:pPr>
      <w:r w:rsidRPr="00CE487C">
        <w:rPr>
          <w:rFonts w:ascii="Arial" w:hAnsi="Arial" w:cs="Arial"/>
          <w:iCs/>
          <w:sz w:val="24"/>
          <w:szCs w:val="24"/>
          <w:u w:val="single"/>
        </w:rPr>
        <w:t xml:space="preserve">Section 16 HRA – Freedom of Expression – Amendments to </w:t>
      </w:r>
      <w:r w:rsidRPr="00CE487C">
        <w:rPr>
          <w:rFonts w:ascii="Arial" w:hAnsi="Arial" w:cs="Arial"/>
          <w:i/>
          <w:sz w:val="24"/>
          <w:szCs w:val="24"/>
          <w:u w:val="single"/>
        </w:rPr>
        <w:t>Inquiries Act 1991</w:t>
      </w:r>
    </w:p>
    <w:p w14:paraId="7EEC39F5" w14:textId="77777777" w:rsidR="006A7A8C" w:rsidRPr="005B5584" w:rsidRDefault="006A7A8C" w:rsidP="006A7A8C">
      <w:pPr>
        <w:numPr>
          <w:ilvl w:val="0"/>
          <w:numId w:val="25"/>
        </w:numPr>
        <w:spacing w:after="160" w:line="278" w:lineRule="auto"/>
        <w:rPr>
          <w:rFonts w:ascii="Arial" w:hAnsi="Arial" w:cs="Arial"/>
          <w:b/>
          <w:bCs/>
          <w:i/>
          <w:iCs/>
          <w:sz w:val="24"/>
          <w:szCs w:val="24"/>
        </w:rPr>
      </w:pPr>
      <w:r w:rsidRPr="005B5584">
        <w:rPr>
          <w:rFonts w:ascii="Arial" w:hAnsi="Arial" w:cs="Arial"/>
          <w:b/>
          <w:bCs/>
          <w:i/>
          <w:iCs/>
          <w:sz w:val="24"/>
          <w:szCs w:val="24"/>
        </w:rPr>
        <w:t>Nature of the right and the limitation (s28(2)(a) and (c))</w:t>
      </w:r>
    </w:p>
    <w:p w14:paraId="4778568D" w14:textId="77777777" w:rsidR="006A7A8C" w:rsidRPr="005B5584" w:rsidRDefault="006A7A8C" w:rsidP="006A7A8C">
      <w:pPr>
        <w:rPr>
          <w:rFonts w:ascii="Arial" w:hAnsi="Arial" w:cs="Arial"/>
          <w:sz w:val="24"/>
          <w:szCs w:val="24"/>
        </w:rPr>
      </w:pPr>
      <w:r w:rsidRPr="005B5584">
        <w:rPr>
          <w:rFonts w:ascii="Arial" w:hAnsi="Arial" w:cs="Arial"/>
          <w:sz w:val="24"/>
          <w:szCs w:val="24"/>
        </w:rPr>
        <w:t>The right to freedom of expression provides that everyone has the right to hold opinions without interference and freedom to express information and ideas freely. The right includes the freedom to seek, receive and impart information and ideas of all kinds. The amendment to section 17 of the Inquiries Act limits this right by making it an offence for an entrusted person to disclose, use, or make a record of, protected information obtained or generated in the person’s capacity as an entrusted person.</w:t>
      </w:r>
    </w:p>
    <w:p w14:paraId="6E9D4473" w14:textId="3AD32CBA" w:rsidR="006A7A8C" w:rsidRPr="005B5584" w:rsidRDefault="006A7A8C" w:rsidP="006A7A8C">
      <w:pPr>
        <w:rPr>
          <w:rFonts w:ascii="Arial" w:hAnsi="Arial" w:cs="Arial"/>
          <w:sz w:val="24"/>
          <w:szCs w:val="24"/>
        </w:rPr>
      </w:pPr>
      <w:r w:rsidRPr="005B5584">
        <w:rPr>
          <w:rFonts w:ascii="Arial" w:hAnsi="Arial" w:cs="Arial"/>
          <w:sz w:val="24"/>
          <w:szCs w:val="24"/>
        </w:rPr>
        <w:lastRenderedPageBreak/>
        <w:t>An entrusted person is defined as a member, or a member of staff of a board, or a lawyer assisting a board. Protected information means information obtained by a person in exercising, or assisting another person to exercise, a function under this Act. The amendment would apply to any disclosure of protected information regardless of how it occurs, including online or by another means of communication. As a result, the right to access information is limited.</w:t>
      </w:r>
    </w:p>
    <w:p w14:paraId="2257D8D4" w14:textId="77777777" w:rsidR="006A7A8C" w:rsidRPr="005B5584" w:rsidRDefault="006A7A8C" w:rsidP="006A7A8C">
      <w:pPr>
        <w:numPr>
          <w:ilvl w:val="0"/>
          <w:numId w:val="25"/>
        </w:numPr>
        <w:spacing w:after="160" w:line="278" w:lineRule="auto"/>
        <w:rPr>
          <w:rFonts w:ascii="Arial" w:hAnsi="Arial" w:cs="Arial"/>
          <w:b/>
          <w:bCs/>
          <w:i/>
          <w:iCs/>
          <w:sz w:val="24"/>
          <w:szCs w:val="24"/>
        </w:rPr>
      </w:pPr>
      <w:r w:rsidRPr="005B5584">
        <w:rPr>
          <w:rFonts w:ascii="Arial" w:hAnsi="Arial" w:cs="Arial"/>
          <w:b/>
          <w:bCs/>
          <w:i/>
          <w:iCs/>
          <w:sz w:val="24"/>
          <w:szCs w:val="24"/>
        </w:rPr>
        <w:t>Legitimate purpose (s28(2)(b))</w:t>
      </w:r>
    </w:p>
    <w:p w14:paraId="1F2609F8" w14:textId="77777777" w:rsidR="006A7A8C" w:rsidRPr="005B5584" w:rsidRDefault="006A7A8C" w:rsidP="006A7A8C">
      <w:pPr>
        <w:rPr>
          <w:rFonts w:ascii="Arial" w:hAnsi="Arial" w:cs="Arial"/>
          <w:sz w:val="24"/>
          <w:szCs w:val="24"/>
        </w:rPr>
      </w:pPr>
      <w:r w:rsidRPr="005B5584">
        <w:rPr>
          <w:rFonts w:ascii="Arial" w:hAnsi="Arial" w:cs="Arial"/>
          <w:sz w:val="24"/>
          <w:szCs w:val="24"/>
        </w:rPr>
        <w:t>The legitimate purpose of the amendment is to prevent the premature or uncontrolled release of protected information gathered during the inquiry in order to:</w:t>
      </w:r>
    </w:p>
    <w:p w14:paraId="1159377A" w14:textId="77777777" w:rsidR="006A7A8C" w:rsidRPr="005B5584" w:rsidRDefault="006A7A8C" w:rsidP="006A7A8C">
      <w:pPr>
        <w:numPr>
          <w:ilvl w:val="0"/>
          <w:numId w:val="22"/>
        </w:numPr>
        <w:spacing w:after="160" w:line="278" w:lineRule="auto"/>
        <w:rPr>
          <w:rFonts w:ascii="Arial" w:hAnsi="Arial" w:cs="Arial"/>
          <w:sz w:val="24"/>
          <w:szCs w:val="24"/>
        </w:rPr>
      </w:pPr>
      <w:r w:rsidRPr="005B5584">
        <w:rPr>
          <w:rFonts w:ascii="Arial" w:hAnsi="Arial" w:cs="Arial"/>
          <w:sz w:val="24"/>
          <w:szCs w:val="24"/>
        </w:rPr>
        <w:t>ensure the integrity and effectiveness of the inquiry, which depends on witnesses, experts, public officials and affected individuals being able to provide candid evidence without fear that the information will be improperly shared or misused;</w:t>
      </w:r>
    </w:p>
    <w:p w14:paraId="26B208A1" w14:textId="77777777" w:rsidR="006A7A8C" w:rsidRPr="005B5584" w:rsidRDefault="006A7A8C" w:rsidP="006A7A8C">
      <w:pPr>
        <w:numPr>
          <w:ilvl w:val="0"/>
          <w:numId w:val="22"/>
        </w:numPr>
        <w:spacing w:after="160" w:line="278" w:lineRule="auto"/>
        <w:rPr>
          <w:rFonts w:ascii="Arial" w:hAnsi="Arial" w:cs="Arial"/>
          <w:sz w:val="24"/>
          <w:szCs w:val="24"/>
        </w:rPr>
      </w:pPr>
      <w:r w:rsidRPr="005B5584">
        <w:rPr>
          <w:rFonts w:ascii="Arial" w:hAnsi="Arial" w:cs="Arial"/>
          <w:sz w:val="24"/>
          <w:szCs w:val="24"/>
        </w:rPr>
        <w:t>protect against the release of sensitive or confidential information that may cause reputational damage, commercial loss, safety risks and/or interfere with other proceedings or ongoing investigations;</w:t>
      </w:r>
    </w:p>
    <w:p w14:paraId="1701E301" w14:textId="77777777" w:rsidR="006A7A8C" w:rsidRPr="005B5584" w:rsidRDefault="006A7A8C" w:rsidP="006A7A8C">
      <w:pPr>
        <w:numPr>
          <w:ilvl w:val="0"/>
          <w:numId w:val="22"/>
        </w:numPr>
        <w:spacing w:after="160" w:line="278" w:lineRule="auto"/>
        <w:rPr>
          <w:rFonts w:ascii="Arial" w:hAnsi="Arial" w:cs="Arial"/>
          <w:sz w:val="24"/>
          <w:szCs w:val="24"/>
        </w:rPr>
      </w:pPr>
      <w:r w:rsidRPr="005B5584">
        <w:rPr>
          <w:rFonts w:ascii="Arial" w:hAnsi="Arial" w:cs="Arial"/>
          <w:sz w:val="24"/>
          <w:szCs w:val="24"/>
        </w:rPr>
        <w:t>maintain public trust and confidence in the independence and impartiality of the inquiry process.</w:t>
      </w:r>
    </w:p>
    <w:p w14:paraId="3E6E6106" w14:textId="77777777" w:rsidR="006A7A8C" w:rsidRPr="005B5584" w:rsidRDefault="006A7A8C" w:rsidP="006A7A8C">
      <w:pPr>
        <w:numPr>
          <w:ilvl w:val="0"/>
          <w:numId w:val="25"/>
        </w:numPr>
        <w:spacing w:after="160" w:line="278" w:lineRule="auto"/>
        <w:rPr>
          <w:rFonts w:ascii="Arial" w:hAnsi="Arial" w:cs="Arial"/>
          <w:b/>
          <w:bCs/>
          <w:i/>
          <w:iCs/>
          <w:sz w:val="24"/>
          <w:szCs w:val="24"/>
        </w:rPr>
      </w:pPr>
      <w:r w:rsidRPr="005B5584">
        <w:rPr>
          <w:rFonts w:ascii="Arial" w:hAnsi="Arial" w:cs="Arial"/>
          <w:b/>
          <w:bCs/>
          <w:i/>
          <w:iCs/>
          <w:sz w:val="24"/>
          <w:szCs w:val="24"/>
        </w:rPr>
        <w:t>Rational connection between the limitation and the purpose (s28(2)(d))</w:t>
      </w:r>
    </w:p>
    <w:p w14:paraId="2B8CFDD8" w14:textId="77777777" w:rsidR="006A7A8C" w:rsidRPr="005B5584" w:rsidRDefault="006A7A8C" w:rsidP="006A7A8C">
      <w:pPr>
        <w:rPr>
          <w:rFonts w:ascii="Arial" w:hAnsi="Arial" w:cs="Arial"/>
          <w:sz w:val="24"/>
          <w:szCs w:val="24"/>
        </w:rPr>
      </w:pPr>
      <w:r w:rsidRPr="005B5584">
        <w:rPr>
          <w:rFonts w:ascii="Arial" w:hAnsi="Arial" w:cs="Arial"/>
          <w:sz w:val="24"/>
          <w:szCs w:val="24"/>
        </w:rPr>
        <w:t>The limited public access to information during the inquiry process is necessary to ensure procedural fairness, safeguard sensitive information, encourage candid participation, prevent harm to individuals, and maintain public confidence in the inquiry process. As such strict rules around information disclosure are necessary to retain integrity of the inquiry, confidentiality of sensitive information, and public trust in the inquiry process.</w:t>
      </w:r>
    </w:p>
    <w:p w14:paraId="5AF31910" w14:textId="77777777" w:rsidR="006A7A8C" w:rsidRPr="005B5584" w:rsidRDefault="006A7A8C" w:rsidP="006A7A8C">
      <w:pPr>
        <w:numPr>
          <w:ilvl w:val="0"/>
          <w:numId w:val="25"/>
        </w:numPr>
        <w:spacing w:after="160" w:line="278" w:lineRule="auto"/>
        <w:rPr>
          <w:rFonts w:ascii="Arial" w:hAnsi="Arial" w:cs="Arial"/>
          <w:b/>
          <w:bCs/>
          <w:i/>
          <w:iCs/>
          <w:sz w:val="24"/>
          <w:szCs w:val="24"/>
        </w:rPr>
      </w:pPr>
      <w:r w:rsidRPr="005B5584">
        <w:rPr>
          <w:rFonts w:ascii="Arial" w:hAnsi="Arial" w:cs="Arial"/>
          <w:b/>
          <w:bCs/>
          <w:i/>
          <w:iCs/>
          <w:sz w:val="24"/>
          <w:szCs w:val="24"/>
        </w:rPr>
        <w:t>Proportionality (s28(2)(e))</w:t>
      </w:r>
    </w:p>
    <w:p w14:paraId="3B157399" w14:textId="77777777" w:rsidR="006A7A8C" w:rsidRPr="005B5584" w:rsidRDefault="006A7A8C" w:rsidP="006A7A8C">
      <w:pPr>
        <w:rPr>
          <w:rFonts w:ascii="Arial" w:hAnsi="Arial" w:cs="Arial"/>
          <w:i/>
          <w:iCs/>
          <w:sz w:val="24"/>
          <w:szCs w:val="24"/>
          <w:u w:val="single"/>
        </w:rPr>
      </w:pPr>
      <w:r w:rsidRPr="005B5584">
        <w:rPr>
          <w:rFonts w:ascii="Arial" w:hAnsi="Arial" w:cs="Arial"/>
          <w:sz w:val="24"/>
          <w:szCs w:val="24"/>
        </w:rPr>
        <w:t>The provision strengthens an existing prohibition and does not impose any additional or more severe penalty for the offence. The amendment only impacts the right to freedom of expression in relation to the disclosure, use or recording of protected information obtained or generated by an entrusted person. The definitions of entrusted person and protected information further ensures that the amendment achieves its objectives by the least restrictive means reasonably available, as it is described narrowly and allows for exceptions under specific circumstances if appropriate.</w:t>
      </w:r>
    </w:p>
    <w:p w14:paraId="410086EE" w14:textId="77777777" w:rsidR="006A7A8C" w:rsidRPr="005B5584" w:rsidRDefault="006A7A8C" w:rsidP="006A7A8C">
      <w:pPr>
        <w:rPr>
          <w:rFonts w:ascii="Arial" w:hAnsi="Arial" w:cs="Arial"/>
          <w:sz w:val="24"/>
          <w:szCs w:val="24"/>
        </w:rPr>
      </w:pPr>
    </w:p>
    <w:p w14:paraId="4C4523D7" w14:textId="77777777" w:rsidR="006A7A8C" w:rsidRPr="00CE487C" w:rsidRDefault="006A7A8C" w:rsidP="006A7A8C">
      <w:pPr>
        <w:rPr>
          <w:rFonts w:ascii="Arial" w:hAnsi="Arial" w:cs="Arial"/>
          <w:i/>
          <w:iCs/>
          <w:sz w:val="24"/>
          <w:szCs w:val="24"/>
          <w:u w:val="single"/>
        </w:rPr>
      </w:pPr>
      <w:r w:rsidRPr="00CE487C">
        <w:rPr>
          <w:rFonts w:ascii="Arial" w:hAnsi="Arial" w:cs="Arial"/>
          <w:sz w:val="24"/>
          <w:szCs w:val="24"/>
          <w:u w:val="single"/>
        </w:rPr>
        <w:t xml:space="preserve">Section 22 HRA – Rights in Criminal Proceedings - Amendments to </w:t>
      </w:r>
      <w:r w:rsidRPr="00CE487C">
        <w:rPr>
          <w:rFonts w:ascii="Arial" w:hAnsi="Arial" w:cs="Arial"/>
          <w:i/>
          <w:iCs/>
          <w:sz w:val="24"/>
          <w:szCs w:val="24"/>
          <w:u w:val="single"/>
        </w:rPr>
        <w:t xml:space="preserve">Inquiries Act 1991 </w:t>
      </w:r>
    </w:p>
    <w:p w14:paraId="137CBE9C" w14:textId="77777777" w:rsidR="006A7A8C" w:rsidRPr="005B5584" w:rsidRDefault="006A7A8C" w:rsidP="006A7A8C">
      <w:pPr>
        <w:pStyle w:val="ListParagraph"/>
        <w:numPr>
          <w:ilvl w:val="0"/>
          <w:numId w:val="24"/>
        </w:numPr>
        <w:spacing w:after="160" w:line="278" w:lineRule="auto"/>
        <w:contextualSpacing/>
        <w:rPr>
          <w:rFonts w:ascii="Arial" w:hAnsi="Arial" w:cs="Arial"/>
          <w:b/>
          <w:bCs/>
          <w:sz w:val="24"/>
          <w:szCs w:val="24"/>
        </w:rPr>
      </w:pPr>
      <w:r w:rsidRPr="005B5584">
        <w:rPr>
          <w:rFonts w:ascii="Arial" w:hAnsi="Arial" w:cs="Arial"/>
          <w:b/>
          <w:bCs/>
          <w:sz w:val="24"/>
          <w:szCs w:val="24"/>
        </w:rPr>
        <w:lastRenderedPageBreak/>
        <w:t>Nature of the right and the limitation (s28(2)(a) and (c))</w:t>
      </w:r>
    </w:p>
    <w:p w14:paraId="33A90F6F" w14:textId="77777777" w:rsidR="006A7A8C" w:rsidRPr="005B5584" w:rsidRDefault="006A7A8C" w:rsidP="006A7A8C">
      <w:pPr>
        <w:rPr>
          <w:rFonts w:ascii="Arial" w:hAnsi="Arial" w:cs="Arial"/>
          <w:sz w:val="24"/>
          <w:szCs w:val="24"/>
        </w:rPr>
      </w:pPr>
      <w:r w:rsidRPr="005B5584">
        <w:rPr>
          <w:rFonts w:ascii="Arial" w:hAnsi="Arial" w:cs="Arial"/>
          <w:sz w:val="24"/>
          <w:szCs w:val="24"/>
        </w:rPr>
        <w:t xml:space="preserve">Section 17 of the Inquiries Act is amended to clarify the conditions of the offence for </w:t>
      </w:r>
      <w:r w:rsidRPr="005B5584">
        <w:rPr>
          <w:rFonts w:ascii="Arial" w:hAnsi="Arial" w:cs="Arial"/>
          <w:sz w:val="24"/>
          <w:szCs w:val="24"/>
          <w:lang w:val="en-GB"/>
        </w:rPr>
        <w:t>breaching confidentiality and privacy obligations under the Act</w:t>
      </w:r>
      <w:r w:rsidRPr="005B5584">
        <w:rPr>
          <w:rFonts w:ascii="Arial" w:hAnsi="Arial" w:cs="Arial"/>
          <w:sz w:val="24"/>
          <w:szCs w:val="24"/>
        </w:rPr>
        <w:t xml:space="preserve"> as an entrusted person. Subsection (4) of that section sets out an exception to the offence which limits rights in criminal proceedings (right to presumption of innocence), as the defendant has an evidential burden in relation to the matters in subsection (5), albeit to a lower standard of proof (section 58 </w:t>
      </w:r>
      <w:r w:rsidRPr="005B5584">
        <w:rPr>
          <w:rFonts w:ascii="Arial" w:hAnsi="Arial" w:cs="Arial"/>
          <w:i/>
          <w:iCs/>
          <w:sz w:val="24"/>
          <w:szCs w:val="24"/>
        </w:rPr>
        <w:t>Criminal Code 2002</w:t>
      </w:r>
      <w:r w:rsidRPr="005B5584">
        <w:rPr>
          <w:rFonts w:ascii="Arial" w:hAnsi="Arial" w:cs="Arial"/>
          <w:sz w:val="24"/>
          <w:szCs w:val="24"/>
        </w:rPr>
        <w:t xml:space="preserve">). </w:t>
      </w:r>
    </w:p>
    <w:p w14:paraId="77C1E7F8" w14:textId="77777777" w:rsidR="006A7A8C" w:rsidRPr="005B5584" w:rsidRDefault="006A7A8C" w:rsidP="006A7A8C">
      <w:pPr>
        <w:rPr>
          <w:rFonts w:ascii="Arial" w:hAnsi="Arial" w:cs="Arial"/>
          <w:sz w:val="24"/>
          <w:szCs w:val="24"/>
        </w:rPr>
      </w:pPr>
      <w:r w:rsidRPr="005B5584">
        <w:rPr>
          <w:rFonts w:ascii="Arial" w:hAnsi="Arial" w:cs="Arial"/>
          <w:sz w:val="24"/>
          <w:szCs w:val="24"/>
        </w:rPr>
        <w:t>Strict liability only applies in relation to whether the person is, or has been an entrusted person (subsection (1)(a)), which is a factual condition that does not leave room for interpretation. Therefore, this subsection is not considered a limitation of the presumption of innocence.</w:t>
      </w:r>
    </w:p>
    <w:p w14:paraId="64ECFC58" w14:textId="77777777" w:rsidR="006A7A8C" w:rsidRPr="005B5584" w:rsidRDefault="006A7A8C" w:rsidP="006A7A8C">
      <w:pPr>
        <w:pStyle w:val="ListParagraph"/>
        <w:numPr>
          <w:ilvl w:val="0"/>
          <w:numId w:val="24"/>
        </w:numPr>
        <w:spacing w:after="160" w:line="278" w:lineRule="auto"/>
        <w:contextualSpacing/>
        <w:rPr>
          <w:rFonts w:ascii="Arial" w:hAnsi="Arial" w:cs="Arial"/>
          <w:b/>
          <w:bCs/>
          <w:sz w:val="24"/>
          <w:szCs w:val="24"/>
        </w:rPr>
      </w:pPr>
      <w:r w:rsidRPr="005B5584">
        <w:rPr>
          <w:rFonts w:ascii="Arial" w:hAnsi="Arial" w:cs="Arial"/>
          <w:b/>
          <w:bCs/>
          <w:sz w:val="24"/>
          <w:szCs w:val="24"/>
        </w:rPr>
        <w:t>Legitimate purpose (s28(2)(b))</w:t>
      </w:r>
    </w:p>
    <w:p w14:paraId="7299A17E" w14:textId="77777777" w:rsidR="006A7A8C" w:rsidRPr="005B5584" w:rsidRDefault="006A7A8C" w:rsidP="006A7A8C">
      <w:pPr>
        <w:rPr>
          <w:rFonts w:ascii="Arial" w:hAnsi="Arial" w:cs="Arial"/>
          <w:sz w:val="24"/>
          <w:szCs w:val="24"/>
        </w:rPr>
      </w:pPr>
      <w:r w:rsidRPr="005B5584">
        <w:rPr>
          <w:rFonts w:ascii="Arial" w:hAnsi="Arial" w:cs="Arial"/>
          <w:sz w:val="24"/>
          <w:szCs w:val="24"/>
        </w:rPr>
        <w:t xml:space="preserve">The purpose of offence is to ensure that entrusted persons only disclose information under specific circumstances to protect the privacy of third parties and the integrity of the inquiry process. </w:t>
      </w:r>
    </w:p>
    <w:p w14:paraId="0AD563B3" w14:textId="77777777" w:rsidR="006A7A8C" w:rsidRPr="005B5584" w:rsidRDefault="006A7A8C" w:rsidP="006A7A8C">
      <w:pPr>
        <w:pStyle w:val="ListParagraph"/>
        <w:numPr>
          <w:ilvl w:val="0"/>
          <w:numId w:val="24"/>
        </w:numPr>
        <w:spacing w:after="160" w:line="278" w:lineRule="auto"/>
        <w:contextualSpacing/>
        <w:rPr>
          <w:rFonts w:ascii="Arial" w:hAnsi="Arial" w:cs="Arial"/>
          <w:b/>
          <w:bCs/>
          <w:sz w:val="24"/>
          <w:szCs w:val="24"/>
        </w:rPr>
      </w:pPr>
      <w:r w:rsidRPr="005B5584">
        <w:rPr>
          <w:rFonts w:ascii="Arial" w:hAnsi="Arial" w:cs="Arial"/>
          <w:b/>
          <w:bCs/>
          <w:sz w:val="24"/>
          <w:szCs w:val="24"/>
        </w:rPr>
        <w:t>Rational connection between the limitation and the purpose (s28(2)(d))</w:t>
      </w:r>
    </w:p>
    <w:p w14:paraId="375E867F" w14:textId="77777777" w:rsidR="006A7A8C" w:rsidRPr="005B5584" w:rsidRDefault="006A7A8C" w:rsidP="006A7A8C">
      <w:pPr>
        <w:rPr>
          <w:rFonts w:ascii="Arial" w:hAnsi="Arial" w:cs="Arial"/>
          <w:sz w:val="24"/>
          <w:szCs w:val="24"/>
        </w:rPr>
      </w:pPr>
      <w:r w:rsidRPr="005B5584">
        <w:rPr>
          <w:rFonts w:ascii="Arial" w:hAnsi="Arial" w:cs="Arial"/>
          <w:sz w:val="24"/>
          <w:szCs w:val="24"/>
        </w:rPr>
        <w:t xml:space="preserve">Providing that the defendant has an evidential burden in relation to matters mentioned in subsection (5) strengthens the presumption that, as a rule, entrusted persons cannot disclose protected information unless an exception applies. </w:t>
      </w:r>
    </w:p>
    <w:p w14:paraId="405A8004" w14:textId="77777777" w:rsidR="006A7A8C" w:rsidRPr="005B5584" w:rsidRDefault="006A7A8C" w:rsidP="006A7A8C">
      <w:pPr>
        <w:pStyle w:val="ListParagraph"/>
        <w:numPr>
          <w:ilvl w:val="0"/>
          <w:numId w:val="24"/>
        </w:numPr>
        <w:spacing w:after="160" w:line="278" w:lineRule="auto"/>
        <w:contextualSpacing/>
        <w:rPr>
          <w:rFonts w:ascii="Arial" w:hAnsi="Arial" w:cs="Arial"/>
          <w:b/>
          <w:bCs/>
          <w:sz w:val="24"/>
          <w:szCs w:val="24"/>
        </w:rPr>
      </w:pPr>
      <w:r w:rsidRPr="005B5584">
        <w:rPr>
          <w:rFonts w:ascii="Arial" w:hAnsi="Arial" w:cs="Arial"/>
          <w:b/>
          <w:bCs/>
          <w:sz w:val="24"/>
          <w:szCs w:val="24"/>
        </w:rPr>
        <w:t>Proportionality (s28(2)(e))</w:t>
      </w:r>
    </w:p>
    <w:p w14:paraId="6AEDF709" w14:textId="77777777" w:rsidR="006A7A8C" w:rsidRDefault="006A7A8C" w:rsidP="006A7A8C">
      <w:pPr>
        <w:rPr>
          <w:rFonts w:ascii="Arial" w:hAnsi="Arial" w:cs="Arial"/>
          <w:sz w:val="24"/>
          <w:szCs w:val="24"/>
        </w:rPr>
      </w:pPr>
      <w:r w:rsidRPr="005B5584">
        <w:rPr>
          <w:rFonts w:ascii="Arial" w:hAnsi="Arial" w:cs="Arial"/>
          <w:sz w:val="24"/>
          <w:szCs w:val="24"/>
        </w:rPr>
        <w:t>The accused person is best placed to produce evidence in relation to the matters in subsection (5) (i.e. whether they were exercising or assisting another person to exercise a function under the Act, if the information has already been made available to the public, or a circumstance prescribed by regulation). Accordingly, the limitation of a person’s rights under section 22 HRA resulting from imposing an evidential burden on the accused where an exception is raised is necessary to ensure that appropriate regulatory action can be taken if information confidentiality is breached.</w:t>
      </w:r>
    </w:p>
    <w:p w14:paraId="7CFCA04A" w14:textId="77777777" w:rsidR="006A7A8C" w:rsidRPr="005B5584" w:rsidRDefault="006A7A8C" w:rsidP="006A7A8C">
      <w:pPr>
        <w:rPr>
          <w:rFonts w:ascii="Arial" w:hAnsi="Arial" w:cs="Arial"/>
          <w:sz w:val="24"/>
          <w:szCs w:val="24"/>
        </w:rPr>
      </w:pPr>
    </w:p>
    <w:p w14:paraId="18B81B27" w14:textId="77777777" w:rsidR="00174EE4" w:rsidRPr="00174EE4" w:rsidRDefault="00174EE4" w:rsidP="00E97C79">
      <w:pPr>
        <w:keepNext/>
        <w:rPr>
          <w:rFonts w:ascii="Arial" w:hAnsi="Arial" w:cs="Arial"/>
          <w:i/>
          <w:sz w:val="24"/>
          <w:szCs w:val="24"/>
        </w:rPr>
      </w:pPr>
      <w:r>
        <w:rPr>
          <w:rFonts w:ascii="Arial" w:hAnsi="Arial" w:cs="Arial"/>
          <w:iCs/>
          <w:sz w:val="24"/>
          <w:szCs w:val="24"/>
          <w:u w:val="single"/>
        </w:rPr>
        <w:t xml:space="preserve">Section 21 HRA – Right to Fair Trial – Amendments to </w:t>
      </w:r>
      <w:r>
        <w:rPr>
          <w:rFonts w:ascii="Arial" w:hAnsi="Arial" w:cs="Arial"/>
          <w:i/>
          <w:sz w:val="24"/>
          <w:szCs w:val="24"/>
          <w:u w:val="single"/>
        </w:rPr>
        <w:t>Supreme Court Act 1933</w:t>
      </w:r>
    </w:p>
    <w:p w14:paraId="391E25F3" w14:textId="77777777" w:rsidR="00174EE4" w:rsidRPr="00414921" w:rsidRDefault="00174EE4" w:rsidP="00E97C79">
      <w:pPr>
        <w:pStyle w:val="ListParagraph"/>
        <w:keepNext/>
        <w:numPr>
          <w:ilvl w:val="0"/>
          <w:numId w:val="13"/>
        </w:numPr>
        <w:rPr>
          <w:rFonts w:ascii="Arial" w:hAnsi="Arial" w:cs="Arial"/>
          <w:b/>
          <w:bCs/>
          <w:i/>
          <w:sz w:val="24"/>
          <w:szCs w:val="24"/>
        </w:rPr>
      </w:pPr>
      <w:r w:rsidRPr="00414921">
        <w:rPr>
          <w:rFonts w:ascii="Arial" w:hAnsi="Arial" w:cs="Arial"/>
          <w:b/>
          <w:bCs/>
          <w:i/>
          <w:sz w:val="24"/>
          <w:szCs w:val="24"/>
        </w:rPr>
        <w:t>Nature of the right and the limitation (s28(a) and</w:t>
      </w:r>
      <w:r>
        <w:rPr>
          <w:rFonts w:ascii="Arial" w:hAnsi="Arial" w:cs="Arial"/>
          <w:b/>
          <w:bCs/>
          <w:i/>
          <w:sz w:val="24"/>
          <w:szCs w:val="24"/>
        </w:rPr>
        <w:t xml:space="preserve"> </w:t>
      </w:r>
      <w:r w:rsidRPr="00414921">
        <w:rPr>
          <w:rFonts w:ascii="Arial" w:hAnsi="Arial" w:cs="Arial"/>
          <w:b/>
          <w:bCs/>
          <w:i/>
          <w:sz w:val="24"/>
          <w:szCs w:val="24"/>
        </w:rPr>
        <w:t>(c))</w:t>
      </w:r>
    </w:p>
    <w:p w14:paraId="54A2B4AA" w14:textId="77777777" w:rsidR="00174EE4" w:rsidRPr="002D028C" w:rsidRDefault="00174EE4" w:rsidP="00174EE4">
      <w:pPr>
        <w:pStyle w:val="ListParagraph"/>
        <w:ind w:left="360"/>
        <w:rPr>
          <w:rFonts w:ascii="Arial" w:hAnsi="Arial" w:cs="Arial"/>
          <w:i/>
          <w:sz w:val="24"/>
          <w:szCs w:val="24"/>
        </w:rPr>
      </w:pPr>
    </w:p>
    <w:p w14:paraId="5CA45B1E" w14:textId="05EF53A3" w:rsidR="00E64C29" w:rsidRPr="00E64C29" w:rsidRDefault="00E64C29" w:rsidP="003A6311">
      <w:pPr>
        <w:pStyle w:val="ListParagraph"/>
        <w:spacing w:line="276" w:lineRule="auto"/>
        <w:ind w:left="360"/>
        <w:rPr>
          <w:rFonts w:ascii="Arial" w:hAnsi="Arial" w:cs="Arial"/>
          <w:iCs/>
          <w:sz w:val="24"/>
          <w:szCs w:val="24"/>
        </w:rPr>
      </w:pPr>
      <w:r w:rsidRPr="00E64C29">
        <w:rPr>
          <w:rFonts w:ascii="Arial" w:hAnsi="Arial" w:cs="Arial"/>
          <w:iCs/>
          <w:sz w:val="24"/>
          <w:szCs w:val="24"/>
        </w:rPr>
        <w:t xml:space="preserve">The </w:t>
      </w:r>
      <w:r w:rsidR="00CE487C" w:rsidRPr="00E64C29">
        <w:rPr>
          <w:rFonts w:ascii="Arial" w:hAnsi="Arial" w:cs="Arial"/>
          <w:iCs/>
          <w:sz w:val="24"/>
          <w:szCs w:val="24"/>
        </w:rPr>
        <w:t>ri</w:t>
      </w:r>
      <w:r w:rsidR="00CE487C">
        <w:rPr>
          <w:rFonts w:ascii="Arial" w:hAnsi="Arial" w:cs="Arial"/>
          <w:iCs/>
          <w:sz w:val="24"/>
          <w:szCs w:val="24"/>
        </w:rPr>
        <w:t>gh</w:t>
      </w:r>
      <w:r w:rsidR="00CE487C" w:rsidRPr="00E64C29">
        <w:rPr>
          <w:rFonts w:ascii="Arial" w:hAnsi="Arial" w:cs="Arial"/>
          <w:iCs/>
          <w:sz w:val="24"/>
          <w:szCs w:val="24"/>
        </w:rPr>
        <w:t>t</w:t>
      </w:r>
      <w:r w:rsidRPr="00E64C29">
        <w:rPr>
          <w:rFonts w:ascii="Arial" w:hAnsi="Arial" w:cs="Arial"/>
          <w:iCs/>
          <w:sz w:val="24"/>
          <w:szCs w:val="24"/>
        </w:rPr>
        <w:t xml:space="preserve"> to fair trial provides that everyone has a right to have </w:t>
      </w:r>
      <w:r w:rsidR="00505472">
        <w:rPr>
          <w:rFonts w:ascii="Arial" w:hAnsi="Arial" w:cs="Arial"/>
          <w:iCs/>
          <w:sz w:val="24"/>
          <w:szCs w:val="24"/>
        </w:rPr>
        <w:t xml:space="preserve">the determination of </w:t>
      </w:r>
      <w:r w:rsidRPr="00E64C29">
        <w:rPr>
          <w:rFonts w:ascii="Arial" w:hAnsi="Arial" w:cs="Arial"/>
          <w:iCs/>
          <w:sz w:val="24"/>
          <w:szCs w:val="24"/>
        </w:rPr>
        <w:t>rights and obligations recognised by law decided by a competent, independent and impartial court or tribunal after a fair and public hearing.</w:t>
      </w:r>
    </w:p>
    <w:p w14:paraId="7E501D5A" w14:textId="77777777" w:rsidR="00E64C29" w:rsidRPr="002D028C" w:rsidRDefault="00E64C29" w:rsidP="003A6311">
      <w:pPr>
        <w:pStyle w:val="ListParagraph"/>
        <w:spacing w:line="276" w:lineRule="auto"/>
        <w:ind w:left="360"/>
        <w:rPr>
          <w:rFonts w:ascii="Arial" w:hAnsi="Arial" w:cs="Arial"/>
          <w:iCs/>
          <w:sz w:val="24"/>
          <w:szCs w:val="24"/>
        </w:rPr>
      </w:pPr>
    </w:p>
    <w:p w14:paraId="0B076C17" w14:textId="7E7F86C5" w:rsidR="00174EE4" w:rsidRPr="005A3334" w:rsidRDefault="00FF39CF" w:rsidP="005A3334">
      <w:pPr>
        <w:pStyle w:val="ListParagraph"/>
        <w:spacing w:line="276" w:lineRule="auto"/>
        <w:ind w:left="360"/>
        <w:rPr>
          <w:rFonts w:ascii="Arial" w:hAnsi="Arial" w:cs="Arial"/>
          <w:iCs/>
          <w:sz w:val="24"/>
          <w:szCs w:val="24"/>
        </w:rPr>
      </w:pPr>
      <w:r w:rsidRPr="00FF39CF">
        <w:rPr>
          <w:rFonts w:ascii="Arial" w:hAnsi="Arial" w:cs="Arial"/>
          <w:iCs/>
          <w:sz w:val="24"/>
          <w:szCs w:val="24"/>
        </w:rPr>
        <w:lastRenderedPageBreak/>
        <w:t xml:space="preserve">The amendment to the </w:t>
      </w:r>
      <w:r w:rsidRPr="009D283D">
        <w:rPr>
          <w:rFonts w:ascii="Arial" w:hAnsi="Arial" w:cs="Arial"/>
          <w:i/>
          <w:sz w:val="24"/>
          <w:szCs w:val="24"/>
        </w:rPr>
        <w:t>Supreme Court Act 1933</w:t>
      </w:r>
      <w:r w:rsidRPr="00FF39CF">
        <w:rPr>
          <w:rFonts w:ascii="Arial" w:hAnsi="Arial" w:cs="Arial"/>
          <w:iCs/>
          <w:sz w:val="24"/>
          <w:szCs w:val="24"/>
        </w:rPr>
        <w:t xml:space="preserve"> </w:t>
      </w:r>
      <w:r w:rsidR="009D283D">
        <w:rPr>
          <w:rFonts w:ascii="Arial" w:hAnsi="Arial" w:cs="Arial"/>
          <w:iCs/>
          <w:sz w:val="24"/>
          <w:szCs w:val="24"/>
        </w:rPr>
        <w:t>will</w:t>
      </w:r>
      <w:r w:rsidR="00DE3DDB">
        <w:rPr>
          <w:rFonts w:ascii="Arial" w:hAnsi="Arial" w:cs="Arial"/>
          <w:iCs/>
          <w:sz w:val="24"/>
          <w:szCs w:val="24"/>
        </w:rPr>
        <w:t xml:space="preserve"> allow the Supreme Court to initiate a declaration </w:t>
      </w:r>
      <w:r w:rsidR="009D283D">
        <w:rPr>
          <w:rFonts w:ascii="Arial" w:hAnsi="Arial" w:cs="Arial"/>
          <w:iCs/>
          <w:sz w:val="24"/>
          <w:szCs w:val="24"/>
        </w:rPr>
        <w:t>of a vexatious litigant</w:t>
      </w:r>
      <w:r w:rsidR="00DE3DDB">
        <w:rPr>
          <w:rFonts w:ascii="Arial" w:hAnsi="Arial" w:cs="Arial"/>
          <w:iCs/>
          <w:sz w:val="24"/>
          <w:szCs w:val="24"/>
        </w:rPr>
        <w:t xml:space="preserve"> on its own motion.</w:t>
      </w:r>
      <w:r w:rsidR="005E42A0">
        <w:rPr>
          <w:rFonts w:ascii="Arial" w:hAnsi="Arial" w:cs="Arial"/>
          <w:iCs/>
          <w:sz w:val="24"/>
          <w:szCs w:val="24"/>
        </w:rPr>
        <w:t xml:space="preserve"> If a person is declared a vexatious litigant, the person shall not continue their proceedings (or any proceedings of that type) without leave of the court (s 67A).</w:t>
      </w:r>
      <w:r w:rsidR="009D283D">
        <w:rPr>
          <w:rFonts w:ascii="Arial" w:hAnsi="Arial" w:cs="Arial"/>
          <w:iCs/>
          <w:sz w:val="24"/>
          <w:szCs w:val="24"/>
        </w:rPr>
        <w:t xml:space="preserve"> </w:t>
      </w:r>
      <w:r w:rsidR="00DE3DDB" w:rsidRPr="009D283D">
        <w:rPr>
          <w:rFonts w:ascii="Arial" w:hAnsi="Arial" w:cs="Arial"/>
          <w:iCs/>
          <w:sz w:val="24"/>
          <w:szCs w:val="24"/>
        </w:rPr>
        <w:t xml:space="preserve">The amendment </w:t>
      </w:r>
      <w:r w:rsidRPr="009D283D">
        <w:rPr>
          <w:rFonts w:ascii="Arial" w:hAnsi="Arial" w:cs="Arial"/>
          <w:iCs/>
          <w:sz w:val="24"/>
          <w:szCs w:val="24"/>
        </w:rPr>
        <w:t xml:space="preserve">will limit the right to fair trial because it may prevent a person from making </w:t>
      </w:r>
      <w:r w:rsidR="005E42A0" w:rsidRPr="009D283D">
        <w:rPr>
          <w:rFonts w:ascii="Arial" w:hAnsi="Arial" w:cs="Arial"/>
          <w:iCs/>
          <w:sz w:val="24"/>
          <w:szCs w:val="24"/>
        </w:rPr>
        <w:t xml:space="preserve">or continuing </w:t>
      </w:r>
      <w:r w:rsidRPr="009D283D">
        <w:rPr>
          <w:rFonts w:ascii="Arial" w:hAnsi="Arial" w:cs="Arial"/>
          <w:iCs/>
          <w:sz w:val="24"/>
          <w:szCs w:val="24"/>
        </w:rPr>
        <w:t>a claim in court.</w:t>
      </w:r>
      <w:r w:rsidR="005E42A0" w:rsidRPr="009D283D">
        <w:rPr>
          <w:rFonts w:ascii="Arial" w:hAnsi="Arial" w:cs="Arial"/>
          <w:iCs/>
          <w:sz w:val="24"/>
          <w:szCs w:val="24"/>
        </w:rPr>
        <w:t xml:space="preserve"> </w:t>
      </w:r>
      <w:r w:rsidR="005A3334">
        <w:rPr>
          <w:rFonts w:ascii="Arial" w:hAnsi="Arial" w:cs="Arial"/>
          <w:iCs/>
          <w:sz w:val="24"/>
          <w:szCs w:val="24"/>
        </w:rPr>
        <w:br/>
      </w:r>
    </w:p>
    <w:p w14:paraId="36CA53F9" w14:textId="77777777" w:rsidR="00174EE4" w:rsidRPr="00414921" w:rsidRDefault="00174EE4" w:rsidP="00E64C29">
      <w:pPr>
        <w:pStyle w:val="ListParagraph"/>
        <w:numPr>
          <w:ilvl w:val="0"/>
          <w:numId w:val="13"/>
        </w:numPr>
        <w:rPr>
          <w:rFonts w:ascii="Arial" w:hAnsi="Arial" w:cs="Arial"/>
          <w:b/>
          <w:bCs/>
          <w:i/>
          <w:sz w:val="24"/>
          <w:szCs w:val="24"/>
        </w:rPr>
      </w:pPr>
      <w:r w:rsidRPr="00414921">
        <w:rPr>
          <w:rFonts w:ascii="Arial" w:hAnsi="Arial" w:cs="Arial"/>
          <w:b/>
          <w:bCs/>
          <w:i/>
          <w:sz w:val="24"/>
          <w:szCs w:val="24"/>
        </w:rPr>
        <w:t>Legitimate purpose (s28(b))</w:t>
      </w:r>
    </w:p>
    <w:p w14:paraId="0B043D7B" w14:textId="77777777" w:rsidR="00174EE4" w:rsidRPr="00566EBD" w:rsidRDefault="00174EE4" w:rsidP="00174EE4">
      <w:pPr>
        <w:pStyle w:val="ListParagraph"/>
        <w:ind w:left="360"/>
        <w:rPr>
          <w:rFonts w:ascii="Arial" w:hAnsi="Arial" w:cs="Arial"/>
          <w:i/>
          <w:sz w:val="24"/>
          <w:szCs w:val="24"/>
        </w:rPr>
      </w:pPr>
    </w:p>
    <w:p w14:paraId="65CB855A" w14:textId="5A95B83A" w:rsidR="003A6311" w:rsidRDefault="00DE3DDB" w:rsidP="003A6311">
      <w:pPr>
        <w:pStyle w:val="ListParagraph"/>
        <w:spacing w:line="276" w:lineRule="auto"/>
        <w:ind w:left="360"/>
        <w:rPr>
          <w:rFonts w:ascii="Arial" w:hAnsi="Arial" w:cs="Arial"/>
          <w:iCs/>
          <w:sz w:val="24"/>
          <w:szCs w:val="24"/>
        </w:rPr>
      </w:pPr>
      <w:r w:rsidRPr="00566EBD">
        <w:rPr>
          <w:rFonts w:ascii="Arial" w:hAnsi="Arial" w:cs="Arial"/>
          <w:iCs/>
          <w:sz w:val="24"/>
          <w:szCs w:val="24"/>
        </w:rPr>
        <w:t xml:space="preserve">The amendment </w:t>
      </w:r>
      <w:r w:rsidR="008E5F69">
        <w:rPr>
          <w:rFonts w:ascii="Arial" w:hAnsi="Arial" w:cs="Arial"/>
          <w:iCs/>
          <w:sz w:val="24"/>
          <w:szCs w:val="24"/>
        </w:rPr>
        <w:t xml:space="preserve">is intended to </w:t>
      </w:r>
      <w:r w:rsidR="001F61DB">
        <w:rPr>
          <w:rFonts w:ascii="Arial" w:hAnsi="Arial" w:cs="Arial"/>
          <w:iCs/>
          <w:sz w:val="24"/>
          <w:szCs w:val="24"/>
        </w:rPr>
        <w:t xml:space="preserve">improve the effectiveness of legal recourse for community members by </w:t>
      </w:r>
      <w:r w:rsidR="008E5F69">
        <w:rPr>
          <w:rFonts w:ascii="Arial" w:hAnsi="Arial" w:cs="Arial"/>
          <w:iCs/>
          <w:sz w:val="24"/>
          <w:szCs w:val="24"/>
        </w:rPr>
        <w:t>s</w:t>
      </w:r>
      <w:r w:rsidRPr="00566EBD">
        <w:rPr>
          <w:rFonts w:ascii="Arial" w:hAnsi="Arial" w:cs="Arial"/>
          <w:iCs/>
          <w:sz w:val="24"/>
          <w:szCs w:val="24"/>
        </w:rPr>
        <w:t>upport</w:t>
      </w:r>
      <w:r w:rsidR="001F61DB">
        <w:rPr>
          <w:rFonts w:ascii="Arial" w:hAnsi="Arial" w:cs="Arial"/>
          <w:iCs/>
          <w:sz w:val="24"/>
          <w:szCs w:val="24"/>
        </w:rPr>
        <w:t>ing</w:t>
      </w:r>
      <w:r w:rsidRPr="00566EBD">
        <w:rPr>
          <w:rFonts w:ascii="Arial" w:hAnsi="Arial" w:cs="Arial"/>
          <w:iCs/>
          <w:sz w:val="24"/>
          <w:szCs w:val="24"/>
        </w:rPr>
        <w:t xml:space="preserve"> the proper administration of the Court</w:t>
      </w:r>
      <w:r w:rsidR="008E5F69">
        <w:rPr>
          <w:rFonts w:ascii="Arial" w:hAnsi="Arial" w:cs="Arial"/>
          <w:iCs/>
          <w:sz w:val="24"/>
          <w:szCs w:val="24"/>
        </w:rPr>
        <w:t xml:space="preserve"> by </w:t>
      </w:r>
      <w:r w:rsidR="003A6311" w:rsidRPr="003A6311">
        <w:rPr>
          <w:rFonts w:ascii="Arial" w:hAnsi="Arial" w:cs="Arial"/>
          <w:iCs/>
          <w:sz w:val="24"/>
          <w:szCs w:val="24"/>
        </w:rPr>
        <w:t>enhanc</w:t>
      </w:r>
      <w:r w:rsidR="008E5F69">
        <w:rPr>
          <w:rFonts w:ascii="Arial" w:hAnsi="Arial" w:cs="Arial"/>
          <w:iCs/>
          <w:sz w:val="24"/>
          <w:szCs w:val="24"/>
        </w:rPr>
        <w:t>ing</w:t>
      </w:r>
      <w:r w:rsidR="003A6311" w:rsidRPr="003A6311">
        <w:rPr>
          <w:rFonts w:ascii="Arial" w:hAnsi="Arial" w:cs="Arial"/>
          <w:iCs/>
          <w:sz w:val="24"/>
          <w:szCs w:val="24"/>
        </w:rPr>
        <w:t xml:space="preserve"> the Court’s ability to intervene early, reduce misuse of the legal system, and ensure that judicial resources are appropriately directed.</w:t>
      </w:r>
      <w:r w:rsidR="001F61DB">
        <w:rPr>
          <w:rFonts w:ascii="Arial" w:hAnsi="Arial" w:cs="Arial"/>
          <w:iCs/>
          <w:sz w:val="24"/>
          <w:szCs w:val="24"/>
        </w:rPr>
        <w:t xml:space="preserve"> It also protects persons who are harassed by vexatious litigation.</w:t>
      </w:r>
    </w:p>
    <w:p w14:paraId="4F2C869F" w14:textId="77777777" w:rsidR="003A6311" w:rsidRDefault="003A6311" w:rsidP="003A6311">
      <w:pPr>
        <w:pStyle w:val="ListParagraph"/>
        <w:spacing w:line="276" w:lineRule="auto"/>
        <w:ind w:left="360"/>
        <w:rPr>
          <w:rFonts w:ascii="Arial" w:hAnsi="Arial" w:cs="Arial"/>
          <w:iCs/>
          <w:sz w:val="24"/>
          <w:szCs w:val="24"/>
        </w:rPr>
      </w:pPr>
    </w:p>
    <w:p w14:paraId="0D87DF48" w14:textId="77BED53D" w:rsidR="00DE3DDB" w:rsidRPr="002D028C" w:rsidRDefault="00DE3DDB" w:rsidP="00174EE4">
      <w:pPr>
        <w:pStyle w:val="ListParagraph"/>
        <w:ind w:left="360"/>
        <w:rPr>
          <w:rFonts w:ascii="Arial" w:hAnsi="Arial" w:cs="Arial"/>
          <w:i/>
          <w:sz w:val="24"/>
          <w:szCs w:val="24"/>
        </w:rPr>
      </w:pPr>
    </w:p>
    <w:p w14:paraId="583982A1" w14:textId="77777777" w:rsidR="00174EE4" w:rsidRPr="002D028C" w:rsidRDefault="00174EE4" w:rsidP="00155085">
      <w:pPr>
        <w:pStyle w:val="ListParagraph"/>
        <w:keepNext/>
        <w:numPr>
          <w:ilvl w:val="0"/>
          <w:numId w:val="13"/>
        </w:numPr>
        <w:ind w:left="357"/>
        <w:rPr>
          <w:rFonts w:ascii="Arial" w:hAnsi="Arial" w:cs="Arial"/>
          <w:b/>
          <w:bCs/>
          <w:i/>
          <w:sz w:val="24"/>
          <w:szCs w:val="24"/>
        </w:rPr>
      </w:pPr>
      <w:r w:rsidRPr="002D028C">
        <w:rPr>
          <w:rFonts w:ascii="Arial" w:hAnsi="Arial" w:cs="Arial"/>
          <w:b/>
          <w:bCs/>
          <w:i/>
          <w:sz w:val="24"/>
          <w:szCs w:val="24"/>
        </w:rPr>
        <w:t>Rational connection between the limitation and the purpose (s28(d))</w:t>
      </w:r>
    </w:p>
    <w:p w14:paraId="31554E07" w14:textId="77777777" w:rsidR="00174EE4" w:rsidRPr="002D028C" w:rsidRDefault="00174EE4" w:rsidP="00155085">
      <w:pPr>
        <w:pStyle w:val="ListParagraph"/>
        <w:keepNext/>
        <w:ind w:left="357"/>
        <w:rPr>
          <w:rFonts w:ascii="Arial" w:hAnsi="Arial" w:cs="Arial"/>
          <w:i/>
          <w:sz w:val="24"/>
          <w:szCs w:val="24"/>
        </w:rPr>
      </w:pPr>
    </w:p>
    <w:p w14:paraId="770CB3AC" w14:textId="08596AC1" w:rsidR="00566EBD" w:rsidRPr="005058F3" w:rsidRDefault="005058F3" w:rsidP="00155085">
      <w:pPr>
        <w:pStyle w:val="ListParagraph"/>
        <w:keepNext/>
        <w:spacing w:line="276" w:lineRule="auto"/>
        <w:ind w:left="357"/>
        <w:rPr>
          <w:rFonts w:ascii="Arial" w:hAnsi="Arial" w:cs="Arial"/>
          <w:iCs/>
          <w:sz w:val="24"/>
          <w:szCs w:val="24"/>
        </w:rPr>
      </w:pPr>
      <w:r>
        <w:rPr>
          <w:rFonts w:ascii="Arial" w:hAnsi="Arial" w:cs="Arial"/>
          <w:iCs/>
          <w:sz w:val="24"/>
          <w:szCs w:val="24"/>
        </w:rPr>
        <w:t xml:space="preserve">The amendment will enable </w:t>
      </w:r>
      <w:r w:rsidR="00566EBD" w:rsidRPr="005058F3">
        <w:rPr>
          <w:rFonts w:ascii="Arial" w:hAnsi="Arial" w:cs="Arial"/>
          <w:iCs/>
          <w:sz w:val="24"/>
          <w:szCs w:val="24"/>
        </w:rPr>
        <w:t>the Court to initiate a declaration for vexatious litigants</w:t>
      </w:r>
      <w:r w:rsidR="000649F2">
        <w:rPr>
          <w:rFonts w:ascii="Arial" w:hAnsi="Arial" w:cs="Arial"/>
          <w:iCs/>
          <w:sz w:val="24"/>
          <w:szCs w:val="24"/>
        </w:rPr>
        <w:t xml:space="preserve">, rather than </w:t>
      </w:r>
      <w:r w:rsidR="000707EA" w:rsidRPr="005058F3">
        <w:rPr>
          <w:rFonts w:ascii="Arial" w:hAnsi="Arial" w:cs="Arial"/>
          <w:iCs/>
          <w:sz w:val="24"/>
          <w:szCs w:val="24"/>
        </w:rPr>
        <w:t>wait</w:t>
      </w:r>
      <w:r w:rsidR="000649F2">
        <w:rPr>
          <w:rFonts w:ascii="Arial" w:hAnsi="Arial" w:cs="Arial"/>
          <w:iCs/>
          <w:sz w:val="24"/>
          <w:szCs w:val="24"/>
        </w:rPr>
        <w:t>ing</w:t>
      </w:r>
      <w:r w:rsidR="000707EA" w:rsidRPr="005058F3">
        <w:rPr>
          <w:rFonts w:ascii="Arial" w:hAnsi="Arial" w:cs="Arial"/>
          <w:iCs/>
          <w:sz w:val="24"/>
          <w:szCs w:val="24"/>
        </w:rPr>
        <w:t xml:space="preserve"> for a motion to be brought by the Attorney-General or an aggrieved party.</w:t>
      </w:r>
      <w:r w:rsidR="008E5F69">
        <w:rPr>
          <w:rFonts w:ascii="Arial" w:hAnsi="Arial" w:cs="Arial"/>
          <w:iCs/>
          <w:sz w:val="24"/>
          <w:szCs w:val="24"/>
        </w:rPr>
        <w:t xml:space="preserve"> The Court has access to data that can inform identification of a vexatious litigant, meaning in many cases it may be in a better position to identify circumstances where a declaration may be warranted more readily than aggrieved parties or the Attorney-General.</w:t>
      </w:r>
      <w:r w:rsidR="000649F2">
        <w:rPr>
          <w:rFonts w:ascii="Arial" w:hAnsi="Arial" w:cs="Arial"/>
          <w:iCs/>
          <w:sz w:val="24"/>
          <w:szCs w:val="24"/>
        </w:rPr>
        <w:t xml:space="preserve"> Earlier identification of vexatious litigants will</w:t>
      </w:r>
      <w:r w:rsidR="00DB1907">
        <w:rPr>
          <w:rFonts w:ascii="Arial" w:hAnsi="Arial" w:cs="Arial"/>
          <w:iCs/>
          <w:sz w:val="24"/>
          <w:szCs w:val="24"/>
        </w:rPr>
        <w:t xml:space="preserve"> allow the Court to intervene early</w:t>
      </w:r>
      <w:r w:rsidR="000649F2">
        <w:rPr>
          <w:rFonts w:ascii="Arial" w:hAnsi="Arial" w:cs="Arial"/>
          <w:iCs/>
          <w:sz w:val="24"/>
          <w:szCs w:val="24"/>
        </w:rPr>
        <w:t xml:space="preserve"> and reduce impacts on community members who are subject to vexatious proceedings.</w:t>
      </w:r>
    </w:p>
    <w:p w14:paraId="68608753" w14:textId="77777777" w:rsidR="00174EE4" w:rsidRPr="002D028C" w:rsidRDefault="00174EE4" w:rsidP="00174EE4">
      <w:pPr>
        <w:pStyle w:val="ListParagraph"/>
        <w:rPr>
          <w:rFonts w:ascii="Arial" w:hAnsi="Arial" w:cs="Arial"/>
          <w:i/>
          <w:sz w:val="24"/>
          <w:szCs w:val="24"/>
        </w:rPr>
      </w:pPr>
    </w:p>
    <w:p w14:paraId="3E7E64AE" w14:textId="09190532" w:rsidR="00DE3DDB" w:rsidRDefault="00174EE4" w:rsidP="006E1D48">
      <w:pPr>
        <w:pStyle w:val="ListParagraph"/>
        <w:keepNext/>
        <w:numPr>
          <w:ilvl w:val="0"/>
          <w:numId w:val="13"/>
        </w:numPr>
        <w:ind w:left="357"/>
        <w:rPr>
          <w:rFonts w:ascii="Arial" w:hAnsi="Arial" w:cs="Arial"/>
          <w:b/>
          <w:bCs/>
          <w:i/>
          <w:sz w:val="24"/>
          <w:szCs w:val="24"/>
        </w:rPr>
      </w:pPr>
      <w:r w:rsidRPr="00414921">
        <w:rPr>
          <w:rFonts w:ascii="Arial" w:hAnsi="Arial" w:cs="Arial"/>
          <w:b/>
          <w:bCs/>
          <w:i/>
          <w:sz w:val="24"/>
          <w:szCs w:val="24"/>
        </w:rPr>
        <w:t>Proportionality (s28 (e))</w:t>
      </w:r>
    </w:p>
    <w:p w14:paraId="4B2DC732" w14:textId="77777777" w:rsidR="00566EBD" w:rsidRPr="00566EBD" w:rsidRDefault="00566EBD" w:rsidP="006E1D48">
      <w:pPr>
        <w:pStyle w:val="ListParagraph"/>
        <w:keepNext/>
        <w:ind w:left="357"/>
        <w:rPr>
          <w:rFonts w:ascii="Arial" w:hAnsi="Arial" w:cs="Arial"/>
          <w:b/>
          <w:bCs/>
          <w:i/>
          <w:sz w:val="24"/>
          <w:szCs w:val="24"/>
        </w:rPr>
      </w:pPr>
    </w:p>
    <w:p w14:paraId="45999C70" w14:textId="51231ED5" w:rsidR="00DE3DDB" w:rsidRDefault="00DE3DDB" w:rsidP="006E1D48">
      <w:pPr>
        <w:keepNext/>
        <w:ind w:left="357"/>
        <w:rPr>
          <w:rFonts w:ascii="Arial" w:hAnsi="Arial" w:cs="Arial"/>
          <w:iCs/>
          <w:sz w:val="24"/>
          <w:szCs w:val="24"/>
        </w:rPr>
      </w:pPr>
      <w:r w:rsidRPr="00DE3DDB">
        <w:rPr>
          <w:rFonts w:ascii="Arial" w:hAnsi="Arial" w:cs="Arial"/>
          <w:iCs/>
          <w:sz w:val="24"/>
          <w:szCs w:val="24"/>
        </w:rPr>
        <w:t>Under section 67(2), the Supreme Court current</w:t>
      </w:r>
      <w:r>
        <w:rPr>
          <w:rFonts w:ascii="Arial" w:hAnsi="Arial" w:cs="Arial"/>
          <w:iCs/>
          <w:sz w:val="24"/>
          <w:szCs w:val="24"/>
        </w:rPr>
        <w:t xml:space="preserve">ly </w:t>
      </w:r>
      <w:r w:rsidRPr="00DE3DDB">
        <w:rPr>
          <w:rFonts w:ascii="Arial" w:hAnsi="Arial" w:cs="Arial"/>
          <w:iCs/>
          <w:sz w:val="24"/>
          <w:szCs w:val="24"/>
        </w:rPr>
        <w:t>has the power to determine that a person has frequently initiated vexatious proceedings. This proposal extends that power, allowing the Court to commence such an application on its own initiative.</w:t>
      </w:r>
    </w:p>
    <w:p w14:paraId="47EC370D" w14:textId="04E2A733" w:rsidR="00192E5A" w:rsidRDefault="00DE3DDB" w:rsidP="00155085">
      <w:pPr>
        <w:ind w:left="360"/>
        <w:rPr>
          <w:rFonts w:ascii="Arial" w:hAnsi="Arial" w:cs="Arial"/>
          <w:iCs/>
          <w:sz w:val="24"/>
          <w:szCs w:val="24"/>
        </w:rPr>
      </w:pPr>
      <w:r>
        <w:rPr>
          <w:rFonts w:ascii="Arial" w:hAnsi="Arial" w:cs="Arial"/>
          <w:iCs/>
          <w:sz w:val="24"/>
          <w:szCs w:val="24"/>
        </w:rPr>
        <w:t xml:space="preserve">The amendment is the least restrictive means reasonably available to ensure that </w:t>
      </w:r>
      <w:r w:rsidR="00FC7CE5">
        <w:rPr>
          <w:rFonts w:ascii="Arial" w:hAnsi="Arial" w:cs="Arial"/>
          <w:iCs/>
          <w:sz w:val="24"/>
          <w:szCs w:val="24"/>
        </w:rPr>
        <w:t>parties impacted by</w:t>
      </w:r>
      <w:r>
        <w:rPr>
          <w:rFonts w:ascii="Arial" w:hAnsi="Arial" w:cs="Arial"/>
          <w:iCs/>
          <w:sz w:val="24"/>
          <w:szCs w:val="24"/>
        </w:rPr>
        <w:t xml:space="preserve"> vexatious litigants (who are often self-represented) face less barriers to justice</w:t>
      </w:r>
      <w:r w:rsidR="005E42A0">
        <w:rPr>
          <w:rFonts w:ascii="Arial" w:hAnsi="Arial" w:cs="Arial"/>
          <w:iCs/>
          <w:sz w:val="24"/>
          <w:szCs w:val="24"/>
        </w:rPr>
        <w:t xml:space="preserve">. </w:t>
      </w:r>
      <w:r>
        <w:rPr>
          <w:rFonts w:ascii="Arial" w:hAnsi="Arial" w:cs="Arial"/>
          <w:iCs/>
          <w:sz w:val="24"/>
          <w:szCs w:val="24"/>
        </w:rPr>
        <w:t xml:space="preserve">These </w:t>
      </w:r>
      <w:r w:rsidR="00155085">
        <w:rPr>
          <w:rFonts w:ascii="Arial" w:hAnsi="Arial" w:cs="Arial"/>
          <w:iCs/>
          <w:sz w:val="24"/>
          <w:szCs w:val="24"/>
        </w:rPr>
        <w:t>community members</w:t>
      </w:r>
      <w:r>
        <w:rPr>
          <w:rFonts w:ascii="Arial" w:hAnsi="Arial" w:cs="Arial"/>
          <w:iCs/>
          <w:sz w:val="24"/>
          <w:szCs w:val="24"/>
        </w:rPr>
        <w:t xml:space="preserve"> often spend significant time and cost to initiate onerous application processes to declare that a proceeding is vexatious. </w:t>
      </w:r>
      <w:r w:rsidR="005E42A0">
        <w:rPr>
          <w:rFonts w:ascii="Arial" w:hAnsi="Arial" w:cs="Arial"/>
          <w:iCs/>
          <w:sz w:val="24"/>
          <w:szCs w:val="24"/>
        </w:rPr>
        <w:t>These costs also fall on the Courts</w:t>
      </w:r>
      <w:r w:rsidR="008F6970">
        <w:rPr>
          <w:rFonts w:ascii="Arial" w:hAnsi="Arial" w:cs="Arial"/>
          <w:iCs/>
          <w:sz w:val="24"/>
          <w:szCs w:val="24"/>
        </w:rPr>
        <w:t>, and so the savings in time and cost ultimately promote the right of other, non-vexatious, litigants to a fair trial.</w:t>
      </w:r>
    </w:p>
    <w:p w14:paraId="34145A26" w14:textId="2230B1C8" w:rsidR="00192E5A" w:rsidRDefault="00192E5A" w:rsidP="00DE3DDB">
      <w:pPr>
        <w:ind w:left="360"/>
        <w:rPr>
          <w:rFonts w:ascii="Arial" w:hAnsi="Arial" w:cs="Arial"/>
          <w:iCs/>
          <w:sz w:val="24"/>
          <w:szCs w:val="24"/>
        </w:rPr>
      </w:pPr>
      <w:r>
        <w:rPr>
          <w:rFonts w:ascii="Arial" w:hAnsi="Arial" w:cs="Arial"/>
          <w:iCs/>
          <w:sz w:val="24"/>
          <w:szCs w:val="24"/>
        </w:rPr>
        <w:t>Whilst a declaration limits the rights for vexatious litigants to take their matter to trial, it saves time and resources for the victim and for the courts, who can then use these resources on non-vexatious matters.</w:t>
      </w:r>
    </w:p>
    <w:p w14:paraId="24A84580" w14:textId="5F282C8B" w:rsidR="00DE3DDB" w:rsidRDefault="00DE3DDB" w:rsidP="00DE3DDB">
      <w:pPr>
        <w:ind w:left="360"/>
        <w:rPr>
          <w:rFonts w:ascii="Arial" w:hAnsi="Arial" w:cs="Arial"/>
          <w:iCs/>
          <w:sz w:val="24"/>
          <w:szCs w:val="24"/>
        </w:rPr>
      </w:pPr>
      <w:r>
        <w:rPr>
          <w:rFonts w:ascii="Arial" w:hAnsi="Arial" w:cs="Arial"/>
          <w:iCs/>
          <w:sz w:val="24"/>
          <w:szCs w:val="24"/>
        </w:rPr>
        <w:lastRenderedPageBreak/>
        <w:t xml:space="preserve">This amendment may result in an increase of declarations for vexatious litigants, though the </w:t>
      </w:r>
      <w:r w:rsidR="00FC7CE5">
        <w:rPr>
          <w:rFonts w:ascii="Arial" w:hAnsi="Arial" w:cs="Arial"/>
          <w:iCs/>
          <w:sz w:val="24"/>
          <w:szCs w:val="24"/>
        </w:rPr>
        <w:t>number</w:t>
      </w:r>
      <w:r>
        <w:rPr>
          <w:rFonts w:ascii="Arial" w:hAnsi="Arial" w:cs="Arial"/>
          <w:iCs/>
          <w:sz w:val="24"/>
          <w:szCs w:val="24"/>
        </w:rPr>
        <w:t xml:space="preserve"> of vexatious litigants will likely not change – meaning the ability for the Court to commence proceedings on their own motion only relieves </w:t>
      </w:r>
      <w:r w:rsidR="008B0479">
        <w:rPr>
          <w:rFonts w:ascii="Arial" w:hAnsi="Arial" w:cs="Arial"/>
          <w:iCs/>
          <w:sz w:val="24"/>
          <w:szCs w:val="24"/>
        </w:rPr>
        <w:t>aggrieved parties</w:t>
      </w:r>
      <w:r>
        <w:rPr>
          <w:rFonts w:ascii="Arial" w:hAnsi="Arial" w:cs="Arial"/>
          <w:iCs/>
          <w:sz w:val="24"/>
          <w:szCs w:val="24"/>
        </w:rPr>
        <w:t xml:space="preserve"> from the costs </w:t>
      </w:r>
      <w:r w:rsidR="00FB6E20">
        <w:rPr>
          <w:rFonts w:ascii="Arial" w:hAnsi="Arial" w:cs="Arial"/>
          <w:iCs/>
          <w:sz w:val="24"/>
          <w:szCs w:val="24"/>
        </w:rPr>
        <w:t>applying for the declaration</w:t>
      </w:r>
      <w:r>
        <w:rPr>
          <w:rFonts w:ascii="Arial" w:hAnsi="Arial" w:cs="Arial"/>
          <w:iCs/>
          <w:sz w:val="24"/>
          <w:szCs w:val="24"/>
        </w:rPr>
        <w:t xml:space="preserve"> themselves.</w:t>
      </w:r>
    </w:p>
    <w:p w14:paraId="74BA8AAD" w14:textId="0940E3D7" w:rsidR="0056164B" w:rsidRDefault="005E42A0" w:rsidP="004D306D">
      <w:pPr>
        <w:ind w:left="360"/>
        <w:rPr>
          <w:rFonts w:ascii="Arial" w:hAnsi="Arial" w:cs="Arial"/>
          <w:iCs/>
          <w:sz w:val="24"/>
          <w:szCs w:val="24"/>
        </w:rPr>
      </w:pPr>
      <w:r>
        <w:rPr>
          <w:rFonts w:ascii="Arial" w:hAnsi="Arial" w:cs="Arial"/>
          <w:iCs/>
          <w:sz w:val="24"/>
          <w:szCs w:val="24"/>
        </w:rPr>
        <w:t>After a person is declared a vexatious litigant, the Court may still give leave to a person to continue proceedings, with or without the conditions it considers appropriate (s 67A</w:t>
      </w:r>
      <w:r w:rsidR="009E3726">
        <w:rPr>
          <w:rFonts w:ascii="Arial" w:hAnsi="Arial" w:cs="Arial"/>
          <w:iCs/>
          <w:sz w:val="24"/>
          <w:szCs w:val="24"/>
        </w:rPr>
        <w:t xml:space="preserve"> </w:t>
      </w:r>
      <w:r>
        <w:rPr>
          <w:rFonts w:ascii="Arial" w:hAnsi="Arial" w:cs="Arial"/>
          <w:iCs/>
          <w:sz w:val="24"/>
          <w:szCs w:val="24"/>
        </w:rPr>
        <w:t>(4)). This pre-existing safeguard allows for the vexatious litigant to gain back their right to fair trial, in certain cases, when the court deems it appropriate to do so. Section 67A</w:t>
      </w:r>
      <w:r w:rsidR="00F47848">
        <w:rPr>
          <w:rFonts w:ascii="Arial" w:hAnsi="Arial" w:cs="Arial"/>
          <w:iCs/>
          <w:sz w:val="24"/>
          <w:szCs w:val="24"/>
        </w:rPr>
        <w:t xml:space="preserve"> </w:t>
      </w:r>
      <w:r>
        <w:rPr>
          <w:rFonts w:ascii="Arial" w:hAnsi="Arial" w:cs="Arial"/>
          <w:iCs/>
          <w:sz w:val="24"/>
          <w:szCs w:val="24"/>
        </w:rPr>
        <w:t>(11) also provides that a person declared to be a vexatious litigant may, without the leave of the court, apply to the court for the revocation or variation of the declaration (or its conditions).</w:t>
      </w:r>
    </w:p>
    <w:p w14:paraId="5B4FB5B2" w14:textId="0ED3DB88" w:rsidR="00CD22FA" w:rsidRDefault="00CD22FA">
      <w:pPr>
        <w:spacing w:after="160" w:line="259" w:lineRule="auto"/>
        <w:rPr>
          <w:rFonts w:ascii="Arial" w:hAnsi="Arial" w:cs="Arial"/>
          <w:iCs/>
          <w:sz w:val="24"/>
          <w:szCs w:val="24"/>
        </w:rPr>
      </w:pPr>
      <w:r>
        <w:rPr>
          <w:rFonts w:ascii="Arial" w:hAnsi="Arial" w:cs="Arial"/>
          <w:iCs/>
          <w:sz w:val="24"/>
          <w:szCs w:val="24"/>
        </w:rPr>
        <w:br w:type="page"/>
      </w:r>
    </w:p>
    <w:p w14:paraId="502E3269" w14:textId="335C4E44" w:rsidR="00CD22FA" w:rsidRPr="00943C7F" w:rsidRDefault="00CD22FA" w:rsidP="00CD22FA">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lastRenderedPageBreak/>
        <w:t>JUSTICE AND COMMUNITY SAFETY LEGISLATION AMENDMENT BILL 2026</w:t>
      </w:r>
    </w:p>
    <w:p w14:paraId="1750D92A" w14:textId="77777777" w:rsidR="00CD22FA" w:rsidRPr="003E5EE6" w:rsidRDefault="00CD22FA" w:rsidP="00CD22FA">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3A7CCC5" w14:textId="77777777" w:rsidR="00CD22FA" w:rsidRDefault="00CD22FA" w:rsidP="00CD22FA"/>
    <w:p w14:paraId="276750FF" w14:textId="77777777" w:rsidR="00CD22FA" w:rsidRPr="00D77995" w:rsidRDefault="00CD22FA" w:rsidP="00CD22FA"/>
    <w:p w14:paraId="419B1FA7" w14:textId="163B4551" w:rsidR="00CD22FA" w:rsidRDefault="00CD22FA" w:rsidP="00CD22FA">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Justice and Community Safety Legislation Amendment Bill 2026</w:t>
      </w:r>
      <w:r w:rsidRPr="00521950">
        <w:rPr>
          <w:rFonts w:asciiTheme="minorHAnsi" w:hAnsiTheme="minorHAnsi"/>
        </w:rPr>
        <w:t xml:space="preserve">.  In </w:t>
      </w:r>
      <w:r w:rsidRPr="00CD22FA">
        <w:rPr>
          <w:rFonts w:asciiTheme="minorHAnsi" w:hAnsiTheme="minorHAnsi"/>
        </w:rPr>
        <w:t>my opinion, having regard to the Bill and the outline of the policy considerations and justification of any limitations on rights outlined in this explanatory statement, the Bill as presented to the Legislative Assembly</w:t>
      </w:r>
      <w:r w:rsidRPr="00CD22FA">
        <w:rPr>
          <w:rFonts w:asciiTheme="minorHAnsi" w:hAnsiTheme="minorHAnsi"/>
          <w:b/>
        </w:rPr>
        <w:t xml:space="preserve"> is</w:t>
      </w:r>
      <w:r w:rsidRPr="00CD22FA">
        <w:rPr>
          <w:rFonts w:asciiTheme="minorHAnsi" w:hAnsiTheme="minorHAnsi"/>
        </w:rPr>
        <w:t xml:space="preserve"> consistent with the </w:t>
      </w:r>
      <w:r w:rsidRPr="00CD22FA">
        <w:rPr>
          <w:rFonts w:asciiTheme="minorHAnsi" w:hAnsiTheme="minorHAnsi"/>
          <w:i/>
          <w:iCs/>
        </w:rPr>
        <w:t>Human Rights Act 2004.</w:t>
      </w:r>
    </w:p>
    <w:p w14:paraId="771A1B69" w14:textId="77777777" w:rsidR="00CD22FA" w:rsidRDefault="00CD22FA" w:rsidP="00CD22FA">
      <w:pPr>
        <w:rPr>
          <w:rFonts w:asciiTheme="minorHAnsi" w:hAnsiTheme="minorHAnsi" w:cstheme="minorHAnsi"/>
        </w:rPr>
      </w:pPr>
    </w:p>
    <w:p w14:paraId="3F9A91DE" w14:textId="77777777" w:rsidR="00CD22FA" w:rsidRDefault="00CD22FA" w:rsidP="00CD22FA">
      <w:pPr>
        <w:rPr>
          <w:rFonts w:asciiTheme="minorHAnsi" w:hAnsiTheme="minorHAnsi" w:cstheme="minorHAnsi"/>
        </w:rPr>
      </w:pPr>
    </w:p>
    <w:p w14:paraId="27DABBE7" w14:textId="77777777" w:rsidR="00CD22FA" w:rsidRDefault="00CD22FA" w:rsidP="00CD22FA">
      <w:pPr>
        <w:rPr>
          <w:rFonts w:asciiTheme="minorHAnsi" w:hAnsiTheme="minorHAnsi" w:cstheme="minorHAnsi"/>
        </w:rPr>
      </w:pPr>
      <w:r>
        <w:rPr>
          <w:rFonts w:asciiTheme="minorHAnsi" w:hAnsiTheme="minorHAnsi" w:cstheme="minorHAnsi"/>
        </w:rPr>
        <w:t>………………………………………………….</w:t>
      </w:r>
    </w:p>
    <w:p w14:paraId="0D6766FC" w14:textId="77777777" w:rsidR="00CD22FA" w:rsidRDefault="00CD22FA" w:rsidP="00CD22FA">
      <w:pPr>
        <w:rPr>
          <w:rFonts w:asciiTheme="minorHAnsi" w:hAnsiTheme="minorHAnsi" w:cstheme="minorHAnsi"/>
        </w:rPr>
      </w:pPr>
      <w:r>
        <w:rPr>
          <w:rFonts w:asciiTheme="minorHAnsi" w:hAnsiTheme="minorHAnsi" w:cstheme="minorHAnsi"/>
        </w:rPr>
        <w:t>Tara Cheyne MLA</w:t>
      </w:r>
      <w:r>
        <w:rPr>
          <w:rFonts w:asciiTheme="minorHAnsi" w:hAnsiTheme="minorHAnsi" w:cstheme="minorHAnsi"/>
        </w:rPr>
        <w:br/>
        <w:t>Attorney-General</w:t>
      </w:r>
    </w:p>
    <w:p w14:paraId="70999D23" w14:textId="77777777" w:rsidR="00CD22FA" w:rsidRDefault="00CD22FA" w:rsidP="004D306D">
      <w:pPr>
        <w:ind w:left="360"/>
        <w:rPr>
          <w:rFonts w:ascii="Arial" w:hAnsi="Arial" w:cs="Arial"/>
          <w:iCs/>
          <w:sz w:val="24"/>
          <w:szCs w:val="24"/>
        </w:rPr>
      </w:pPr>
    </w:p>
    <w:p w14:paraId="432380CD" w14:textId="77777777" w:rsidR="00021E5E" w:rsidRPr="00DE3DDB" w:rsidRDefault="00021E5E" w:rsidP="00DE3DDB">
      <w:pPr>
        <w:ind w:left="360"/>
        <w:rPr>
          <w:rFonts w:ascii="Arial" w:hAnsi="Arial" w:cs="Arial"/>
          <w:iCs/>
          <w:sz w:val="24"/>
          <w:szCs w:val="24"/>
        </w:rPr>
      </w:pPr>
    </w:p>
    <w:bookmarkEnd w:id="0"/>
    <w:p w14:paraId="634CD2DB" w14:textId="77777777" w:rsidR="00E90DF9" w:rsidRDefault="00E90DF9" w:rsidP="00E90DF9">
      <w:pPr>
        <w:pStyle w:val="Heading2"/>
        <w:pageBreakBefore/>
        <w:spacing w:before="240" w:after="240"/>
      </w:pPr>
      <w:r w:rsidRPr="008C225D">
        <w:lastRenderedPageBreak/>
        <w:t>CLAUSE NOTES</w:t>
      </w:r>
    </w:p>
    <w:p w14:paraId="15420702" w14:textId="554D32DF" w:rsidR="00E90DF9" w:rsidRPr="002D028C" w:rsidRDefault="000E38AC" w:rsidP="002D028C">
      <w:pPr>
        <w:pStyle w:val="Heading3"/>
        <w:tabs>
          <w:tab w:val="left" w:pos="1418"/>
        </w:tabs>
      </w:pPr>
      <w:r w:rsidRPr="002D028C">
        <w:t>Part 1</w:t>
      </w:r>
      <w:r w:rsidR="002D028C">
        <w:tab/>
      </w:r>
      <w:r w:rsidRPr="002D028C">
        <w:t>Preliminary</w:t>
      </w:r>
    </w:p>
    <w:p w14:paraId="21139D56" w14:textId="77777777" w:rsidR="00E90DF9" w:rsidRPr="00A53BB6" w:rsidRDefault="00E90DF9" w:rsidP="00E90DF9">
      <w:pPr>
        <w:pStyle w:val="Heading3"/>
        <w:rPr>
          <w:rFonts w:cs="Arial"/>
        </w:rPr>
      </w:pPr>
      <w:r w:rsidRPr="00A53BB6">
        <w:rPr>
          <w:rFonts w:cs="Arial"/>
        </w:rPr>
        <w:t>Clause 1</w:t>
      </w:r>
      <w:r w:rsidRPr="00A53BB6">
        <w:rPr>
          <w:rFonts w:cs="Arial"/>
        </w:rPr>
        <w:tab/>
        <w:t>Name of Act</w:t>
      </w:r>
    </w:p>
    <w:p w14:paraId="09CBCBFA" w14:textId="0C331814" w:rsidR="00A53BB6" w:rsidRPr="00A53BB6" w:rsidRDefault="00A53BB6" w:rsidP="00A53BB6">
      <w:pPr>
        <w:rPr>
          <w:rFonts w:ascii="Arial" w:hAnsi="Arial" w:cs="Arial"/>
          <w:sz w:val="24"/>
          <w:szCs w:val="24"/>
        </w:rPr>
      </w:pPr>
      <w:r w:rsidRPr="00A53BB6">
        <w:rPr>
          <w:rFonts w:ascii="Arial" w:hAnsi="Arial" w:cs="Arial"/>
          <w:sz w:val="24"/>
          <w:szCs w:val="24"/>
        </w:rPr>
        <w:t xml:space="preserve">This clause provides that the name of the Act is the </w:t>
      </w:r>
      <w:r w:rsidRPr="00A53BB6">
        <w:rPr>
          <w:rFonts w:ascii="Arial" w:hAnsi="Arial" w:cs="Arial"/>
          <w:i/>
          <w:iCs/>
          <w:sz w:val="24"/>
          <w:szCs w:val="24"/>
        </w:rPr>
        <w:t>Justice and Community Safety Legislation Amendment Act 2026.</w:t>
      </w:r>
    </w:p>
    <w:p w14:paraId="0887BC45" w14:textId="36976CA3" w:rsidR="00E90DF9" w:rsidRDefault="00E90DF9" w:rsidP="00E90DF9">
      <w:pPr>
        <w:pStyle w:val="Heading3"/>
      </w:pPr>
      <w:r w:rsidRPr="00ED3B77">
        <w:t>Clause 2</w:t>
      </w:r>
      <w:r w:rsidRPr="00ED3B77">
        <w:tab/>
        <w:t>Commencement</w:t>
      </w:r>
    </w:p>
    <w:p w14:paraId="4DE9E5A9" w14:textId="039CADD3" w:rsidR="00A53BB6" w:rsidRPr="00A53BB6" w:rsidRDefault="00A53BB6" w:rsidP="00A53BB6">
      <w:pPr>
        <w:rPr>
          <w:rFonts w:ascii="Arial" w:hAnsi="Arial" w:cs="Arial"/>
          <w:sz w:val="24"/>
          <w:szCs w:val="24"/>
        </w:rPr>
      </w:pPr>
      <w:r w:rsidRPr="00A53BB6">
        <w:rPr>
          <w:rFonts w:ascii="Arial" w:hAnsi="Arial" w:cs="Arial"/>
          <w:sz w:val="24"/>
          <w:szCs w:val="24"/>
        </w:rPr>
        <w:t>This clause provides for the commencement of the Act. The Act commenc</w:t>
      </w:r>
      <w:r w:rsidR="00E97C79">
        <w:rPr>
          <w:rFonts w:ascii="Arial" w:hAnsi="Arial" w:cs="Arial"/>
          <w:sz w:val="24"/>
          <w:szCs w:val="24"/>
        </w:rPr>
        <w:t>es on the 7</w:t>
      </w:r>
      <w:r w:rsidR="00E97C79" w:rsidRPr="00E97C79">
        <w:rPr>
          <w:rFonts w:ascii="Arial" w:hAnsi="Arial" w:cs="Arial"/>
          <w:sz w:val="24"/>
          <w:szCs w:val="24"/>
          <w:vertAlign w:val="superscript"/>
        </w:rPr>
        <w:t>th</w:t>
      </w:r>
      <w:r w:rsidR="00E97C79">
        <w:rPr>
          <w:rFonts w:ascii="Arial" w:hAnsi="Arial" w:cs="Arial"/>
          <w:sz w:val="24"/>
          <w:szCs w:val="24"/>
        </w:rPr>
        <w:t xml:space="preserve"> day after its notification day.</w:t>
      </w:r>
    </w:p>
    <w:p w14:paraId="5A4E563E" w14:textId="77777777" w:rsidR="00E90DF9" w:rsidRPr="00ED3B77" w:rsidRDefault="00E90DF9" w:rsidP="00E90DF9">
      <w:pPr>
        <w:pStyle w:val="Heading3"/>
        <w:rPr>
          <w:b w:val="0"/>
        </w:rPr>
      </w:pPr>
      <w:r w:rsidRPr="00ED3B77">
        <w:t>Clause 3</w:t>
      </w:r>
      <w:r w:rsidRPr="00ED3B77">
        <w:tab/>
      </w:r>
      <w:r w:rsidRPr="003A43B8">
        <w:t>Legislation amended</w:t>
      </w:r>
    </w:p>
    <w:p w14:paraId="0A4F64B0" w14:textId="091FCA81" w:rsidR="00E90DF9" w:rsidRDefault="00A53BB6" w:rsidP="00E90DF9">
      <w:pPr>
        <w:rPr>
          <w:rFonts w:ascii="Arial" w:hAnsi="Arial" w:cs="Arial"/>
          <w:sz w:val="24"/>
          <w:szCs w:val="24"/>
        </w:rPr>
      </w:pPr>
      <w:r>
        <w:rPr>
          <w:rFonts w:ascii="Arial" w:hAnsi="Arial" w:cs="Arial"/>
          <w:sz w:val="24"/>
          <w:szCs w:val="24"/>
        </w:rPr>
        <w:t>This clause identifies the legislation that will be amended in the Bill:</w:t>
      </w:r>
    </w:p>
    <w:p w14:paraId="5B0209FD" w14:textId="3307CBE7" w:rsidR="00A53BB6" w:rsidRPr="00A53BB6" w:rsidRDefault="00A53BB6" w:rsidP="00A53BB6">
      <w:pPr>
        <w:pStyle w:val="ListParagraph"/>
        <w:numPr>
          <w:ilvl w:val="0"/>
          <w:numId w:val="17"/>
        </w:numPr>
        <w:spacing w:line="360" w:lineRule="auto"/>
        <w:rPr>
          <w:rFonts w:ascii="Arial" w:hAnsi="Arial" w:cs="Arial"/>
          <w:i/>
          <w:iCs/>
          <w:sz w:val="24"/>
          <w:szCs w:val="24"/>
        </w:rPr>
      </w:pPr>
      <w:r w:rsidRPr="00A53BB6">
        <w:rPr>
          <w:rFonts w:ascii="Arial" w:hAnsi="Arial" w:cs="Arial"/>
          <w:i/>
          <w:iCs/>
          <w:sz w:val="24"/>
          <w:szCs w:val="24"/>
        </w:rPr>
        <w:t>Aboriginal and Torres Strait Islander Children and Young People Commission</w:t>
      </w:r>
      <w:r w:rsidR="003A43B8">
        <w:rPr>
          <w:rFonts w:ascii="Arial" w:hAnsi="Arial" w:cs="Arial"/>
          <w:i/>
          <w:iCs/>
          <w:sz w:val="24"/>
          <w:szCs w:val="24"/>
        </w:rPr>
        <w:t>er</w:t>
      </w:r>
      <w:r w:rsidRPr="00A53BB6">
        <w:rPr>
          <w:rFonts w:ascii="Arial" w:hAnsi="Arial" w:cs="Arial"/>
          <w:i/>
          <w:iCs/>
          <w:sz w:val="24"/>
          <w:szCs w:val="24"/>
        </w:rPr>
        <w:t xml:space="preserve"> Act 2022</w:t>
      </w:r>
    </w:p>
    <w:p w14:paraId="61FC6800" w14:textId="312CA53A" w:rsidR="00A53BB6" w:rsidRPr="00A53BB6" w:rsidRDefault="00A53BB6" w:rsidP="00A53BB6">
      <w:pPr>
        <w:pStyle w:val="ListParagraph"/>
        <w:numPr>
          <w:ilvl w:val="0"/>
          <w:numId w:val="17"/>
        </w:numPr>
        <w:spacing w:line="360" w:lineRule="auto"/>
        <w:rPr>
          <w:rFonts w:ascii="Arial" w:hAnsi="Arial" w:cs="Arial"/>
          <w:i/>
          <w:iCs/>
          <w:sz w:val="24"/>
          <w:szCs w:val="24"/>
        </w:rPr>
      </w:pPr>
      <w:r w:rsidRPr="00A53BB6">
        <w:rPr>
          <w:rFonts w:ascii="Arial" w:hAnsi="Arial" w:cs="Arial"/>
          <w:i/>
          <w:iCs/>
          <w:sz w:val="24"/>
          <w:szCs w:val="24"/>
        </w:rPr>
        <w:t>Custodial Inspector Act 2017</w:t>
      </w:r>
    </w:p>
    <w:p w14:paraId="42C2267A" w14:textId="37724AB2" w:rsidR="00A53BB6" w:rsidRPr="00A53BB6" w:rsidRDefault="00A53BB6" w:rsidP="00A53BB6">
      <w:pPr>
        <w:pStyle w:val="ListParagraph"/>
        <w:numPr>
          <w:ilvl w:val="0"/>
          <w:numId w:val="17"/>
        </w:numPr>
        <w:spacing w:line="360" w:lineRule="auto"/>
        <w:rPr>
          <w:rFonts w:ascii="Arial" w:hAnsi="Arial" w:cs="Arial"/>
          <w:i/>
          <w:iCs/>
          <w:sz w:val="24"/>
          <w:szCs w:val="24"/>
        </w:rPr>
      </w:pPr>
      <w:r w:rsidRPr="00A53BB6">
        <w:rPr>
          <w:rFonts w:ascii="Arial" w:hAnsi="Arial" w:cs="Arial"/>
          <w:i/>
          <w:iCs/>
          <w:sz w:val="24"/>
          <w:szCs w:val="24"/>
        </w:rPr>
        <w:t>Electoral Act 1992</w:t>
      </w:r>
    </w:p>
    <w:p w14:paraId="00F51AD1" w14:textId="68F0CF91" w:rsidR="00A53BB6" w:rsidRDefault="00A53BB6" w:rsidP="00A53BB6">
      <w:pPr>
        <w:pStyle w:val="ListParagraph"/>
        <w:numPr>
          <w:ilvl w:val="0"/>
          <w:numId w:val="17"/>
        </w:numPr>
        <w:spacing w:line="360" w:lineRule="auto"/>
        <w:rPr>
          <w:rFonts w:ascii="Arial" w:hAnsi="Arial" w:cs="Arial"/>
          <w:i/>
          <w:iCs/>
          <w:sz w:val="24"/>
          <w:szCs w:val="24"/>
        </w:rPr>
      </w:pPr>
      <w:r w:rsidRPr="00A53BB6">
        <w:rPr>
          <w:rFonts w:ascii="Arial" w:hAnsi="Arial" w:cs="Arial"/>
          <w:i/>
          <w:iCs/>
          <w:sz w:val="24"/>
          <w:szCs w:val="24"/>
        </w:rPr>
        <w:t>Human Rights Commission Act 2005</w:t>
      </w:r>
    </w:p>
    <w:p w14:paraId="322AB20A" w14:textId="64EF9D2C" w:rsidR="00631A59" w:rsidRPr="003A43B8" w:rsidRDefault="00631A59" w:rsidP="00A53BB6">
      <w:pPr>
        <w:pStyle w:val="ListParagraph"/>
        <w:numPr>
          <w:ilvl w:val="0"/>
          <w:numId w:val="17"/>
        </w:numPr>
        <w:spacing w:line="360" w:lineRule="auto"/>
        <w:rPr>
          <w:rFonts w:ascii="Arial" w:hAnsi="Arial" w:cs="Arial"/>
          <w:i/>
          <w:iCs/>
          <w:sz w:val="24"/>
          <w:szCs w:val="24"/>
        </w:rPr>
      </w:pPr>
      <w:r w:rsidRPr="003A43B8">
        <w:rPr>
          <w:rFonts w:ascii="Arial" w:hAnsi="Arial" w:cs="Arial"/>
          <w:i/>
          <w:iCs/>
          <w:sz w:val="24"/>
          <w:szCs w:val="24"/>
        </w:rPr>
        <w:t>Inquiries Act 1991</w:t>
      </w:r>
    </w:p>
    <w:p w14:paraId="384FFFB6" w14:textId="13E72BFE" w:rsidR="00A53BB6" w:rsidRPr="00A53BB6" w:rsidRDefault="00A53BB6" w:rsidP="00A53BB6">
      <w:pPr>
        <w:pStyle w:val="ListParagraph"/>
        <w:numPr>
          <w:ilvl w:val="0"/>
          <w:numId w:val="17"/>
        </w:numPr>
        <w:spacing w:line="360" w:lineRule="auto"/>
        <w:rPr>
          <w:rFonts w:ascii="Arial" w:hAnsi="Arial" w:cs="Arial"/>
          <w:i/>
          <w:iCs/>
          <w:sz w:val="24"/>
          <w:szCs w:val="24"/>
        </w:rPr>
      </w:pPr>
      <w:r w:rsidRPr="00A53BB6">
        <w:rPr>
          <w:rFonts w:ascii="Arial" w:hAnsi="Arial" w:cs="Arial"/>
          <w:i/>
          <w:iCs/>
          <w:sz w:val="24"/>
          <w:szCs w:val="24"/>
        </w:rPr>
        <w:t>Oaths and Affirmations Act 1984</w:t>
      </w:r>
    </w:p>
    <w:p w14:paraId="3BF7E84C" w14:textId="4959F946" w:rsidR="00A53BB6" w:rsidRPr="00A53BB6" w:rsidRDefault="00A53BB6" w:rsidP="00A53BB6">
      <w:pPr>
        <w:pStyle w:val="ListParagraph"/>
        <w:numPr>
          <w:ilvl w:val="0"/>
          <w:numId w:val="17"/>
        </w:numPr>
        <w:spacing w:line="360" w:lineRule="auto"/>
        <w:rPr>
          <w:rFonts w:ascii="Arial" w:hAnsi="Arial" w:cs="Arial"/>
          <w:i/>
          <w:iCs/>
          <w:sz w:val="24"/>
          <w:szCs w:val="24"/>
        </w:rPr>
      </w:pPr>
      <w:r w:rsidRPr="00A53BB6">
        <w:rPr>
          <w:rFonts w:ascii="Arial" w:hAnsi="Arial" w:cs="Arial"/>
          <w:i/>
          <w:iCs/>
          <w:sz w:val="24"/>
          <w:szCs w:val="24"/>
        </w:rPr>
        <w:t>Supreme Court Act 1933</w:t>
      </w:r>
    </w:p>
    <w:p w14:paraId="22D67773" w14:textId="0EB9E412" w:rsidR="00E90DF9" w:rsidRPr="00E97C79" w:rsidRDefault="00A53BB6" w:rsidP="00A53BB6">
      <w:pPr>
        <w:pStyle w:val="ListParagraph"/>
        <w:numPr>
          <w:ilvl w:val="0"/>
          <w:numId w:val="17"/>
        </w:numPr>
        <w:spacing w:line="360" w:lineRule="auto"/>
        <w:rPr>
          <w:rFonts w:ascii="Arial" w:hAnsi="Arial" w:cs="Arial"/>
          <w:i/>
          <w:iCs/>
          <w:sz w:val="24"/>
          <w:szCs w:val="24"/>
        </w:rPr>
      </w:pPr>
      <w:r w:rsidRPr="00A53BB6">
        <w:rPr>
          <w:rFonts w:ascii="Arial" w:hAnsi="Arial" w:cs="Arial"/>
          <w:i/>
          <w:iCs/>
          <w:sz w:val="24"/>
          <w:szCs w:val="24"/>
        </w:rPr>
        <w:t>Unit Titles (Management) Act 2011</w:t>
      </w:r>
    </w:p>
    <w:p w14:paraId="7C5C05E4" w14:textId="5E73FA5F" w:rsidR="00A53BB6" w:rsidRDefault="00A53BB6" w:rsidP="00A53BB6">
      <w:pPr>
        <w:pStyle w:val="Heading3"/>
      </w:pPr>
      <w:r w:rsidRPr="00ED3B77">
        <w:t xml:space="preserve">Clause </w:t>
      </w:r>
      <w:r>
        <w:t>4</w:t>
      </w:r>
      <w:r w:rsidRPr="00ED3B77">
        <w:tab/>
      </w:r>
      <w:r>
        <w:t>Legislation repealed</w:t>
      </w:r>
    </w:p>
    <w:p w14:paraId="1713D289" w14:textId="0C6F3167" w:rsidR="000E38AC" w:rsidRDefault="00A53BB6" w:rsidP="00A53BB6">
      <w:pPr>
        <w:spacing w:line="360" w:lineRule="auto"/>
        <w:rPr>
          <w:rFonts w:ascii="Arial" w:hAnsi="Arial" w:cs="Arial"/>
          <w:sz w:val="24"/>
          <w:szCs w:val="24"/>
        </w:rPr>
      </w:pPr>
      <w:r>
        <w:rPr>
          <w:rFonts w:ascii="Arial" w:hAnsi="Arial" w:cs="Arial"/>
          <w:sz w:val="24"/>
          <w:szCs w:val="24"/>
        </w:rPr>
        <w:t xml:space="preserve">This clause provides for the repeal of the </w:t>
      </w:r>
      <w:r w:rsidRPr="00A53BB6">
        <w:rPr>
          <w:rFonts w:ascii="Arial" w:hAnsi="Arial" w:cs="Arial"/>
          <w:i/>
          <w:iCs/>
          <w:sz w:val="24"/>
          <w:szCs w:val="24"/>
        </w:rPr>
        <w:t>Crimes (Child Sex Offenders) Amendment Act 2025</w:t>
      </w:r>
      <w:r>
        <w:rPr>
          <w:rFonts w:ascii="Arial" w:hAnsi="Arial" w:cs="Arial"/>
          <w:sz w:val="24"/>
          <w:szCs w:val="24"/>
        </w:rPr>
        <w:t xml:space="preserve"> (A2025-4).</w:t>
      </w:r>
    </w:p>
    <w:p w14:paraId="158DB97D" w14:textId="1B00D58E" w:rsidR="007E1151" w:rsidRDefault="007E1151" w:rsidP="002D028C">
      <w:pPr>
        <w:pStyle w:val="Heading3"/>
        <w:tabs>
          <w:tab w:val="left" w:pos="1418"/>
        </w:tabs>
        <w:ind w:left="1418" w:hanging="1418"/>
      </w:pPr>
      <w:r>
        <w:t xml:space="preserve">Part </w:t>
      </w:r>
      <w:r w:rsidR="00E97C79">
        <w:t>2</w:t>
      </w:r>
      <w:r w:rsidRPr="00ED3B77">
        <w:tab/>
      </w:r>
      <w:r>
        <w:t>Aboriginal and Torres Strait Islander Children and Young People Commissioner Act 2022</w:t>
      </w:r>
    </w:p>
    <w:p w14:paraId="302DE90F" w14:textId="65D65EA7" w:rsidR="00ED327C" w:rsidRPr="00ED327C" w:rsidRDefault="00ED327C" w:rsidP="00ED327C">
      <w:pPr>
        <w:pStyle w:val="Heading3"/>
      </w:pPr>
      <w:r w:rsidRPr="00ED3B77">
        <w:t xml:space="preserve">Clause </w:t>
      </w:r>
      <w:r w:rsidR="00F73E38">
        <w:t>5</w:t>
      </w:r>
      <w:r w:rsidRPr="00ED3B77">
        <w:tab/>
      </w:r>
      <w:r>
        <w:t>Section 34</w:t>
      </w:r>
    </w:p>
    <w:p w14:paraId="773CC4EF" w14:textId="10B1BCDC" w:rsidR="00A53BB6" w:rsidRDefault="00911905" w:rsidP="00A53BB6">
      <w:pPr>
        <w:spacing w:line="360" w:lineRule="auto"/>
        <w:rPr>
          <w:rFonts w:ascii="Arial" w:hAnsi="Arial" w:cs="Arial"/>
          <w:sz w:val="24"/>
          <w:szCs w:val="24"/>
        </w:rPr>
      </w:pPr>
      <w:r>
        <w:rPr>
          <w:rFonts w:ascii="Arial" w:hAnsi="Arial" w:cs="Arial"/>
          <w:sz w:val="24"/>
          <w:szCs w:val="24"/>
        </w:rPr>
        <w:t xml:space="preserve">This clause </w:t>
      </w:r>
      <w:r w:rsidR="00ED327C">
        <w:rPr>
          <w:rFonts w:ascii="Arial" w:hAnsi="Arial" w:cs="Arial"/>
          <w:sz w:val="24"/>
          <w:szCs w:val="24"/>
        </w:rPr>
        <w:t xml:space="preserve">substitutes references to information sharing with the </w:t>
      </w:r>
      <w:r w:rsidR="00D16DA4">
        <w:rPr>
          <w:rFonts w:ascii="Arial" w:hAnsi="Arial" w:cs="Arial"/>
          <w:sz w:val="24"/>
          <w:szCs w:val="24"/>
        </w:rPr>
        <w:t>‘</w:t>
      </w:r>
      <w:r w:rsidR="00ED327C">
        <w:rPr>
          <w:rFonts w:ascii="Arial" w:hAnsi="Arial" w:cs="Arial"/>
          <w:sz w:val="24"/>
          <w:szCs w:val="24"/>
        </w:rPr>
        <w:t>human rights commission</w:t>
      </w:r>
      <w:r w:rsidR="00D16DA4">
        <w:rPr>
          <w:rFonts w:ascii="Arial" w:hAnsi="Arial" w:cs="Arial"/>
          <w:sz w:val="24"/>
          <w:szCs w:val="24"/>
        </w:rPr>
        <w:t>’</w:t>
      </w:r>
      <w:r w:rsidR="00ED327C">
        <w:rPr>
          <w:rFonts w:ascii="Arial" w:hAnsi="Arial" w:cs="Arial"/>
          <w:sz w:val="24"/>
          <w:szCs w:val="24"/>
        </w:rPr>
        <w:t xml:space="preserve"> to information sharing with an ‘information sharing entity,’ which includes a member of the human rights commission, the custodial inspector and the National Preventative Mechanism.</w:t>
      </w:r>
    </w:p>
    <w:p w14:paraId="2628334D" w14:textId="77777777" w:rsidR="000E38AC" w:rsidRPr="005430E4" w:rsidRDefault="000E38AC" w:rsidP="00E8041E">
      <w:pPr>
        <w:rPr>
          <w:rFonts w:ascii="Arial" w:hAnsi="Arial" w:cs="Arial"/>
          <w:sz w:val="24"/>
          <w:szCs w:val="24"/>
        </w:rPr>
      </w:pPr>
    </w:p>
    <w:p w14:paraId="02CA5243" w14:textId="3E8038C0" w:rsidR="005430E4" w:rsidRDefault="005430E4" w:rsidP="002D028C">
      <w:pPr>
        <w:pStyle w:val="Heading3"/>
        <w:tabs>
          <w:tab w:val="left" w:pos="1418"/>
        </w:tabs>
      </w:pPr>
      <w:r>
        <w:t xml:space="preserve">Part </w:t>
      </w:r>
      <w:r w:rsidR="00E97C79">
        <w:t>3</w:t>
      </w:r>
      <w:r w:rsidRPr="00ED3B77">
        <w:tab/>
      </w:r>
      <w:r>
        <w:t>Custodial Inspector Act 2017</w:t>
      </w:r>
    </w:p>
    <w:p w14:paraId="645B3CF8" w14:textId="721A97EC" w:rsidR="005430E4" w:rsidRPr="00E97C79" w:rsidRDefault="005430E4" w:rsidP="00E97C79">
      <w:pPr>
        <w:pStyle w:val="Heading3"/>
        <w:ind w:left="1440" w:hanging="1440"/>
      </w:pPr>
      <w:r w:rsidRPr="00ED3B77">
        <w:t xml:space="preserve">Clause </w:t>
      </w:r>
      <w:r w:rsidR="00F73E38">
        <w:t>6</w:t>
      </w:r>
      <w:r w:rsidRPr="00ED3B77">
        <w:tab/>
      </w:r>
      <w:r>
        <w:t>Cooperation with other entities</w:t>
      </w:r>
      <w:r w:rsidR="00E97C79">
        <w:br/>
      </w:r>
      <w:r w:rsidRPr="005430E4">
        <w:rPr>
          <w:rFonts w:cs="Arial"/>
          <w:bCs/>
        </w:rPr>
        <w:t>New Section 31(1)(g)</w:t>
      </w:r>
    </w:p>
    <w:p w14:paraId="3C9CB819" w14:textId="5717F507" w:rsidR="005430E4" w:rsidRDefault="005430E4" w:rsidP="005430E4">
      <w:pPr>
        <w:rPr>
          <w:rFonts w:ascii="Arial" w:hAnsi="Arial" w:cs="Arial"/>
          <w:sz w:val="24"/>
          <w:szCs w:val="24"/>
        </w:rPr>
      </w:pPr>
      <w:r>
        <w:rPr>
          <w:rFonts w:ascii="Arial" w:hAnsi="Arial" w:cs="Arial"/>
          <w:sz w:val="24"/>
          <w:szCs w:val="24"/>
        </w:rPr>
        <w:t>This clause inserts the Aboriginal and Torres Strait Islander Children and Young People Commissioner in the list of entities that the custodial inspector must “not delay or unnecessarily duplicate the exercise of functions” of</w:t>
      </w:r>
      <w:r w:rsidR="00E97C79">
        <w:rPr>
          <w:rFonts w:ascii="Arial" w:hAnsi="Arial" w:cs="Arial"/>
          <w:sz w:val="24"/>
          <w:szCs w:val="24"/>
        </w:rPr>
        <w:t xml:space="preserve"> under section 31 (1).</w:t>
      </w:r>
    </w:p>
    <w:p w14:paraId="1BFAECE0" w14:textId="77777777" w:rsidR="000E38AC" w:rsidRDefault="000E38AC" w:rsidP="005430E4">
      <w:pPr>
        <w:rPr>
          <w:rFonts w:ascii="Arial" w:hAnsi="Arial" w:cs="Arial"/>
          <w:sz w:val="24"/>
          <w:szCs w:val="24"/>
        </w:rPr>
      </w:pPr>
    </w:p>
    <w:p w14:paraId="5283D575" w14:textId="2B4A88BE" w:rsidR="005430E4" w:rsidRDefault="005430E4" w:rsidP="002D028C">
      <w:pPr>
        <w:pStyle w:val="Heading3"/>
        <w:tabs>
          <w:tab w:val="left" w:pos="1418"/>
        </w:tabs>
      </w:pPr>
      <w:r>
        <w:t xml:space="preserve">Part </w:t>
      </w:r>
      <w:r w:rsidR="00E97C79">
        <w:t>4</w:t>
      </w:r>
      <w:r w:rsidRPr="00ED3B77">
        <w:tab/>
      </w:r>
      <w:r>
        <w:t>Electoral Act 1992</w:t>
      </w:r>
    </w:p>
    <w:p w14:paraId="03A613C9" w14:textId="082900C1" w:rsidR="005430E4" w:rsidRPr="00E97C79" w:rsidRDefault="005430E4" w:rsidP="00E97C79">
      <w:pPr>
        <w:pStyle w:val="Heading3"/>
        <w:ind w:left="1440" w:hanging="1440"/>
      </w:pPr>
      <w:r w:rsidRPr="00ED3B77">
        <w:t xml:space="preserve">Clause </w:t>
      </w:r>
      <w:r w:rsidR="00F73E38">
        <w:t>7</w:t>
      </w:r>
      <w:r w:rsidRPr="00ED3B77">
        <w:tab/>
      </w:r>
      <w:r>
        <w:t>Regular disclosure of gifts</w:t>
      </w:r>
      <w:r w:rsidR="00E97C79">
        <w:br/>
      </w:r>
      <w:r>
        <w:rPr>
          <w:rFonts w:cs="Arial"/>
          <w:bCs/>
        </w:rPr>
        <w:t>Section 216B(2)</w:t>
      </w:r>
    </w:p>
    <w:p w14:paraId="18A2A353" w14:textId="0CFECAC9" w:rsidR="005430E4" w:rsidRPr="005430E4" w:rsidRDefault="005430E4" w:rsidP="005430E4">
      <w:r>
        <w:rPr>
          <w:rFonts w:ascii="Arial" w:hAnsi="Arial" w:cs="Arial"/>
          <w:sz w:val="24"/>
          <w:szCs w:val="24"/>
        </w:rPr>
        <w:t>This clause substitutes s 216B(2) with a provision requir</w:t>
      </w:r>
      <w:r w:rsidR="00D72C2B">
        <w:rPr>
          <w:rFonts w:ascii="Arial" w:hAnsi="Arial" w:cs="Arial"/>
          <w:sz w:val="24"/>
          <w:szCs w:val="24"/>
        </w:rPr>
        <w:t>ing a political entity (through their financial representative) to disclose d</w:t>
      </w:r>
      <w:r>
        <w:rPr>
          <w:rFonts w:ascii="Arial" w:hAnsi="Arial" w:cs="Arial"/>
          <w:sz w:val="24"/>
          <w:szCs w:val="24"/>
        </w:rPr>
        <w:t>etails of additional gifts</w:t>
      </w:r>
      <w:r w:rsidR="003C7547">
        <w:rPr>
          <w:rFonts w:ascii="Arial" w:hAnsi="Arial" w:cs="Arial"/>
          <w:sz w:val="24"/>
          <w:szCs w:val="24"/>
        </w:rPr>
        <w:t xml:space="preserve"> over $1,000</w:t>
      </w:r>
      <w:r w:rsidR="00D72C2B">
        <w:rPr>
          <w:rFonts w:ascii="Arial" w:hAnsi="Arial" w:cs="Arial"/>
          <w:sz w:val="24"/>
          <w:szCs w:val="24"/>
        </w:rPr>
        <w:t xml:space="preserve"> to the commissioner. The </w:t>
      </w:r>
      <w:r w:rsidR="00CB3730">
        <w:rPr>
          <w:rFonts w:ascii="Arial" w:hAnsi="Arial" w:cs="Arial"/>
          <w:sz w:val="24"/>
          <w:szCs w:val="24"/>
        </w:rPr>
        <w:t>section includes an example</w:t>
      </w:r>
      <w:r w:rsidR="00E97C79">
        <w:rPr>
          <w:rFonts w:ascii="Arial" w:hAnsi="Arial" w:cs="Arial"/>
          <w:sz w:val="24"/>
          <w:szCs w:val="24"/>
        </w:rPr>
        <w:t>.</w:t>
      </w:r>
    </w:p>
    <w:p w14:paraId="35174E41" w14:textId="77777777" w:rsidR="00B10812" w:rsidRDefault="00B10812"/>
    <w:p w14:paraId="4634372B" w14:textId="175DA10E" w:rsidR="002F42BB" w:rsidRDefault="002F42BB" w:rsidP="002D028C">
      <w:pPr>
        <w:pStyle w:val="Heading3"/>
        <w:tabs>
          <w:tab w:val="left" w:pos="1418"/>
        </w:tabs>
      </w:pPr>
      <w:r>
        <w:t xml:space="preserve">Part </w:t>
      </w:r>
      <w:r w:rsidR="00F73E38">
        <w:t>5</w:t>
      </w:r>
      <w:r w:rsidRPr="00ED3B77">
        <w:tab/>
      </w:r>
      <w:r>
        <w:t>Human Rights Commission Act 2005</w:t>
      </w:r>
    </w:p>
    <w:p w14:paraId="5C354EB3" w14:textId="1D1CF5C2" w:rsidR="002F42BB" w:rsidRDefault="002F42BB" w:rsidP="002F42BB">
      <w:pPr>
        <w:pStyle w:val="Heading3"/>
      </w:pPr>
      <w:r w:rsidRPr="00ED3B77">
        <w:t xml:space="preserve">Clause </w:t>
      </w:r>
      <w:r w:rsidR="00F73E38">
        <w:t>8</w:t>
      </w:r>
      <w:r w:rsidRPr="00ED3B77">
        <w:tab/>
      </w:r>
      <w:r>
        <w:t>New section 53BAA</w:t>
      </w:r>
    </w:p>
    <w:p w14:paraId="4550E1F2" w14:textId="06E80E72" w:rsidR="002F42BB" w:rsidRPr="003C7547" w:rsidRDefault="003C7547">
      <w:pPr>
        <w:rPr>
          <w:rFonts w:ascii="Arial" w:hAnsi="Arial" w:cs="Arial"/>
          <w:sz w:val="24"/>
          <w:szCs w:val="24"/>
        </w:rPr>
      </w:pPr>
      <w:r w:rsidRPr="003C7547">
        <w:rPr>
          <w:rFonts w:ascii="Arial" w:hAnsi="Arial" w:cs="Arial"/>
          <w:sz w:val="24"/>
          <w:szCs w:val="24"/>
        </w:rPr>
        <w:t>This clause inserts a section before section 53BA, providing a requirement</w:t>
      </w:r>
      <w:r w:rsidR="00E97C79">
        <w:rPr>
          <w:rFonts w:ascii="Arial" w:hAnsi="Arial" w:cs="Arial"/>
          <w:sz w:val="24"/>
          <w:szCs w:val="24"/>
        </w:rPr>
        <w:t xml:space="preserve"> </w:t>
      </w:r>
      <w:r w:rsidR="0053351F">
        <w:rPr>
          <w:rFonts w:ascii="Arial" w:hAnsi="Arial" w:cs="Arial"/>
          <w:sz w:val="24"/>
          <w:szCs w:val="24"/>
        </w:rPr>
        <w:t>that certain discrimination complains may only be heard by the ACAT with the leave of the Tribunal.</w:t>
      </w:r>
      <w:r w:rsidR="00D851A8">
        <w:rPr>
          <w:rFonts w:ascii="Arial" w:hAnsi="Arial" w:cs="Arial"/>
          <w:sz w:val="24"/>
          <w:szCs w:val="24"/>
        </w:rPr>
        <w:t xml:space="preserve"> That is, a complaint </w:t>
      </w:r>
      <w:r w:rsidR="00E97C79">
        <w:rPr>
          <w:rFonts w:ascii="Arial" w:hAnsi="Arial" w:cs="Arial"/>
          <w:sz w:val="24"/>
          <w:szCs w:val="24"/>
        </w:rPr>
        <w:t>which is closed by the commission because it is satisfied of one of the reasons mentioned in s 78(2)(c); and the commission gives the complainant a discrimination referral statement under section 82(1); and either the commission refers the complaint to the ACAT under s 53A or the complainants applies to the ACT for the complaint to be heard under s 53B.</w:t>
      </w:r>
    </w:p>
    <w:p w14:paraId="00ED65B4" w14:textId="375E2C1A" w:rsidR="002F42BB" w:rsidRDefault="002F42BB" w:rsidP="002F42BB">
      <w:pPr>
        <w:pStyle w:val="Heading3"/>
      </w:pPr>
      <w:r w:rsidRPr="00ED3B77">
        <w:t xml:space="preserve">Clause </w:t>
      </w:r>
      <w:r w:rsidR="00F73E38">
        <w:t>9</w:t>
      </w:r>
      <w:r w:rsidRPr="00ED3B77">
        <w:tab/>
      </w:r>
      <w:r>
        <w:t>New section 53IAA</w:t>
      </w:r>
    </w:p>
    <w:p w14:paraId="305EF2E7" w14:textId="7F533CBE" w:rsidR="002F42BB" w:rsidRPr="000E38AC" w:rsidRDefault="003C7547" w:rsidP="002F42BB">
      <w:pPr>
        <w:rPr>
          <w:rFonts w:ascii="Arial" w:hAnsi="Arial" w:cs="Arial"/>
          <w:sz w:val="24"/>
          <w:szCs w:val="24"/>
        </w:rPr>
      </w:pPr>
      <w:r w:rsidRPr="003C7547">
        <w:rPr>
          <w:rFonts w:ascii="Arial" w:hAnsi="Arial" w:cs="Arial"/>
          <w:sz w:val="24"/>
          <w:szCs w:val="24"/>
        </w:rPr>
        <w:t>This clause inserts a section before section 5</w:t>
      </w:r>
      <w:r>
        <w:rPr>
          <w:rFonts w:ascii="Arial" w:hAnsi="Arial" w:cs="Arial"/>
          <w:sz w:val="24"/>
          <w:szCs w:val="24"/>
        </w:rPr>
        <w:t>3IA</w:t>
      </w:r>
      <w:r w:rsidRPr="003C7547">
        <w:rPr>
          <w:rFonts w:ascii="Arial" w:hAnsi="Arial" w:cs="Arial"/>
          <w:sz w:val="24"/>
          <w:szCs w:val="24"/>
        </w:rPr>
        <w:t xml:space="preserve">, providing a requirement </w:t>
      </w:r>
      <w:r w:rsidR="0053351F">
        <w:rPr>
          <w:rFonts w:ascii="Arial" w:hAnsi="Arial" w:cs="Arial"/>
          <w:sz w:val="24"/>
          <w:szCs w:val="24"/>
        </w:rPr>
        <w:t xml:space="preserve">that </w:t>
      </w:r>
      <w:r w:rsidRPr="003C7547">
        <w:rPr>
          <w:rFonts w:ascii="Arial" w:hAnsi="Arial" w:cs="Arial"/>
          <w:sz w:val="24"/>
          <w:szCs w:val="24"/>
        </w:rPr>
        <w:t xml:space="preserve">certain </w:t>
      </w:r>
      <w:r>
        <w:rPr>
          <w:rFonts w:ascii="Arial" w:hAnsi="Arial" w:cs="Arial"/>
          <w:sz w:val="24"/>
          <w:szCs w:val="24"/>
        </w:rPr>
        <w:t>retirement village</w:t>
      </w:r>
      <w:r w:rsidRPr="003C7547">
        <w:rPr>
          <w:rFonts w:ascii="Arial" w:hAnsi="Arial" w:cs="Arial"/>
          <w:sz w:val="24"/>
          <w:szCs w:val="24"/>
        </w:rPr>
        <w:t xml:space="preserve"> complaints</w:t>
      </w:r>
      <w:r w:rsidR="0053351F">
        <w:rPr>
          <w:rFonts w:ascii="Arial" w:hAnsi="Arial" w:cs="Arial"/>
          <w:sz w:val="24"/>
          <w:szCs w:val="24"/>
        </w:rPr>
        <w:t xml:space="preserve"> may only be heard by the ACAT with the leave of the Tribunal</w:t>
      </w:r>
      <w:r w:rsidRPr="003C7547">
        <w:rPr>
          <w:rFonts w:ascii="Arial" w:hAnsi="Arial" w:cs="Arial"/>
          <w:sz w:val="24"/>
          <w:szCs w:val="24"/>
        </w:rPr>
        <w:t xml:space="preserve">. </w:t>
      </w:r>
      <w:r w:rsidR="00D851A8">
        <w:rPr>
          <w:rFonts w:ascii="Arial" w:hAnsi="Arial" w:cs="Arial"/>
          <w:sz w:val="24"/>
          <w:szCs w:val="24"/>
        </w:rPr>
        <w:t xml:space="preserve">That is, a complaint which is closed by the commission because it is satisfied of one of the reasons mentioned in s 78(2)(c); and the commission gives the complainant a </w:t>
      </w:r>
      <w:r w:rsidR="0053351F">
        <w:rPr>
          <w:rFonts w:ascii="Arial" w:hAnsi="Arial" w:cs="Arial"/>
          <w:sz w:val="24"/>
          <w:szCs w:val="24"/>
        </w:rPr>
        <w:t>retirement village referral</w:t>
      </w:r>
      <w:r w:rsidR="00D851A8">
        <w:rPr>
          <w:rFonts w:ascii="Arial" w:hAnsi="Arial" w:cs="Arial"/>
          <w:sz w:val="24"/>
          <w:szCs w:val="24"/>
        </w:rPr>
        <w:t xml:space="preserve"> statement under section 82</w:t>
      </w:r>
      <w:r w:rsidR="0053351F">
        <w:rPr>
          <w:rFonts w:ascii="Arial" w:hAnsi="Arial" w:cs="Arial"/>
          <w:sz w:val="24"/>
          <w:szCs w:val="24"/>
        </w:rPr>
        <w:t>A</w:t>
      </w:r>
      <w:r w:rsidR="00D851A8">
        <w:rPr>
          <w:rFonts w:ascii="Arial" w:hAnsi="Arial" w:cs="Arial"/>
          <w:sz w:val="24"/>
          <w:szCs w:val="24"/>
        </w:rPr>
        <w:t>(1); and either the commission refers the complaint to the ACAT under s 53</w:t>
      </w:r>
      <w:r w:rsidR="0053351F">
        <w:rPr>
          <w:rFonts w:ascii="Arial" w:hAnsi="Arial" w:cs="Arial"/>
          <w:sz w:val="24"/>
          <w:szCs w:val="24"/>
        </w:rPr>
        <w:t>H</w:t>
      </w:r>
      <w:r w:rsidR="00D851A8">
        <w:rPr>
          <w:rFonts w:ascii="Arial" w:hAnsi="Arial" w:cs="Arial"/>
          <w:sz w:val="24"/>
          <w:szCs w:val="24"/>
        </w:rPr>
        <w:t xml:space="preserve"> or the complainants applies to the ACT for the complaint to be heard under s 53</w:t>
      </w:r>
      <w:r w:rsidR="0053351F">
        <w:rPr>
          <w:rFonts w:ascii="Arial" w:hAnsi="Arial" w:cs="Arial"/>
          <w:sz w:val="24"/>
          <w:szCs w:val="24"/>
        </w:rPr>
        <w:t>I</w:t>
      </w:r>
      <w:r w:rsidR="00D851A8">
        <w:rPr>
          <w:rFonts w:ascii="Arial" w:hAnsi="Arial" w:cs="Arial"/>
          <w:sz w:val="24"/>
          <w:szCs w:val="24"/>
        </w:rPr>
        <w:t>.</w:t>
      </w:r>
    </w:p>
    <w:p w14:paraId="6668FDB5" w14:textId="0EC74B01" w:rsidR="002F42BB" w:rsidRDefault="002F42BB" w:rsidP="002F42BB">
      <w:pPr>
        <w:pStyle w:val="Heading3"/>
      </w:pPr>
      <w:r w:rsidRPr="00ED3B77">
        <w:lastRenderedPageBreak/>
        <w:t xml:space="preserve">Clause </w:t>
      </w:r>
      <w:r w:rsidR="00F73E38">
        <w:t>10</w:t>
      </w:r>
      <w:r w:rsidRPr="00ED3B77">
        <w:tab/>
      </w:r>
      <w:r>
        <w:t>New section 53SAA</w:t>
      </w:r>
    </w:p>
    <w:p w14:paraId="7B4EC4D1" w14:textId="131DC820" w:rsidR="0053351F" w:rsidRPr="000E38AC" w:rsidRDefault="0053351F" w:rsidP="0053351F">
      <w:pPr>
        <w:rPr>
          <w:rFonts w:ascii="Arial" w:hAnsi="Arial" w:cs="Arial"/>
          <w:sz w:val="24"/>
          <w:szCs w:val="24"/>
        </w:rPr>
      </w:pPr>
      <w:r w:rsidRPr="003C7547">
        <w:rPr>
          <w:rFonts w:ascii="Arial" w:hAnsi="Arial" w:cs="Arial"/>
          <w:sz w:val="24"/>
          <w:szCs w:val="24"/>
        </w:rPr>
        <w:t>This clause inserts a section before section 5</w:t>
      </w:r>
      <w:r>
        <w:rPr>
          <w:rFonts w:ascii="Arial" w:hAnsi="Arial" w:cs="Arial"/>
          <w:sz w:val="24"/>
          <w:szCs w:val="24"/>
        </w:rPr>
        <w:t>3SA</w:t>
      </w:r>
      <w:r w:rsidRPr="003C7547">
        <w:rPr>
          <w:rFonts w:ascii="Arial" w:hAnsi="Arial" w:cs="Arial"/>
          <w:sz w:val="24"/>
          <w:szCs w:val="24"/>
        </w:rPr>
        <w:t xml:space="preserve">, providing a requirement </w:t>
      </w:r>
      <w:r>
        <w:rPr>
          <w:rFonts w:ascii="Arial" w:hAnsi="Arial" w:cs="Arial"/>
          <w:sz w:val="24"/>
          <w:szCs w:val="24"/>
        </w:rPr>
        <w:t xml:space="preserve">that </w:t>
      </w:r>
      <w:r w:rsidRPr="003C7547">
        <w:rPr>
          <w:rFonts w:ascii="Arial" w:hAnsi="Arial" w:cs="Arial"/>
          <w:sz w:val="24"/>
          <w:szCs w:val="24"/>
        </w:rPr>
        <w:t xml:space="preserve">certain </w:t>
      </w:r>
      <w:r>
        <w:rPr>
          <w:rFonts w:ascii="Arial" w:hAnsi="Arial" w:cs="Arial"/>
          <w:sz w:val="24"/>
          <w:szCs w:val="24"/>
        </w:rPr>
        <w:t>occupancy dispute</w:t>
      </w:r>
      <w:r w:rsidRPr="003C7547">
        <w:rPr>
          <w:rFonts w:ascii="Arial" w:hAnsi="Arial" w:cs="Arial"/>
          <w:sz w:val="24"/>
          <w:szCs w:val="24"/>
        </w:rPr>
        <w:t xml:space="preserve"> complaints</w:t>
      </w:r>
      <w:r>
        <w:rPr>
          <w:rFonts w:ascii="Arial" w:hAnsi="Arial" w:cs="Arial"/>
          <w:sz w:val="24"/>
          <w:szCs w:val="24"/>
        </w:rPr>
        <w:t xml:space="preserve"> may only be heard by the ACAT with the leave of the Tribunal</w:t>
      </w:r>
      <w:r w:rsidRPr="003C7547">
        <w:rPr>
          <w:rFonts w:ascii="Arial" w:hAnsi="Arial" w:cs="Arial"/>
          <w:sz w:val="24"/>
          <w:szCs w:val="24"/>
        </w:rPr>
        <w:t xml:space="preserve">. </w:t>
      </w:r>
      <w:r>
        <w:rPr>
          <w:rFonts w:ascii="Arial" w:hAnsi="Arial" w:cs="Arial"/>
          <w:sz w:val="24"/>
          <w:szCs w:val="24"/>
        </w:rPr>
        <w:t>That is, a complaint which is closed by the commission because it is satisfied of one of the reasons mentioned in s 78(2)(c); and the commission gives the complainant a occupancy dispute referral statement under section 82B(1); and either the commission refers the complaint to the ACAT under s 53R or the complainants applies to the ACT for the complaint to be heard under s 53S.</w:t>
      </w:r>
    </w:p>
    <w:p w14:paraId="1457D2F5" w14:textId="1B5373B5" w:rsidR="002F42BB" w:rsidRDefault="002F42BB" w:rsidP="002F42BB">
      <w:pPr>
        <w:pStyle w:val="Heading3"/>
      </w:pPr>
      <w:r w:rsidRPr="00ED3B77">
        <w:t xml:space="preserve">Clause </w:t>
      </w:r>
      <w:r w:rsidR="00F73E38">
        <w:t>11</w:t>
      </w:r>
      <w:r w:rsidRPr="00ED3B77">
        <w:tab/>
      </w:r>
      <w:r>
        <w:t>New section 53ZBAA</w:t>
      </w:r>
    </w:p>
    <w:p w14:paraId="2B91AAFC" w14:textId="5581CDB2" w:rsidR="0053351F" w:rsidRPr="000E38AC" w:rsidRDefault="0053351F" w:rsidP="0053351F">
      <w:pPr>
        <w:rPr>
          <w:rFonts w:ascii="Arial" w:hAnsi="Arial" w:cs="Arial"/>
          <w:sz w:val="24"/>
          <w:szCs w:val="24"/>
        </w:rPr>
      </w:pPr>
      <w:r w:rsidRPr="003C7547">
        <w:rPr>
          <w:rFonts w:ascii="Arial" w:hAnsi="Arial" w:cs="Arial"/>
          <w:sz w:val="24"/>
          <w:szCs w:val="24"/>
        </w:rPr>
        <w:t>This clause inserts a section before section 5</w:t>
      </w:r>
      <w:r>
        <w:rPr>
          <w:rFonts w:ascii="Arial" w:hAnsi="Arial" w:cs="Arial"/>
          <w:sz w:val="24"/>
          <w:szCs w:val="24"/>
        </w:rPr>
        <w:t>3ZBA</w:t>
      </w:r>
      <w:r w:rsidRPr="003C7547">
        <w:rPr>
          <w:rFonts w:ascii="Arial" w:hAnsi="Arial" w:cs="Arial"/>
          <w:sz w:val="24"/>
          <w:szCs w:val="24"/>
        </w:rPr>
        <w:t xml:space="preserve">, providing a requirement </w:t>
      </w:r>
      <w:r>
        <w:rPr>
          <w:rFonts w:ascii="Arial" w:hAnsi="Arial" w:cs="Arial"/>
          <w:sz w:val="24"/>
          <w:szCs w:val="24"/>
        </w:rPr>
        <w:t xml:space="preserve">that </w:t>
      </w:r>
      <w:r w:rsidRPr="003C7547">
        <w:rPr>
          <w:rFonts w:ascii="Arial" w:hAnsi="Arial" w:cs="Arial"/>
          <w:sz w:val="24"/>
          <w:szCs w:val="24"/>
        </w:rPr>
        <w:t xml:space="preserve">certain </w:t>
      </w:r>
      <w:r>
        <w:rPr>
          <w:rFonts w:ascii="Arial" w:hAnsi="Arial" w:cs="Arial"/>
          <w:sz w:val="24"/>
          <w:szCs w:val="24"/>
        </w:rPr>
        <w:t>conversion practice</w:t>
      </w:r>
      <w:r w:rsidRPr="003C7547">
        <w:rPr>
          <w:rFonts w:ascii="Arial" w:hAnsi="Arial" w:cs="Arial"/>
          <w:sz w:val="24"/>
          <w:szCs w:val="24"/>
        </w:rPr>
        <w:t xml:space="preserve"> complaints</w:t>
      </w:r>
      <w:r>
        <w:rPr>
          <w:rFonts w:ascii="Arial" w:hAnsi="Arial" w:cs="Arial"/>
          <w:sz w:val="24"/>
          <w:szCs w:val="24"/>
        </w:rPr>
        <w:t xml:space="preserve"> may only be heard by the ACAT with the leave of the Tribunal</w:t>
      </w:r>
      <w:r w:rsidRPr="003C7547">
        <w:rPr>
          <w:rFonts w:ascii="Arial" w:hAnsi="Arial" w:cs="Arial"/>
          <w:sz w:val="24"/>
          <w:szCs w:val="24"/>
        </w:rPr>
        <w:t xml:space="preserve">. </w:t>
      </w:r>
      <w:r>
        <w:rPr>
          <w:rFonts w:ascii="Arial" w:hAnsi="Arial" w:cs="Arial"/>
          <w:sz w:val="24"/>
          <w:szCs w:val="24"/>
        </w:rPr>
        <w:t>That is, a complaint which is closed by the commission because it is satisfied of one of the reasons mentioned in s 78(2)(c); and the commission gives the complainant a retirement village referral statement under section 82C(1); and either the commission refers the complaint to the ACAT under s 53ZA or the complainants applies to the ACT for the complaint to be heard under s 53ZB.</w:t>
      </w:r>
    </w:p>
    <w:p w14:paraId="7266649C" w14:textId="137DA63C" w:rsidR="002F42BB" w:rsidRDefault="002F42BB" w:rsidP="0053351F">
      <w:pPr>
        <w:pStyle w:val="Heading3"/>
        <w:ind w:left="1440" w:hanging="1440"/>
      </w:pPr>
      <w:r w:rsidRPr="00ED3B77">
        <w:t xml:space="preserve">Clause </w:t>
      </w:r>
      <w:r w:rsidR="00F73E38">
        <w:t>12</w:t>
      </w:r>
      <w:r w:rsidRPr="00ED3B77">
        <w:tab/>
      </w:r>
      <w:r>
        <w:t>Discrimination referral statements</w:t>
      </w:r>
      <w:r w:rsidR="0053351F">
        <w:br/>
      </w:r>
      <w:r>
        <w:t>Section 88, new note</w:t>
      </w:r>
    </w:p>
    <w:p w14:paraId="668A52D3" w14:textId="2461694F" w:rsidR="002F42BB" w:rsidRPr="00E67152" w:rsidRDefault="003C7547" w:rsidP="002F42BB">
      <w:pPr>
        <w:rPr>
          <w:rFonts w:ascii="Arial" w:hAnsi="Arial" w:cs="Arial"/>
          <w:sz w:val="24"/>
          <w:szCs w:val="24"/>
        </w:rPr>
      </w:pPr>
      <w:r w:rsidRPr="003C7547">
        <w:rPr>
          <w:rFonts w:ascii="Arial" w:hAnsi="Arial" w:cs="Arial"/>
          <w:sz w:val="24"/>
          <w:szCs w:val="24"/>
        </w:rPr>
        <w:t>This clause inserts</w:t>
      </w:r>
      <w:r>
        <w:rPr>
          <w:rFonts w:ascii="Arial" w:hAnsi="Arial" w:cs="Arial"/>
          <w:sz w:val="24"/>
          <w:szCs w:val="24"/>
        </w:rPr>
        <w:t xml:space="preserve"> a note </w:t>
      </w:r>
      <w:r w:rsidR="00CF3678">
        <w:rPr>
          <w:rFonts w:ascii="Arial" w:hAnsi="Arial" w:cs="Arial"/>
          <w:sz w:val="24"/>
          <w:szCs w:val="24"/>
        </w:rPr>
        <w:t>in section 88 referring to s 53BAA, that if the Human Rights Commission has closed the complaint for a reason under s 78(2)(c), the complaint may be heard by the ACAT only with the leave of the ACAT.</w:t>
      </w:r>
    </w:p>
    <w:p w14:paraId="7F8F215F" w14:textId="0C142B6D" w:rsidR="002F42BB" w:rsidRDefault="002F42BB" w:rsidP="007859B1">
      <w:pPr>
        <w:pStyle w:val="Heading3"/>
        <w:ind w:left="1440" w:hanging="1440"/>
      </w:pPr>
      <w:r w:rsidRPr="00ED3B77">
        <w:t xml:space="preserve">Clause </w:t>
      </w:r>
      <w:r w:rsidR="00F704A8">
        <w:t>13</w:t>
      </w:r>
      <w:r w:rsidRPr="00ED3B77">
        <w:tab/>
      </w:r>
      <w:r>
        <w:t>Retirement village referral statements</w:t>
      </w:r>
      <w:r w:rsidR="007859B1">
        <w:br/>
      </w:r>
      <w:r>
        <w:t>Section 88A, new note</w:t>
      </w:r>
    </w:p>
    <w:p w14:paraId="1FA86C39" w14:textId="480A2201" w:rsidR="002F42BB" w:rsidRPr="000E38AC" w:rsidRDefault="00CF3678" w:rsidP="002F42BB">
      <w:pPr>
        <w:rPr>
          <w:rFonts w:ascii="Arial" w:hAnsi="Arial" w:cs="Arial"/>
          <w:sz w:val="24"/>
          <w:szCs w:val="24"/>
        </w:rPr>
      </w:pPr>
      <w:r w:rsidRPr="003C7547">
        <w:rPr>
          <w:rFonts w:ascii="Arial" w:hAnsi="Arial" w:cs="Arial"/>
          <w:sz w:val="24"/>
          <w:szCs w:val="24"/>
        </w:rPr>
        <w:t>This clause inserts</w:t>
      </w:r>
      <w:r>
        <w:rPr>
          <w:rFonts w:ascii="Arial" w:hAnsi="Arial" w:cs="Arial"/>
          <w:sz w:val="24"/>
          <w:szCs w:val="24"/>
        </w:rPr>
        <w:t xml:space="preserve"> a note in section 88 referring to s 53IAA, that if the Human Rights Commission has closed the complaint for a reason under s 78(2)(c), the complaint may be heard by the ACAT only with the leave of the ACAT.</w:t>
      </w:r>
    </w:p>
    <w:p w14:paraId="6CE0E720" w14:textId="1A466914" w:rsidR="002F42BB" w:rsidRDefault="002F42BB" w:rsidP="007859B1">
      <w:pPr>
        <w:pStyle w:val="Heading3"/>
        <w:ind w:left="1440" w:hanging="1440"/>
      </w:pPr>
      <w:r w:rsidRPr="00ED3B77">
        <w:t xml:space="preserve">Clause </w:t>
      </w:r>
      <w:r w:rsidR="00F704A8">
        <w:t>14</w:t>
      </w:r>
      <w:r w:rsidRPr="00ED3B77">
        <w:tab/>
      </w:r>
      <w:r>
        <w:t>Occupancy dispute referral statements</w:t>
      </w:r>
      <w:r w:rsidR="007859B1">
        <w:br/>
      </w:r>
      <w:r>
        <w:t>Section 88B, new note</w:t>
      </w:r>
    </w:p>
    <w:p w14:paraId="4569DAE9" w14:textId="069F18F8" w:rsidR="002F42BB" w:rsidRPr="00E67152" w:rsidRDefault="00CF3678" w:rsidP="002F42BB">
      <w:pPr>
        <w:rPr>
          <w:rFonts w:ascii="Arial" w:hAnsi="Arial" w:cs="Arial"/>
          <w:sz w:val="24"/>
          <w:szCs w:val="24"/>
        </w:rPr>
      </w:pPr>
      <w:r w:rsidRPr="003C7547">
        <w:rPr>
          <w:rFonts w:ascii="Arial" w:hAnsi="Arial" w:cs="Arial"/>
          <w:sz w:val="24"/>
          <w:szCs w:val="24"/>
        </w:rPr>
        <w:t>This clause inserts</w:t>
      </w:r>
      <w:r>
        <w:rPr>
          <w:rFonts w:ascii="Arial" w:hAnsi="Arial" w:cs="Arial"/>
          <w:sz w:val="24"/>
          <w:szCs w:val="24"/>
        </w:rPr>
        <w:t xml:space="preserve"> a note in section 88</w:t>
      </w:r>
      <w:r w:rsidR="007859B1">
        <w:rPr>
          <w:rFonts w:ascii="Arial" w:hAnsi="Arial" w:cs="Arial"/>
          <w:sz w:val="24"/>
          <w:szCs w:val="24"/>
        </w:rPr>
        <w:t>B</w:t>
      </w:r>
      <w:r>
        <w:rPr>
          <w:rFonts w:ascii="Arial" w:hAnsi="Arial" w:cs="Arial"/>
          <w:sz w:val="24"/>
          <w:szCs w:val="24"/>
        </w:rPr>
        <w:t xml:space="preserve"> referring to s 53SAA, that if the Human Rights Commission has closed the complaint for a reason under s 78(2)(c), the complaint may be heard by the ACAT only with the leave of the ACAT.</w:t>
      </w:r>
    </w:p>
    <w:p w14:paraId="097D1773" w14:textId="635320DC" w:rsidR="002F42BB" w:rsidRDefault="002F42BB" w:rsidP="007859B1">
      <w:pPr>
        <w:pStyle w:val="Heading3"/>
        <w:ind w:left="1440" w:hanging="1440"/>
      </w:pPr>
      <w:r w:rsidRPr="00ED3B77">
        <w:lastRenderedPageBreak/>
        <w:t xml:space="preserve">Clause </w:t>
      </w:r>
      <w:r w:rsidR="00F704A8">
        <w:t>15</w:t>
      </w:r>
      <w:r w:rsidRPr="00ED3B77">
        <w:tab/>
      </w:r>
      <w:r>
        <w:t>Conversion practice referral statements</w:t>
      </w:r>
      <w:r w:rsidR="007859B1">
        <w:br/>
      </w:r>
      <w:r>
        <w:t>Section 88C, new note</w:t>
      </w:r>
    </w:p>
    <w:p w14:paraId="55ABB35F" w14:textId="44882BB7" w:rsidR="00CF3678" w:rsidRPr="003C7547" w:rsidRDefault="00CF3678" w:rsidP="00CF3678">
      <w:pPr>
        <w:rPr>
          <w:rFonts w:ascii="Arial" w:hAnsi="Arial" w:cs="Arial"/>
          <w:sz w:val="24"/>
          <w:szCs w:val="24"/>
        </w:rPr>
      </w:pPr>
      <w:r w:rsidRPr="003C7547">
        <w:rPr>
          <w:rFonts w:ascii="Arial" w:hAnsi="Arial" w:cs="Arial"/>
          <w:sz w:val="24"/>
          <w:szCs w:val="24"/>
        </w:rPr>
        <w:t>This clause inserts</w:t>
      </w:r>
      <w:r>
        <w:rPr>
          <w:rFonts w:ascii="Arial" w:hAnsi="Arial" w:cs="Arial"/>
          <w:sz w:val="24"/>
          <w:szCs w:val="24"/>
        </w:rPr>
        <w:t xml:space="preserve"> a note in section 88</w:t>
      </w:r>
      <w:r w:rsidR="007859B1">
        <w:rPr>
          <w:rFonts w:ascii="Arial" w:hAnsi="Arial" w:cs="Arial"/>
          <w:sz w:val="24"/>
          <w:szCs w:val="24"/>
        </w:rPr>
        <w:t>C</w:t>
      </w:r>
      <w:r>
        <w:rPr>
          <w:rFonts w:ascii="Arial" w:hAnsi="Arial" w:cs="Arial"/>
          <w:sz w:val="24"/>
          <w:szCs w:val="24"/>
        </w:rPr>
        <w:t xml:space="preserve"> referring to s 53ZBAA, that if the Human Rights Commission has closed the complaint for a reason under s 78(2)(c), the complaint may be heard by the ACAT only with the leave of the ACAT.</w:t>
      </w:r>
    </w:p>
    <w:p w14:paraId="11143B89" w14:textId="6B1250A7" w:rsidR="002F42BB" w:rsidRPr="002F42BB" w:rsidRDefault="00E67152" w:rsidP="002F42BB">
      <w:r>
        <w:t xml:space="preserve"> </w:t>
      </w:r>
    </w:p>
    <w:p w14:paraId="3FF51FD4" w14:textId="29202794" w:rsidR="00F704A8" w:rsidRPr="009734A0" w:rsidRDefault="00F704A8" w:rsidP="002D028C">
      <w:pPr>
        <w:pStyle w:val="Heading3"/>
        <w:tabs>
          <w:tab w:val="left" w:pos="1418"/>
        </w:tabs>
      </w:pPr>
      <w:r w:rsidRPr="00CE487C">
        <w:t>Part 6</w:t>
      </w:r>
      <w:r w:rsidRPr="00CE487C">
        <w:tab/>
        <w:t>Inquiries Act 1991</w:t>
      </w:r>
    </w:p>
    <w:p w14:paraId="757C7AF1" w14:textId="19031630" w:rsidR="00F704A8" w:rsidRDefault="00F704A8" w:rsidP="00F704A8">
      <w:pPr>
        <w:pStyle w:val="Heading3"/>
        <w:ind w:left="1440" w:hanging="1440"/>
      </w:pPr>
      <w:r w:rsidRPr="00ED3B77">
        <w:t xml:space="preserve">Clause </w:t>
      </w:r>
      <w:r>
        <w:t>16</w:t>
      </w:r>
      <w:r w:rsidRPr="00ED3B77">
        <w:tab/>
      </w:r>
      <w:r>
        <w:t xml:space="preserve">Offences against Act – application of Criminal Code etc </w:t>
      </w:r>
      <w:r>
        <w:br/>
        <w:t>Section 4, note 1</w:t>
      </w:r>
    </w:p>
    <w:p w14:paraId="3C1354FD" w14:textId="255F3C57" w:rsidR="009734A0" w:rsidRPr="00E67152" w:rsidRDefault="009734A0" w:rsidP="009734A0">
      <w:pPr>
        <w:rPr>
          <w:rFonts w:ascii="Arial" w:hAnsi="Arial" w:cs="Arial"/>
          <w:sz w:val="24"/>
          <w:szCs w:val="24"/>
        </w:rPr>
      </w:pPr>
      <w:r w:rsidRPr="003C7547">
        <w:rPr>
          <w:rFonts w:ascii="Arial" w:hAnsi="Arial" w:cs="Arial"/>
          <w:sz w:val="24"/>
          <w:szCs w:val="24"/>
        </w:rPr>
        <w:t xml:space="preserve">This clause </w:t>
      </w:r>
      <w:r w:rsidR="006F7CC2">
        <w:rPr>
          <w:rFonts w:ascii="Arial" w:hAnsi="Arial" w:cs="Arial"/>
          <w:sz w:val="24"/>
          <w:szCs w:val="24"/>
        </w:rPr>
        <w:t>substitutes</w:t>
      </w:r>
      <w:r>
        <w:rPr>
          <w:rFonts w:ascii="Arial" w:hAnsi="Arial" w:cs="Arial"/>
          <w:sz w:val="24"/>
          <w:szCs w:val="24"/>
        </w:rPr>
        <w:t xml:space="preserve"> </w:t>
      </w:r>
      <w:r w:rsidR="007800F3">
        <w:rPr>
          <w:rFonts w:ascii="Arial" w:hAnsi="Arial" w:cs="Arial"/>
          <w:sz w:val="24"/>
          <w:szCs w:val="24"/>
        </w:rPr>
        <w:t xml:space="preserve">a note in Section 4 </w:t>
      </w:r>
      <w:r w:rsidR="00E84043">
        <w:rPr>
          <w:rFonts w:ascii="Arial" w:hAnsi="Arial" w:cs="Arial"/>
          <w:sz w:val="24"/>
          <w:szCs w:val="24"/>
        </w:rPr>
        <w:t>to refer to all offences against this Act.</w:t>
      </w:r>
    </w:p>
    <w:p w14:paraId="589A8CAB" w14:textId="77777777" w:rsidR="009734A0" w:rsidRPr="009734A0" w:rsidRDefault="009734A0" w:rsidP="009734A0"/>
    <w:p w14:paraId="43856138" w14:textId="57FBD726" w:rsidR="00F704A8" w:rsidRDefault="00F704A8" w:rsidP="009734A0">
      <w:pPr>
        <w:pStyle w:val="Paragraphtext"/>
        <w:spacing w:line="276" w:lineRule="auto"/>
        <w:ind w:left="1440" w:hanging="1440"/>
        <w:rPr>
          <w:rFonts w:ascii="Arial" w:hAnsi="Arial" w:cs="Arial"/>
          <w:b/>
          <w:bCs/>
        </w:rPr>
      </w:pPr>
      <w:r w:rsidRPr="009734A0">
        <w:rPr>
          <w:rFonts w:ascii="Arial" w:hAnsi="Arial" w:cs="Arial"/>
          <w:b/>
          <w:bCs/>
        </w:rPr>
        <w:t>Clause 17</w:t>
      </w:r>
      <w:r w:rsidRPr="009734A0">
        <w:rPr>
          <w:rFonts w:ascii="Arial" w:hAnsi="Arial" w:cs="Arial"/>
          <w:b/>
          <w:bCs/>
        </w:rPr>
        <w:tab/>
        <w:t>Reports of boards</w:t>
      </w:r>
      <w:r w:rsidRPr="009734A0">
        <w:rPr>
          <w:rFonts w:ascii="Arial" w:hAnsi="Arial" w:cs="Arial"/>
          <w:b/>
          <w:bCs/>
        </w:rPr>
        <w:br/>
        <w:t>Section 14 (1), new note</w:t>
      </w:r>
    </w:p>
    <w:p w14:paraId="4B51065C" w14:textId="2CDED315" w:rsidR="00E84043" w:rsidRPr="00E67152" w:rsidRDefault="00E84043" w:rsidP="00E84043">
      <w:pPr>
        <w:rPr>
          <w:rFonts w:ascii="Arial" w:hAnsi="Arial" w:cs="Arial"/>
          <w:sz w:val="24"/>
          <w:szCs w:val="24"/>
        </w:rPr>
      </w:pPr>
      <w:r w:rsidRPr="003C7547">
        <w:rPr>
          <w:rFonts w:ascii="Arial" w:hAnsi="Arial" w:cs="Arial"/>
          <w:sz w:val="24"/>
          <w:szCs w:val="24"/>
        </w:rPr>
        <w:t xml:space="preserve">This clause </w:t>
      </w:r>
      <w:r>
        <w:rPr>
          <w:rFonts w:ascii="Arial" w:hAnsi="Arial" w:cs="Arial"/>
          <w:sz w:val="24"/>
          <w:szCs w:val="24"/>
        </w:rPr>
        <w:t>inserts a note into Section 14(1) that confidentiality requirements apply under section 17 in relation to a report.</w:t>
      </w:r>
    </w:p>
    <w:p w14:paraId="6B9196BF" w14:textId="77777777" w:rsidR="00E84043" w:rsidRPr="009734A0" w:rsidRDefault="00E84043" w:rsidP="009734A0">
      <w:pPr>
        <w:pStyle w:val="Paragraphtext"/>
        <w:spacing w:line="276" w:lineRule="auto"/>
        <w:ind w:left="1440" w:hanging="1440"/>
        <w:rPr>
          <w:rFonts w:ascii="Arial" w:hAnsi="Arial" w:cs="Arial"/>
          <w:b/>
          <w:bCs/>
        </w:rPr>
      </w:pPr>
    </w:p>
    <w:p w14:paraId="688F9858" w14:textId="2E10CBF0" w:rsidR="00F704A8" w:rsidRDefault="00F704A8" w:rsidP="00F704A8">
      <w:pPr>
        <w:pStyle w:val="Heading3"/>
      </w:pPr>
      <w:r w:rsidRPr="00ED3B77">
        <w:t xml:space="preserve">Clause </w:t>
      </w:r>
      <w:r>
        <w:t>18</w:t>
      </w:r>
      <w:r w:rsidRPr="00ED3B77">
        <w:tab/>
      </w:r>
      <w:r>
        <w:t>Section 17</w:t>
      </w:r>
    </w:p>
    <w:p w14:paraId="310A26C8" w14:textId="496854BA" w:rsidR="00E84043" w:rsidRDefault="00E84043" w:rsidP="00E84043">
      <w:pPr>
        <w:rPr>
          <w:rFonts w:ascii="Arial" w:hAnsi="Arial" w:cs="Arial"/>
          <w:sz w:val="24"/>
          <w:szCs w:val="24"/>
        </w:rPr>
      </w:pPr>
      <w:r w:rsidRPr="003C7547">
        <w:rPr>
          <w:rFonts w:ascii="Arial" w:hAnsi="Arial" w:cs="Arial"/>
          <w:sz w:val="24"/>
          <w:szCs w:val="24"/>
        </w:rPr>
        <w:t xml:space="preserve">This clause </w:t>
      </w:r>
      <w:r w:rsidR="007800F3">
        <w:rPr>
          <w:rFonts w:ascii="Arial" w:hAnsi="Arial" w:cs="Arial"/>
          <w:sz w:val="24"/>
          <w:szCs w:val="24"/>
        </w:rPr>
        <w:t xml:space="preserve">substitutes Section 17 and </w:t>
      </w:r>
      <w:r>
        <w:rPr>
          <w:rFonts w:ascii="Arial" w:hAnsi="Arial" w:cs="Arial"/>
          <w:sz w:val="24"/>
          <w:szCs w:val="24"/>
        </w:rPr>
        <w:t>applies</w:t>
      </w:r>
      <w:r w:rsidR="000B519B">
        <w:rPr>
          <w:rFonts w:ascii="Arial" w:hAnsi="Arial" w:cs="Arial"/>
          <w:sz w:val="24"/>
          <w:szCs w:val="24"/>
        </w:rPr>
        <w:t xml:space="preserve"> strict liability </w:t>
      </w:r>
      <w:r>
        <w:rPr>
          <w:rFonts w:ascii="Arial" w:hAnsi="Arial" w:cs="Arial"/>
          <w:sz w:val="24"/>
          <w:szCs w:val="24"/>
        </w:rPr>
        <w:t xml:space="preserve">for an entrusted person </w:t>
      </w:r>
      <w:r w:rsidR="00A7438E">
        <w:rPr>
          <w:rFonts w:ascii="Arial" w:hAnsi="Arial" w:cs="Arial"/>
          <w:sz w:val="24"/>
          <w:szCs w:val="24"/>
        </w:rPr>
        <w:t xml:space="preserve">that </w:t>
      </w:r>
      <w:r>
        <w:rPr>
          <w:rFonts w:ascii="Arial" w:hAnsi="Arial" w:cs="Arial"/>
          <w:sz w:val="24"/>
          <w:szCs w:val="24"/>
        </w:rPr>
        <w:t>mak</w:t>
      </w:r>
      <w:r w:rsidR="00A7438E">
        <w:rPr>
          <w:rFonts w:ascii="Arial" w:hAnsi="Arial" w:cs="Arial"/>
          <w:sz w:val="24"/>
          <w:szCs w:val="24"/>
        </w:rPr>
        <w:t>es</w:t>
      </w:r>
      <w:r>
        <w:rPr>
          <w:rFonts w:ascii="Arial" w:hAnsi="Arial" w:cs="Arial"/>
          <w:sz w:val="24"/>
          <w:szCs w:val="24"/>
        </w:rPr>
        <w:t xml:space="preserve"> any disclosure</w:t>
      </w:r>
      <w:r w:rsidR="00413BC9">
        <w:rPr>
          <w:rFonts w:ascii="Arial" w:hAnsi="Arial" w:cs="Arial"/>
          <w:sz w:val="24"/>
          <w:szCs w:val="24"/>
        </w:rPr>
        <w:t xml:space="preserve"> of protected information</w:t>
      </w:r>
      <w:r>
        <w:rPr>
          <w:rFonts w:ascii="Arial" w:hAnsi="Arial" w:cs="Arial"/>
          <w:sz w:val="24"/>
          <w:szCs w:val="24"/>
        </w:rPr>
        <w:t>.</w:t>
      </w:r>
      <w:r w:rsidR="00413BC9">
        <w:rPr>
          <w:rFonts w:ascii="Arial" w:hAnsi="Arial" w:cs="Arial"/>
          <w:sz w:val="24"/>
          <w:szCs w:val="24"/>
        </w:rPr>
        <w:t xml:space="preserve"> Section 17(1) contains a maximum penalty of imprisonment for one year or 50 penalty units or both.</w:t>
      </w:r>
      <w:r w:rsidR="007800F3">
        <w:rPr>
          <w:rFonts w:ascii="Arial" w:hAnsi="Arial" w:cs="Arial"/>
          <w:sz w:val="24"/>
          <w:szCs w:val="24"/>
        </w:rPr>
        <w:t xml:space="preserve"> The offence covers any disclosure no matter how the offence occurs, either online or by other means of electronic communication. </w:t>
      </w:r>
      <w:r w:rsidR="000B519B">
        <w:rPr>
          <w:rFonts w:ascii="Arial" w:hAnsi="Arial" w:cs="Arial"/>
          <w:sz w:val="24"/>
          <w:szCs w:val="24"/>
        </w:rPr>
        <w:t>This strict liability applie</w:t>
      </w:r>
      <w:r w:rsidR="009A0366">
        <w:rPr>
          <w:rFonts w:ascii="Arial" w:hAnsi="Arial" w:cs="Arial"/>
          <w:sz w:val="24"/>
          <w:szCs w:val="24"/>
        </w:rPr>
        <w:t>s</w:t>
      </w:r>
      <w:r w:rsidR="000B519B">
        <w:rPr>
          <w:rFonts w:ascii="Arial" w:hAnsi="Arial" w:cs="Arial"/>
          <w:sz w:val="24"/>
          <w:szCs w:val="24"/>
        </w:rPr>
        <w:t xml:space="preserve"> to Section 17(1a).</w:t>
      </w:r>
      <w:r w:rsidR="009A0366">
        <w:rPr>
          <w:rFonts w:ascii="Arial" w:hAnsi="Arial" w:cs="Arial"/>
          <w:sz w:val="24"/>
          <w:szCs w:val="24"/>
        </w:rPr>
        <w:t xml:space="preserve"> The penalty aligns with the maximum penalty for other offences in the </w:t>
      </w:r>
      <w:r w:rsidR="009A0366" w:rsidRPr="009A0366">
        <w:rPr>
          <w:rFonts w:ascii="Arial" w:hAnsi="Arial" w:cs="Arial"/>
          <w:i/>
          <w:iCs/>
          <w:sz w:val="24"/>
          <w:szCs w:val="24"/>
        </w:rPr>
        <w:t>Inquiries Act 1991</w:t>
      </w:r>
      <w:r w:rsidR="009A0366">
        <w:rPr>
          <w:rFonts w:ascii="Arial" w:hAnsi="Arial" w:cs="Arial"/>
          <w:sz w:val="24"/>
          <w:szCs w:val="24"/>
        </w:rPr>
        <w:t>.</w:t>
      </w:r>
      <w:r w:rsidR="00CE487C">
        <w:rPr>
          <w:rFonts w:ascii="Arial" w:hAnsi="Arial" w:cs="Arial"/>
          <w:sz w:val="24"/>
          <w:szCs w:val="24"/>
        </w:rPr>
        <w:t xml:space="preserve"> </w:t>
      </w:r>
      <w:r w:rsidR="009A0366">
        <w:rPr>
          <w:rFonts w:ascii="Arial" w:hAnsi="Arial" w:cs="Arial"/>
          <w:sz w:val="24"/>
          <w:szCs w:val="24"/>
        </w:rPr>
        <w:t xml:space="preserve">A strict liability is to be applied to whether a person is and has been an entrusted person as this is objectively ascertainable. </w:t>
      </w:r>
    </w:p>
    <w:p w14:paraId="75F3009E" w14:textId="1C4568F3" w:rsidR="00251CDF" w:rsidRDefault="00251CDF" w:rsidP="00E84043">
      <w:pPr>
        <w:rPr>
          <w:rFonts w:ascii="Arial" w:hAnsi="Arial" w:cs="Arial"/>
          <w:sz w:val="24"/>
          <w:szCs w:val="24"/>
        </w:rPr>
      </w:pPr>
      <w:r w:rsidRPr="00251CDF">
        <w:rPr>
          <w:rFonts w:ascii="Arial" w:hAnsi="Arial" w:cs="Arial"/>
          <w:sz w:val="24"/>
          <w:szCs w:val="24"/>
        </w:rPr>
        <w:t xml:space="preserve">The reversed evidential burden strengthens the presumption that, as a rule, entrusted persons cannot disclose confidential information. Only if they are able to provide evidence that indicates they fall within the scope of sub section (5) exceptions to that rule can they disclose information. </w:t>
      </w:r>
    </w:p>
    <w:p w14:paraId="6853E02A" w14:textId="77777777" w:rsidR="009A0366" w:rsidRPr="00E67152" w:rsidRDefault="009A0366" w:rsidP="00E84043">
      <w:pPr>
        <w:rPr>
          <w:rFonts w:ascii="Arial" w:hAnsi="Arial" w:cs="Arial"/>
          <w:sz w:val="24"/>
          <w:szCs w:val="24"/>
        </w:rPr>
      </w:pPr>
    </w:p>
    <w:p w14:paraId="71C0697D" w14:textId="3525D724" w:rsidR="00F704A8" w:rsidRDefault="00F704A8" w:rsidP="00F704A8">
      <w:pPr>
        <w:pStyle w:val="Heading3"/>
        <w:ind w:left="1440" w:hanging="1440"/>
      </w:pPr>
      <w:r w:rsidRPr="00ED3B77">
        <w:lastRenderedPageBreak/>
        <w:t xml:space="preserve">Clause </w:t>
      </w:r>
      <w:r>
        <w:t>19</w:t>
      </w:r>
      <w:r w:rsidRPr="00ED3B77">
        <w:tab/>
      </w:r>
      <w:r>
        <w:t xml:space="preserve">Proposed adverse comments in reports </w:t>
      </w:r>
      <w:r>
        <w:br/>
        <w:t>Section 26A (2) (b) and (c)</w:t>
      </w:r>
    </w:p>
    <w:p w14:paraId="1A45848C" w14:textId="07675576" w:rsidR="007A60B4" w:rsidRPr="00972DA9" w:rsidRDefault="007A60B4" w:rsidP="007A60B4">
      <w:pPr>
        <w:rPr>
          <w:rFonts w:ascii="Arial" w:hAnsi="Arial" w:cs="Arial"/>
          <w:sz w:val="24"/>
          <w:szCs w:val="24"/>
        </w:rPr>
      </w:pPr>
      <w:r w:rsidRPr="00972DA9">
        <w:rPr>
          <w:rFonts w:ascii="Arial" w:hAnsi="Arial" w:cs="Arial"/>
          <w:sz w:val="24"/>
          <w:szCs w:val="24"/>
        </w:rPr>
        <w:t xml:space="preserve">This clause </w:t>
      </w:r>
      <w:r w:rsidR="00972DA9">
        <w:rPr>
          <w:rFonts w:ascii="Arial" w:hAnsi="Arial" w:cs="Arial"/>
          <w:sz w:val="24"/>
          <w:szCs w:val="24"/>
        </w:rPr>
        <w:t xml:space="preserve">substitutes Section 26A (2) (b) and (c) </w:t>
      </w:r>
      <w:r w:rsidR="00D654BA">
        <w:rPr>
          <w:rFonts w:ascii="Arial" w:hAnsi="Arial" w:cs="Arial"/>
          <w:sz w:val="24"/>
          <w:szCs w:val="24"/>
        </w:rPr>
        <w:t>on how</w:t>
      </w:r>
      <w:r w:rsidR="00A7438E">
        <w:rPr>
          <w:rFonts w:ascii="Arial" w:hAnsi="Arial" w:cs="Arial"/>
          <w:sz w:val="24"/>
          <w:szCs w:val="24"/>
        </w:rPr>
        <w:t xml:space="preserve"> the</w:t>
      </w:r>
      <w:r w:rsidR="00D654BA">
        <w:rPr>
          <w:rFonts w:ascii="Arial" w:hAnsi="Arial" w:cs="Arial"/>
          <w:sz w:val="24"/>
          <w:szCs w:val="24"/>
        </w:rPr>
        <w:t xml:space="preserve"> </w:t>
      </w:r>
      <w:r w:rsidR="00972DA9">
        <w:rPr>
          <w:rFonts w:ascii="Arial" w:hAnsi="Arial" w:cs="Arial"/>
          <w:sz w:val="24"/>
          <w:szCs w:val="24"/>
        </w:rPr>
        <w:t>Board</w:t>
      </w:r>
      <w:r w:rsidR="00D654BA">
        <w:rPr>
          <w:rFonts w:ascii="Arial" w:hAnsi="Arial" w:cs="Arial"/>
          <w:sz w:val="24"/>
          <w:szCs w:val="24"/>
        </w:rPr>
        <w:t xml:space="preserve"> is to inform an entity of a proposed adverse comment, and that the report will include a copy or summary of any submission the entity makes, or statement the entity gives.</w:t>
      </w:r>
      <w:r w:rsidR="00A6579A">
        <w:rPr>
          <w:rFonts w:ascii="Arial" w:hAnsi="Arial" w:cs="Arial"/>
          <w:sz w:val="24"/>
          <w:szCs w:val="24"/>
        </w:rPr>
        <w:t xml:space="preserve"> </w:t>
      </w:r>
    </w:p>
    <w:p w14:paraId="7D9BD4EC" w14:textId="2C777E01" w:rsidR="00F704A8" w:rsidRDefault="00F704A8" w:rsidP="00F704A8">
      <w:pPr>
        <w:pStyle w:val="Heading3"/>
      </w:pPr>
      <w:r w:rsidRPr="00ED3B77">
        <w:t xml:space="preserve">Clause </w:t>
      </w:r>
      <w:r>
        <w:t>20</w:t>
      </w:r>
      <w:r w:rsidRPr="00ED3B77">
        <w:tab/>
      </w:r>
      <w:r>
        <w:t>Section 26A (3)</w:t>
      </w:r>
    </w:p>
    <w:p w14:paraId="0F54116F" w14:textId="020275EB" w:rsidR="00413BC9" w:rsidRPr="007A60B4" w:rsidRDefault="00413BC9" w:rsidP="00413BC9">
      <w:pPr>
        <w:rPr>
          <w:rFonts w:ascii="Arial" w:hAnsi="Arial" w:cs="Arial"/>
          <w:sz w:val="24"/>
          <w:szCs w:val="24"/>
        </w:rPr>
      </w:pPr>
      <w:r w:rsidRPr="007A60B4">
        <w:rPr>
          <w:rFonts w:ascii="Arial" w:hAnsi="Arial" w:cs="Arial"/>
          <w:sz w:val="24"/>
          <w:szCs w:val="24"/>
        </w:rPr>
        <w:t xml:space="preserve">This clause substitutes 28 days </w:t>
      </w:r>
      <w:r w:rsidR="00972DA9">
        <w:rPr>
          <w:rFonts w:ascii="Arial" w:hAnsi="Arial" w:cs="Arial"/>
          <w:sz w:val="24"/>
          <w:szCs w:val="24"/>
        </w:rPr>
        <w:t xml:space="preserve">in Section 26A (3) </w:t>
      </w:r>
      <w:r w:rsidRPr="007A60B4">
        <w:rPr>
          <w:rFonts w:ascii="Arial" w:hAnsi="Arial" w:cs="Arial"/>
          <w:sz w:val="24"/>
          <w:szCs w:val="24"/>
        </w:rPr>
        <w:t xml:space="preserve">as the </w:t>
      </w:r>
      <w:r w:rsidR="00A7438E">
        <w:rPr>
          <w:rFonts w:ascii="Arial" w:hAnsi="Arial" w:cs="Arial"/>
          <w:sz w:val="24"/>
          <w:szCs w:val="24"/>
        </w:rPr>
        <w:t xml:space="preserve">minimum </w:t>
      </w:r>
      <w:r w:rsidR="007A60B4" w:rsidRPr="007A60B4">
        <w:rPr>
          <w:rFonts w:ascii="Arial" w:hAnsi="Arial" w:cs="Arial"/>
          <w:sz w:val="24"/>
          <w:szCs w:val="24"/>
        </w:rPr>
        <w:t xml:space="preserve">time </w:t>
      </w:r>
      <w:r w:rsidR="00A7438E">
        <w:rPr>
          <w:rFonts w:ascii="Arial" w:hAnsi="Arial" w:cs="Arial"/>
          <w:sz w:val="24"/>
          <w:szCs w:val="24"/>
        </w:rPr>
        <w:t>period, within which a submission may be made in relation to an</w:t>
      </w:r>
      <w:r w:rsidRPr="007A60B4">
        <w:rPr>
          <w:rFonts w:ascii="Arial" w:hAnsi="Arial" w:cs="Arial"/>
          <w:sz w:val="24"/>
          <w:szCs w:val="24"/>
        </w:rPr>
        <w:t xml:space="preserve"> adverse comment</w:t>
      </w:r>
      <w:r w:rsidR="00A7438E">
        <w:rPr>
          <w:rFonts w:ascii="Arial" w:hAnsi="Arial" w:cs="Arial"/>
          <w:sz w:val="24"/>
          <w:szCs w:val="24"/>
        </w:rPr>
        <w:t>,</w:t>
      </w:r>
      <w:r w:rsidRPr="007A60B4">
        <w:rPr>
          <w:rFonts w:ascii="Arial" w:hAnsi="Arial" w:cs="Arial"/>
          <w:sz w:val="24"/>
          <w:szCs w:val="24"/>
        </w:rPr>
        <w:t xml:space="preserve"> by id</w:t>
      </w:r>
      <w:r w:rsidR="007A60B4" w:rsidRPr="007A60B4">
        <w:rPr>
          <w:rFonts w:ascii="Arial" w:hAnsi="Arial" w:cs="Arial"/>
          <w:sz w:val="24"/>
          <w:szCs w:val="24"/>
        </w:rPr>
        <w:t>entifiable entities.</w:t>
      </w:r>
    </w:p>
    <w:p w14:paraId="3B90C4DC" w14:textId="3BDCFA73" w:rsidR="00AD4FE2" w:rsidRDefault="00F704A8" w:rsidP="00AD4FE2">
      <w:pPr>
        <w:pStyle w:val="Heading3"/>
      </w:pPr>
      <w:r w:rsidRPr="00ED3B77">
        <w:t xml:space="preserve">Clause </w:t>
      </w:r>
      <w:r>
        <w:t>21</w:t>
      </w:r>
      <w:r w:rsidRPr="00ED3B77">
        <w:tab/>
      </w:r>
      <w:r>
        <w:t>New section 26A (6)</w:t>
      </w:r>
    </w:p>
    <w:p w14:paraId="10807D72" w14:textId="553E6A33" w:rsidR="007A60B4" w:rsidRPr="00E67152" w:rsidRDefault="007A60B4" w:rsidP="007A60B4">
      <w:pPr>
        <w:rPr>
          <w:rFonts w:ascii="Arial" w:hAnsi="Arial" w:cs="Arial"/>
          <w:sz w:val="24"/>
          <w:szCs w:val="24"/>
        </w:rPr>
      </w:pPr>
      <w:r w:rsidRPr="003C7547">
        <w:rPr>
          <w:rFonts w:ascii="Arial" w:hAnsi="Arial" w:cs="Arial"/>
          <w:sz w:val="24"/>
          <w:szCs w:val="24"/>
        </w:rPr>
        <w:t xml:space="preserve">This </w:t>
      </w:r>
      <w:r w:rsidR="00432FBB">
        <w:rPr>
          <w:rFonts w:ascii="Arial" w:hAnsi="Arial" w:cs="Arial"/>
          <w:sz w:val="24"/>
          <w:szCs w:val="24"/>
        </w:rPr>
        <w:t xml:space="preserve">new </w:t>
      </w:r>
      <w:r w:rsidRPr="003C7547">
        <w:rPr>
          <w:rFonts w:ascii="Arial" w:hAnsi="Arial" w:cs="Arial"/>
          <w:sz w:val="24"/>
          <w:szCs w:val="24"/>
        </w:rPr>
        <w:t xml:space="preserve">clause </w:t>
      </w:r>
      <w:r w:rsidR="00432FBB">
        <w:rPr>
          <w:rFonts w:ascii="Arial" w:hAnsi="Arial" w:cs="Arial"/>
          <w:sz w:val="24"/>
          <w:szCs w:val="24"/>
        </w:rPr>
        <w:t>inserts a section that requires a report not to include various material in relation to which a notice under subsection (2) was given to an entity.</w:t>
      </w:r>
    </w:p>
    <w:p w14:paraId="649DB047" w14:textId="77777777" w:rsidR="007A60B4" w:rsidRPr="007A60B4" w:rsidRDefault="007A60B4" w:rsidP="007A60B4"/>
    <w:p w14:paraId="5E444CF5" w14:textId="5830C253" w:rsidR="00F704A8" w:rsidRDefault="00F704A8" w:rsidP="00F704A8">
      <w:pPr>
        <w:pStyle w:val="Heading3"/>
        <w:ind w:left="1440" w:hanging="1440"/>
      </w:pPr>
      <w:r w:rsidRPr="00ED3B77">
        <w:t xml:space="preserve">Clause </w:t>
      </w:r>
      <w:r>
        <w:t>22</w:t>
      </w:r>
      <w:r w:rsidRPr="00ED3B77">
        <w:tab/>
      </w:r>
      <w:r>
        <w:t>Publication of published proceedings, reports and comments protected</w:t>
      </w:r>
      <w:r>
        <w:br/>
        <w:t>Section 38 (3</w:t>
      </w:r>
      <w:r w:rsidR="00524C62">
        <w:t>)</w:t>
      </w:r>
    </w:p>
    <w:p w14:paraId="371295FF" w14:textId="5E8D3D96" w:rsidR="00432FBB" w:rsidRPr="00E67152" w:rsidRDefault="00432FBB" w:rsidP="00432FBB">
      <w:pPr>
        <w:rPr>
          <w:rFonts w:ascii="Arial" w:hAnsi="Arial" w:cs="Arial"/>
          <w:sz w:val="24"/>
          <w:szCs w:val="24"/>
        </w:rPr>
      </w:pPr>
      <w:r w:rsidRPr="003C7547">
        <w:rPr>
          <w:rFonts w:ascii="Arial" w:hAnsi="Arial" w:cs="Arial"/>
          <w:sz w:val="24"/>
          <w:szCs w:val="24"/>
        </w:rPr>
        <w:t xml:space="preserve">This clause </w:t>
      </w:r>
      <w:r>
        <w:rPr>
          <w:rFonts w:ascii="Arial" w:hAnsi="Arial" w:cs="Arial"/>
          <w:sz w:val="24"/>
          <w:szCs w:val="24"/>
        </w:rPr>
        <w:t xml:space="preserve">substitutes Section </w:t>
      </w:r>
      <w:r w:rsidR="00524C62">
        <w:rPr>
          <w:rFonts w:ascii="Arial" w:hAnsi="Arial" w:cs="Arial"/>
          <w:sz w:val="24"/>
          <w:szCs w:val="24"/>
        </w:rPr>
        <w:t>38(3) with a section</w:t>
      </w:r>
      <w:r>
        <w:rPr>
          <w:rFonts w:ascii="Arial" w:hAnsi="Arial" w:cs="Arial"/>
          <w:sz w:val="24"/>
          <w:szCs w:val="24"/>
        </w:rPr>
        <w:t xml:space="preserve"> referring to </w:t>
      </w:r>
      <w:r w:rsidR="000B519B">
        <w:rPr>
          <w:rFonts w:ascii="Arial" w:hAnsi="Arial" w:cs="Arial"/>
          <w:sz w:val="24"/>
          <w:szCs w:val="24"/>
        </w:rPr>
        <w:t xml:space="preserve">a </w:t>
      </w:r>
      <w:r>
        <w:rPr>
          <w:rFonts w:ascii="Arial" w:hAnsi="Arial" w:cs="Arial"/>
          <w:sz w:val="24"/>
          <w:szCs w:val="24"/>
        </w:rPr>
        <w:t xml:space="preserve">board of inquiry report as </w:t>
      </w:r>
      <w:r w:rsidR="00524C62">
        <w:rPr>
          <w:rFonts w:ascii="Arial" w:hAnsi="Arial" w:cs="Arial"/>
          <w:sz w:val="24"/>
          <w:szCs w:val="24"/>
        </w:rPr>
        <w:t xml:space="preserve">a </w:t>
      </w:r>
      <w:r>
        <w:rPr>
          <w:rFonts w:ascii="Arial" w:hAnsi="Arial" w:cs="Arial"/>
          <w:sz w:val="24"/>
          <w:szCs w:val="24"/>
        </w:rPr>
        <w:t>public document</w:t>
      </w:r>
      <w:r w:rsidR="00524C62">
        <w:rPr>
          <w:rFonts w:ascii="Arial" w:hAnsi="Arial" w:cs="Arial"/>
          <w:sz w:val="24"/>
          <w:szCs w:val="24"/>
        </w:rPr>
        <w:t xml:space="preserve"> for the </w:t>
      </w:r>
      <w:r w:rsidR="00524C62" w:rsidRPr="00524C62">
        <w:rPr>
          <w:rFonts w:ascii="Arial" w:hAnsi="Arial" w:cs="Arial"/>
          <w:i/>
          <w:iCs/>
          <w:sz w:val="24"/>
          <w:szCs w:val="24"/>
        </w:rPr>
        <w:t>Civil Law (Wrongs) Act 2002</w:t>
      </w:r>
      <w:r w:rsidR="00524C62">
        <w:rPr>
          <w:rFonts w:ascii="Arial" w:hAnsi="Arial" w:cs="Arial"/>
          <w:sz w:val="24"/>
          <w:szCs w:val="24"/>
        </w:rPr>
        <w:t>, Section 138.</w:t>
      </w:r>
    </w:p>
    <w:p w14:paraId="1A1E901E" w14:textId="5309B932" w:rsidR="00432FBB" w:rsidRPr="00432FBB" w:rsidRDefault="00432FBB" w:rsidP="00432FBB"/>
    <w:p w14:paraId="4547248D" w14:textId="555200AD" w:rsidR="00F704A8" w:rsidRDefault="00F704A8" w:rsidP="00F704A8">
      <w:pPr>
        <w:pStyle w:val="Heading3"/>
      </w:pPr>
      <w:r w:rsidRPr="00ED3B77">
        <w:t xml:space="preserve">Clause </w:t>
      </w:r>
      <w:r>
        <w:t>23</w:t>
      </w:r>
      <w:r w:rsidRPr="00ED3B77">
        <w:tab/>
      </w:r>
      <w:r>
        <w:t>New section 38A</w:t>
      </w:r>
    </w:p>
    <w:p w14:paraId="5C4DECED" w14:textId="62CCA42E" w:rsidR="00F704A8" w:rsidRDefault="00524C62" w:rsidP="00524C62">
      <w:pPr>
        <w:rPr>
          <w:rFonts w:ascii="Arial" w:hAnsi="Arial" w:cs="Arial"/>
          <w:sz w:val="24"/>
          <w:szCs w:val="24"/>
        </w:rPr>
      </w:pPr>
      <w:r w:rsidRPr="00524C62">
        <w:rPr>
          <w:rFonts w:ascii="Arial" w:hAnsi="Arial" w:cs="Arial"/>
          <w:sz w:val="24"/>
          <w:szCs w:val="24"/>
        </w:rPr>
        <w:t>This new clause inserts a section that</w:t>
      </w:r>
      <w:r w:rsidR="000B519B">
        <w:rPr>
          <w:rFonts w:ascii="Arial" w:hAnsi="Arial" w:cs="Arial"/>
          <w:sz w:val="24"/>
          <w:szCs w:val="24"/>
        </w:rPr>
        <w:t>,</w:t>
      </w:r>
      <w:r w:rsidRPr="00524C62">
        <w:rPr>
          <w:rFonts w:ascii="Arial" w:hAnsi="Arial" w:cs="Arial"/>
          <w:sz w:val="24"/>
          <w:szCs w:val="24"/>
        </w:rPr>
        <w:t xml:space="preserve"> for the </w:t>
      </w:r>
      <w:r w:rsidRPr="000B519B">
        <w:rPr>
          <w:rFonts w:ascii="Arial" w:hAnsi="Arial" w:cs="Arial"/>
          <w:i/>
          <w:iCs/>
          <w:sz w:val="24"/>
          <w:szCs w:val="24"/>
        </w:rPr>
        <w:t>Territory Records Act 2002</w:t>
      </w:r>
      <w:r w:rsidR="000B519B">
        <w:rPr>
          <w:rFonts w:ascii="Arial" w:hAnsi="Arial" w:cs="Arial"/>
          <w:sz w:val="24"/>
          <w:szCs w:val="24"/>
        </w:rPr>
        <w:t>,</w:t>
      </w:r>
      <w:r w:rsidRPr="00524C62">
        <w:rPr>
          <w:rFonts w:ascii="Arial" w:hAnsi="Arial" w:cs="Arial"/>
          <w:sz w:val="24"/>
          <w:szCs w:val="24"/>
        </w:rPr>
        <w:t xml:space="preserve"> a</w:t>
      </w:r>
      <w:r w:rsidR="000B519B">
        <w:rPr>
          <w:rFonts w:ascii="Arial" w:hAnsi="Arial" w:cs="Arial"/>
          <w:sz w:val="24"/>
          <w:szCs w:val="24"/>
        </w:rPr>
        <w:t xml:space="preserve"> </w:t>
      </w:r>
      <w:r w:rsidRPr="00524C62">
        <w:rPr>
          <w:rFonts w:ascii="Arial" w:hAnsi="Arial" w:cs="Arial"/>
          <w:sz w:val="24"/>
          <w:szCs w:val="24"/>
        </w:rPr>
        <w:t>board of inquiry is taken to include staff members and lawyers assisting the Board of Inquiry.</w:t>
      </w:r>
    </w:p>
    <w:p w14:paraId="091DCBFA" w14:textId="77777777" w:rsidR="00972DA9" w:rsidRPr="00524C62" w:rsidRDefault="00972DA9" w:rsidP="00524C62">
      <w:pPr>
        <w:rPr>
          <w:rFonts w:ascii="Arial" w:hAnsi="Arial" w:cs="Arial"/>
          <w:sz w:val="24"/>
          <w:szCs w:val="24"/>
        </w:rPr>
      </w:pPr>
    </w:p>
    <w:p w14:paraId="2A4FBC60" w14:textId="3A86BB56" w:rsidR="002F42BB" w:rsidRDefault="002F42BB" w:rsidP="002D028C">
      <w:pPr>
        <w:pStyle w:val="Heading3"/>
        <w:tabs>
          <w:tab w:val="left" w:pos="1418"/>
        </w:tabs>
      </w:pPr>
      <w:r>
        <w:t xml:space="preserve">Part </w:t>
      </w:r>
      <w:r w:rsidR="00AD4FE2">
        <w:t>7</w:t>
      </w:r>
      <w:r w:rsidRPr="00ED3B77">
        <w:tab/>
      </w:r>
      <w:r>
        <w:t>Oaths and Affirmations Act 1984</w:t>
      </w:r>
    </w:p>
    <w:p w14:paraId="4FFA6BA4" w14:textId="21163D02" w:rsidR="002F42BB" w:rsidRDefault="002F42BB" w:rsidP="002F42BB">
      <w:pPr>
        <w:pStyle w:val="Heading3"/>
      </w:pPr>
      <w:r w:rsidRPr="00ED3B77">
        <w:t xml:space="preserve">Clause </w:t>
      </w:r>
      <w:r w:rsidR="00AD4FE2">
        <w:t>24</w:t>
      </w:r>
      <w:r w:rsidRPr="00ED3B77">
        <w:tab/>
      </w:r>
      <w:r>
        <w:t>Part 3 heading</w:t>
      </w:r>
    </w:p>
    <w:p w14:paraId="74A54C6D" w14:textId="1E4CF8CA" w:rsidR="002F42BB" w:rsidRPr="00E84E0D" w:rsidRDefault="00E84E0D" w:rsidP="002F42BB">
      <w:pPr>
        <w:rPr>
          <w:rFonts w:ascii="Arial" w:hAnsi="Arial" w:cs="Arial"/>
          <w:sz w:val="24"/>
          <w:szCs w:val="24"/>
        </w:rPr>
      </w:pPr>
      <w:r w:rsidRPr="00E84E0D">
        <w:rPr>
          <w:rFonts w:ascii="Arial" w:hAnsi="Arial" w:cs="Arial"/>
          <w:sz w:val="24"/>
          <w:szCs w:val="24"/>
        </w:rPr>
        <w:t>This clause substitutes the heading of Part 3 to “Administration of oath or affirmation.”</w:t>
      </w:r>
    </w:p>
    <w:p w14:paraId="12CE39F1" w14:textId="63772E79" w:rsidR="002F42BB" w:rsidRPr="002F42BB" w:rsidRDefault="002F42BB" w:rsidP="002F42BB"/>
    <w:p w14:paraId="0F76D2E7" w14:textId="5DCDABC8" w:rsidR="002F42BB" w:rsidRDefault="002F42BB" w:rsidP="002D028C">
      <w:pPr>
        <w:pStyle w:val="Heading3"/>
        <w:tabs>
          <w:tab w:val="left" w:pos="1418"/>
        </w:tabs>
      </w:pPr>
      <w:r>
        <w:lastRenderedPageBreak/>
        <w:t xml:space="preserve">Part </w:t>
      </w:r>
      <w:r w:rsidR="00AD4FE2">
        <w:t>8</w:t>
      </w:r>
      <w:r w:rsidRPr="00ED3B77">
        <w:tab/>
      </w:r>
      <w:r>
        <w:t>Supreme Court Act 1933</w:t>
      </w:r>
    </w:p>
    <w:p w14:paraId="1FAAF3E0" w14:textId="3EA1BD70" w:rsidR="002F42BB" w:rsidRDefault="002F42BB" w:rsidP="007859B1">
      <w:pPr>
        <w:pStyle w:val="Heading3"/>
        <w:ind w:left="1440" w:hanging="1440"/>
      </w:pPr>
      <w:r w:rsidRPr="00ED3B77">
        <w:t xml:space="preserve">Clause </w:t>
      </w:r>
      <w:r w:rsidR="00AD4FE2">
        <w:t>25</w:t>
      </w:r>
      <w:r w:rsidRPr="00ED3B77">
        <w:tab/>
      </w:r>
      <w:r>
        <w:t>Vexatious litigants</w:t>
      </w:r>
      <w:r w:rsidR="007859B1">
        <w:br/>
      </w:r>
      <w:r>
        <w:t>Section 67A(2)</w:t>
      </w:r>
    </w:p>
    <w:p w14:paraId="0CF1EE43" w14:textId="49F700CD" w:rsidR="002F42BB" w:rsidRDefault="00E84E0D" w:rsidP="002F42BB">
      <w:pPr>
        <w:rPr>
          <w:rFonts w:ascii="Arial" w:hAnsi="Arial" w:cs="Arial"/>
          <w:sz w:val="24"/>
          <w:szCs w:val="24"/>
        </w:rPr>
      </w:pPr>
      <w:r w:rsidRPr="00E84E0D">
        <w:rPr>
          <w:rFonts w:ascii="Arial" w:hAnsi="Arial" w:cs="Arial"/>
          <w:sz w:val="24"/>
          <w:szCs w:val="24"/>
        </w:rPr>
        <w:t xml:space="preserve">This clause substitutes section 67A(2) to </w:t>
      </w:r>
      <w:r w:rsidR="007859B1">
        <w:rPr>
          <w:rFonts w:ascii="Arial" w:hAnsi="Arial" w:cs="Arial"/>
          <w:sz w:val="24"/>
          <w:szCs w:val="24"/>
        </w:rPr>
        <w:t>provide that if the court is satisfied that a person has frequently instituted vexatious proceedings, the court may declare the person to be a vexatious litigant. Subsection</w:t>
      </w:r>
      <w:r w:rsidRPr="00E84E0D">
        <w:rPr>
          <w:rFonts w:ascii="Arial" w:hAnsi="Arial" w:cs="Arial"/>
          <w:sz w:val="24"/>
          <w:szCs w:val="24"/>
        </w:rPr>
        <w:t xml:space="preserve"> 67A(2A) provide</w:t>
      </w:r>
      <w:r w:rsidR="007859B1">
        <w:rPr>
          <w:rFonts w:ascii="Arial" w:hAnsi="Arial" w:cs="Arial"/>
          <w:sz w:val="24"/>
          <w:szCs w:val="24"/>
        </w:rPr>
        <w:t>s that</w:t>
      </w:r>
      <w:r w:rsidRPr="00E84E0D">
        <w:rPr>
          <w:rFonts w:ascii="Arial" w:hAnsi="Arial" w:cs="Arial"/>
          <w:sz w:val="24"/>
          <w:szCs w:val="24"/>
        </w:rPr>
        <w:t xml:space="preserve"> the court may make a </w:t>
      </w:r>
      <w:r w:rsidR="007859B1">
        <w:rPr>
          <w:rFonts w:ascii="Arial" w:hAnsi="Arial" w:cs="Arial"/>
          <w:sz w:val="24"/>
          <w:szCs w:val="24"/>
        </w:rPr>
        <w:t xml:space="preserve">vexatious litigant </w:t>
      </w:r>
      <w:r w:rsidRPr="00E84E0D">
        <w:rPr>
          <w:rFonts w:ascii="Arial" w:hAnsi="Arial" w:cs="Arial"/>
          <w:sz w:val="24"/>
          <w:szCs w:val="24"/>
        </w:rPr>
        <w:t>declaration on its own initiative</w:t>
      </w:r>
      <w:r w:rsidR="007859B1">
        <w:rPr>
          <w:rFonts w:ascii="Arial" w:hAnsi="Arial" w:cs="Arial"/>
          <w:sz w:val="24"/>
          <w:szCs w:val="24"/>
        </w:rPr>
        <w:t>,</w:t>
      </w:r>
      <w:r w:rsidRPr="00E84E0D">
        <w:rPr>
          <w:rFonts w:ascii="Arial" w:hAnsi="Arial" w:cs="Arial"/>
          <w:sz w:val="24"/>
          <w:szCs w:val="24"/>
        </w:rPr>
        <w:t xml:space="preserve"> or on the application of the Attorney-General or </w:t>
      </w:r>
      <w:r w:rsidR="007859B1">
        <w:rPr>
          <w:rFonts w:ascii="Arial" w:hAnsi="Arial" w:cs="Arial"/>
          <w:sz w:val="24"/>
          <w:szCs w:val="24"/>
        </w:rPr>
        <w:t xml:space="preserve">an </w:t>
      </w:r>
      <w:r w:rsidRPr="00E84E0D">
        <w:rPr>
          <w:rFonts w:ascii="Arial" w:hAnsi="Arial" w:cs="Arial"/>
          <w:sz w:val="24"/>
          <w:szCs w:val="24"/>
        </w:rPr>
        <w:t>aggrieved person.</w:t>
      </w:r>
    </w:p>
    <w:p w14:paraId="45B9D01D" w14:textId="77777777" w:rsidR="000E38AC" w:rsidRPr="00E84E0D" w:rsidRDefault="000E38AC" w:rsidP="002F42BB">
      <w:pPr>
        <w:rPr>
          <w:rFonts w:ascii="Arial" w:hAnsi="Arial" w:cs="Arial"/>
          <w:sz w:val="24"/>
          <w:szCs w:val="24"/>
        </w:rPr>
      </w:pPr>
    </w:p>
    <w:p w14:paraId="4CDB3DAB" w14:textId="67ED82CC" w:rsidR="002F42BB" w:rsidRDefault="002F42BB" w:rsidP="002D028C">
      <w:pPr>
        <w:pStyle w:val="Heading3"/>
        <w:tabs>
          <w:tab w:val="left" w:pos="1418"/>
        </w:tabs>
      </w:pPr>
      <w:r>
        <w:t xml:space="preserve">Part </w:t>
      </w:r>
      <w:r w:rsidR="00AD4FE2">
        <w:t>9</w:t>
      </w:r>
      <w:r w:rsidRPr="00ED3B77">
        <w:tab/>
      </w:r>
      <w:r>
        <w:t>Unit Titles (Management) Act 2011</w:t>
      </w:r>
    </w:p>
    <w:p w14:paraId="36E253FF" w14:textId="4089D351" w:rsidR="002F42BB" w:rsidRDefault="002F42BB" w:rsidP="007859B1">
      <w:pPr>
        <w:pStyle w:val="Heading3"/>
        <w:ind w:left="1440" w:hanging="1440"/>
      </w:pPr>
      <w:r w:rsidRPr="00ED3B77">
        <w:t xml:space="preserve">Clause </w:t>
      </w:r>
      <w:r w:rsidR="00AD4FE2">
        <w:t>26</w:t>
      </w:r>
      <w:r w:rsidRPr="00ED3B77">
        <w:tab/>
      </w:r>
      <w:r>
        <w:t>Installation of sustainability and utility infrastructure on common property</w:t>
      </w:r>
      <w:r w:rsidR="007859B1">
        <w:br/>
      </w:r>
      <w:r>
        <w:t>Section 23(3), note</w:t>
      </w:r>
    </w:p>
    <w:p w14:paraId="7FB5B9C6" w14:textId="3261D6F7" w:rsidR="002F42BB" w:rsidRPr="00E84E0D" w:rsidRDefault="00E84E0D" w:rsidP="002F42BB">
      <w:pPr>
        <w:rPr>
          <w:rFonts w:ascii="Arial" w:hAnsi="Arial" w:cs="Arial"/>
          <w:sz w:val="24"/>
          <w:szCs w:val="24"/>
        </w:rPr>
      </w:pPr>
      <w:r w:rsidRPr="00E84E0D">
        <w:rPr>
          <w:rFonts w:ascii="Arial" w:hAnsi="Arial" w:cs="Arial"/>
          <w:sz w:val="24"/>
          <w:szCs w:val="24"/>
        </w:rPr>
        <w:t>This clause omits a note referring to s 20(1) and substitutes it for a reference to s 19(1).</w:t>
      </w:r>
    </w:p>
    <w:p w14:paraId="6FEC28E4" w14:textId="7C5A9DAE" w:rsidR="002F42BB" w:rsidRPr="002F42BB" w:rsidRDefault="002F42BB" w:rsidP="002F42BB"/>
    <w:sectPr w:rsidR="002F42BB" w:rsidRPr="002F42BB" w:rsidSect="00F41A2F">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5173" w14:textId="77777777" w:rsidR="00186A2D" w:rsidRDefault="00186A2D" w:rsidP="00E90DF9">
      <w:pPr>
        <w:spacing w:after="0" w:line="240" w:lineRule="auto"/>
      </w:pPr>
      <w:r>
        <w:separator/>
      </w:r>
    </w:p>
  </w:endnote>
  <w:endnote w:type="continuationSeparator" w:id="0">
    <w:p w14:paraId="30261469" w14:textId="77777777" w:rsidR="00186A2D" w:rsidRDefault="00186A2D"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6262" w14:textId="77777777" w:rsidR="005F1625" w:rsidRDefault="005F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FD22" w14:textId="1CA9E73F" w:rsidR="004061DE" w:rsidRPr="005F1625" w:rsidRDefault="005F1625" w:rsidP="005F1625">
    <w:pPr>
      <w:pStyle w:val="Footer"/>
      <w:jc w:val="center"/>
      <w:rPr>
        <w:rFonts w:cs="Arial"/>
        <w:sz w:val="14"/>
      </w:rPr>
    </w:pPr>
    <w:r w:rsidRPr="005F162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92E8" w14:textId="6C302A7A" w:rsidR="002149C6" w:rsidRPr="002D028C" w:rsidRDefault="00E90DF9" w:rsidP="002D028C">
    <w:pPr>
      <w:pStyle w:val="Header"/>
      <w:spacing w:before="240"/>
      <w:jc w:val="center"/>
      <w:rPr>
        <w:b/>
        <w:bCs/>
      </w:rPr>
    </w:pPr>
    <w:r>
      <w:fldChar w:fldCharType="begin"/>
    </w:r>
    <w:r>
      <w:instrText xml:space="preserve"> PAGE   \* MERGEFORMAT </w:instrText>
    </w:r>
    <w:r>
      <w:fldChar w:fldCharType="separate"/>
    </w:r>
    <w:r>
      <w:rPr>
        <w:noProof/>
      </w:rPr>
      <w:t>4</w:t>
    </w:r>
    <w:r>
      <w:fldChar w:fldCharType="end"/>
    </w:r>
  </w:p>
  <w:p w14:paraId="4B537831" w14:textId="09D601C4" w:rsidR="00E90DF9" w:rsidRPr="005F1625" w:rsidRDefault="005F1625" w:rsidP="005F1625">
    <w:pPr>
      <w:pStyle w:val="Footer"/>
      <w:spacing w:before="240" w:line="240" w:lineRule="auto"/>
      <w:jc w:val="center"/>
      <w:rPr>
        <w:rFonts w:cs="Arial"/>
        <w:sz w:val="14"/>
      </w:rPr>
    </w:pPr>
    <w:r w:rsidRPr="005F1625">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14669AC9" w14:textId="3D192CBC" w:rsidR="002149C6" w:rsidRPr="005F1625" w:rsidRDefault="005F1625" w:rsidP="005F1625">
    <w:pPr>
      <w:pStyle w:val="Footer"/>
      <w:jc w:val="center"/>
      <w:rPr>
        <w:rFonts w:cs="Arial"/>
        <w:sz w:val="14"/>
      </w:rPr>
    </w:pPr>
    <w:r w:rsidRPr="005F1625">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663E" w14:textId="77777777" w:rsidR="00186A2D" w:rsidRDefault="00186A2D" w:rsidP="00E90DF9">
      <w:pPr>
        <w:spacing w:after="0" w:line="240" w:lineRule="auto"/>
      </w:pPr>
      <w:r>
        <w:separator/>
      </w:r>
    </w:p>
  </w:footnote>
  <w:footnote w:type="continuationSeparator" w:id="0">
    <w:p w14:paraId="10A483AA" w14:textId="77777777" w:rsidR="00186A2D" w:rsidRDefault="00186A2D"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8DEF" w14:textId="77777777" w:rsidR="005F1625" w:rsidRDefault="005F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FF96" w14:textId="77777777" w:rsidR="005F1625" w:rsidRDefault="005F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5153" w14:textId="77777777" w:rsidR="005F1625" w:rsidRDefault="005F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51C0"/>
    <w:multiLevelType w:val="hybridMultilevel"/>
    <w:tmpl w:val="3F0AB52C"/>
    <w:lvl w:ilvl="0" w:tplc="FFFFFFFF">
      <w:numFmt w:val="bullet"/>
      <w:lvlText w:val=""/>
      <w:lvlJc w:val="left"/>
      <w:pPr>
        <w:ind w:left="720" w:hanging="360"/>
      </w:pPr>
      <w:rPr>
        <w:rFonts w:ascii="Symbol" w:eastAsia="Times New Roman" w:hAnsi="Symbol" w:cs="Arial" w:hint="default"/>
      </w:rPr>
    </w:lvl>
    <w:lvl w:ilvl="1" w:tplc="0C090001">
      <w:start w:val="1"/>
      <w:numFmt w:val="bullet"/>
      <w:lvlText w:val=""/>
      <w:lvlJc w:val="left"/>
      <w:pPr>
        <w:ind w:left="720" w:hanging="360"/>
      </w:pPr>
      <w:rPr>
        <w:rFonts w:ascii="Symbol" w:hAnsi="Symbol" w:hint="default"/>
      </w:rPr>
    </w:lvl>
    <w:lvl w:ilvl="2" w:tplc="E17AB8F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C606895"/>
    <w:multiLevelType w:val="hybridMultilevel"/>
    <w:tmpl w:val="EF7AD97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17426C18"/>
    <w:multiLevelType w:val="hybridMultilevel"/>
    <w:tmpl w:val="AF70CBBE"/>
    <w:lvl w:ilvl="0" w:tplc="80FE1F92">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867CA9"/>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5" w15:restartNumberingAfterBreak="0">
    <w:nsid w:val="1A1B3F06"/>
    <w:multiLevelType w:val="hybridMultilevel"/>
    <w:tmpl w:val="2ECCB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C05040"/>
    <w:multiLevelType w:val="hybridMultilevel"/>
    <w:tmpl w:val="EA5436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46406A"/>
    <w:multiLevelType w:val="hybridMultilevel"/>
    <w:tmpl w:val="EA5436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D729ED"/>
    <w:multiLevelType w:val="multilevel"/>
    <w:tmpl w:val="CBE0CBD0"/>
    <w:lvl w:ilvl="0">
      <w:start w:val="1"/>
      <w:numFmt w:val="bullet"/>
      <w:lvlText w:val=""/>
      <w:lvlJc w:val="left"/>
      <w:pPr>
        <w:ind w:left="680" w:hanging="340"/>
      </w:pPr>
      <w:rPr>
        <w:rFonts w:ascii="Symbol" w:hAnsi="Symbol" w:hint="default"/>
        <w:sz w:val="24"/>
      </w:rPr>
    </w:lvl>
    <w:lvl w:ilvl="1">
      <w:start w:val="1"/>
      <w:numFmt w:val="lowerLetter"/>
      <w:lvlText w:val="%2."/>
      <w:lvlJc w:val="left"/>
      <w:pPr>
        <w:ind w:left="1020" w:hanging="340"/>
      </w:pPr>
      <w:rPr>
        <w:rFonts w:hint="default"/>
        <w:sz w:val="24"/>
      </w:rPr>
    </w:lvl>
    <w:lvl w:ilvl="2">
      <w:start w:val="1"/>
      <w:numFmt w:val="lowerRoman"/>
      <w:lvlText w:val="%3."/>
      <w:lvlJc w:val="left"/>
      <w:pPr>
        <w:ind w:left="1360" w:hanging="340"/>
      </w:pPr>
      <w:rPr>
        <w:rFonts w:hint="default"/>
        <w:sz w:val="24"/>
      </w:rPr>
    </w:lvl>
    <w:lvl w:ilvl="3">
      <w:start w:val="1"/>
      <w:numFmt w:val="upperLetter"/>
      <w:lvlText w:val="(%4)"/>
      <w:lvlJc w:val="left"/>
      <w:pPr>
        <w:ind w:left="1814" w:hanging="454"/>
      </w:pPr>
      <w:rPr>
        <w:rFonts w:hint="default"/>
        <w:sz w:val="24"/>
      </w:rPr>
    </w:lvl>
    <w:lvl w:ilvl="4">
      <w:start w:val="1"/>
      <w:numFmt w:val="decimal"/>
      <w:lvlText w:val="%5."/>
      <w:lvlJc w:val="left"/>
      <w:pPr>
        <w:ind w:left="2040" w:hanging="340"/>
      </w:pPr>
      <w:rPr>
        <w:rFonts w:hint="default"/>
        <w:sz w:val="24"/>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9" w15:restartNumberingAfterBreak="0">
    <w:nsid w:val="372D7AAD"/>
    <w:multiLevelType w:val="hybridMultilevel"/>
    <w:tmpl w:val="F9FCE978"/>
    <w:lvl w:ilvl="0" w:tplc="5E3695A4">
      <w:start w:val="1"/>
      <w:numFmt w:val="decimal"/>
      <w:pStyle w:val="RecommendationList"/>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3C8250F"/>
    <w:multiLevelType w:val="hybridMultilevel"/>
    <w:tmpl w:val="B694F3BC"/>
    <w:lvl w:ilvl="0" w:tplc="2C10C178">
      <w:start w:val="1"/>
      <w:numFmt w:val="bullet"/>
      <w:lvlText w:val=""/>
      <w:lvlJc w:val="left"/>
      <w:pPr>
        <w:ind w:left="1440" w:hanging="360"/>
      </w:pPr>
      <w:rPr>
        <w:rFonts w:ascii="Symbol" w:hAnsi="Symbol"/>
      </w:rPr>
    </w:lvl>
    <w:lvl w:ilvl="1" w:tplc="B0FE763C">
      <w:start w:val="1"/>
      <w:numFmt w:val="bullet"/>
      <w:lvlText w:val=""/>
      <w:lvlJc w:val="left"/>
      <w:pPr>
        <w:ind w:left="1440" w:hanging="360"/>
      </w:pPr>
      <w:rPr>
        <w:rFonts w:ascii="Symbol" w:hAnsi="Symbol"/>
      </w:rPr>
    </w:lvl>
    <w:lvl w:ilvl="2" w:tplc="77CAF2B4">
      <w:start w:val="1"/>
      <w:numFmt w:val="bullet"/>
      <w:lvlText w:val=""/>
      <w:lvlJc w:val="left"/>
      <w:pPr>
        <w:ind w:left="1440" w:hanging="360"/>
      </w:pPr>
      <w:rPr>
        <w:rFonts w:ascii="Symbol" w:hAnsi="Symbol"/>
      </w:rPr>
    </w:lvl>
    <w:lvl w:ilvl="3" w:tplc="75B89BBC">
      <w:start w:val="1"/>
      <w:numFmt w:val="bullet"/>
      <w:lvlText w:val=""/>
      <w:lvlJc w:val="left"/>
      <w:pPr>
        <w:ind w:left="1440" w:hanging="360"/>
      </w:pPr>
      <w:rPr>
        <w:rFonts w:ascii="Symbol" w:hAnsi="Symbol"/>
      </w:rPr>
    </w:lvl>
    <w:lvl w:ilvl="4" w:tplc="264C90FE">
      <w:start w:val="1"/>
      <w:numFmt w:val="bullet"/>
      <w:lvlText w:val=""/>
      <w:lvlJc w:val="left"/>
      <w:pPr>
        <w:ind w:left="1440" w:hanging="360"/>
      </w:pPr>
      <w:rPr>
        <w:rFonts w:ascii="Symbol" w:hAnsi="Symbol"/>
      </w:rPr>
    </w:lvl>
    <w:lvl w:ilvl="5" w:tplc="F5984FC2">
      <w:start w:val="1"/>
      <w:numFmt w:val="bullet"/>
      <w:lvlText w:val=""/>
      <w:lvlJc w:val="left"/>
      <w:pPr>
        <w:ind w:left="1440" w:hanging="360"/>
      </w:pPr>
      <w:rPr>
        <w:rFonts w:ascii="Symbol" w:hAnsi="Symbol"/>
      </w:rPr>
    </w:lvl>
    <w:lvl w:ilvl="6" w:tplc="333041EC">
      <w:start w:val="1"/>
      <w:numFmt w:val="bullet"/>
      <w:lvlText w:val=""/>
      <w:lvlJc w:val="left"/>
      <w:pPr>
        <w:ind w:left="1440" w:hanging="360"/>
      </w:pPr>
      <w:rPr>
        <w:rFonts w:ascii="Symbol" w:hAnsi="Symbol"/>
      </w:rPr>
    </w:lvl>
    <w:lvl w:ilvl="7" w:tplc="85685948">
      <w:start w:val="1"/>
      <w:numFmt w:val="bullet"/>
      <w:lvlText w:val=""/>
      <w:lvlJc w:val="left"/>
      <w:pPr>
        <w:ind w:left="1440" w:hanging="360"/>
      </w:pPr>
      <w:rPr>
        <w:rFonts w:ascii="Symbol" w:hAnsi="Symbol"/>
      </w:rPr>
    </w:lvl>
    <w:lvl w:ilvl="8" w:tplc="AA02B11C">
      <w:start w:val="1"/>
      <w:numFmt w:val="bullet"/>
      <w:lvlText w:val=""/>
      <w:lvlJc w:val="left"/>
      <w:pPr>
        <w:ind w:left="1440" w:hanging="360"/>
      </w:pPr>
      <w:rPr>
        <w:rFonts w:ascii="Symbol" w:hAnsi="Symbol"/>
      </w:rPr>
    </w:lvl>
  </w:abstractNum>
  <w:abstractNum w:abstractNumId="11" w15:restartNumberingAfterBreak="0">
    <w:nsid w:val="44610958"/>
    <w:multiLevelType w:val="hybridMultilevel"/>
    <w:tmpl w:val="F08E2B8E"/>
    <w:lvl w:ilvl="0" w:tplc="0C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7182ED1"/>
    <w:multiLevelType w:val="hybridMultilevel"/>
    <w:tmpl w:val="A4B2B3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E5288D7"/>
    <w:multiLevelType w:val="hybridMultilevel"/>
    <w:tmpl w:val="CF0CA7B6"/>
    <w:lvl w:ilvl="0" w:tplc="7CD8EBD4">
      <w:start w:val="1"/>
      <w:numFmt w:val="decimal"/>
      <w:lvlText w:val="%1."/>
      <w:lvlJc w:val="left"/>
      <w:pPr>
        <w:ind w:left="720" w:hanging="360"/>
      </w:pPr>
    </w:lvl>
    <w:lvl w:ilvl="1" w:tplc="EACEA47A">
      <w:start w:val="1"/>
      <w:numFmt w:val="lowerLetter"/>
      <w:lvlText w:val="%2."/>
      <w:lvlJc w:val="left"/>
      <w:pPr>
        <w:ind w:left="1440" w:hanging="360"/>
      </w:pPr>
    </w:lvl>
    <w:lvl w:ilvl="2" w:tplc="8EC834A4">
      <w:start w:val="1"/>
      <w:numFmt w:val="lowerRoman"/>
      <w:lvlText w:val="%3."/>
      <w:lvlJc w:val="right"/>
      <w:pPr>
        <w:ind w:left="2160" w:hanging="180"/>
      </w:pPr>
    </w:lvl>
    <w:lvl w:ilvl="3" w:tplc="E392DE6C">
      <w:start w:val="1"/>
      <w:numFmt w:val="decimal"/>
      <w:lvlText w:val="%4."/>
      <w:lvlJc w:val="left"/>
      <w:pPr>
        <w:ind w:left="2880" w:hanging="360"/>
      </w:pPr>
    </w:lvl>
    <w:lvl w:ilvl="4" w:tplc="893C3868">
      <w:start w:val="1"/>
      <w:numFmt w:val="lowerLetter"/>
      <w:lvlText w:val="%5."/>
      <w:lvlJc w:val="left"/>
      <w:pPr>
        <w:ind w:left="3600" w:hanging="360"/>
      </w:pPr>
    </w:lvl>
    <w:lvl w:ilvl="5" w:tplc="38987E0E">
      <w:start w:val="1"/>
      <w:numFmt w:val="lowerRoman"/>
      <w:lvlText w:val="%6."/>
      <w:lvlJc w:val="right"/>
      <w:pPr>
        <w:ind w:left="4320" w:hanging="180"/>
      </w:pPr>
    </w:lvl>
    <w:lvl w:ilvl="6" w:tplc="4B7E945E">
      <w:start w:val="1"/>
      <w:numFmt w:val="decimal"/>
      <w:lvlText w:val="%7."/>
      <w:lvlJc w:val="left"/>
      <w:pPr>
        <w:ind w:left="5040" w:hanging="360"/>
      </w:pPr>
    </w:lvl>
    <w:lvl w:ilvl="7" w:tplc="6D280462">
      <w:start w:val="1"/>
      <w:numFmt w:val="lowerLetter"/>
      <w:lvlText w:val="%8."/>
      <w:lvlJc w:val="left"/>
      <w:pPr>
        <w:ind w:left="5760" w:hanging="360"/>
      </w:pPr>
    </w:lvl>
    <w:lvl w:ilvl="8" w:tplc="A41A1C06">
      <w:start w:val="1"/>
      <w:numFmt w:val="lowerRoman"/>
      <w:lvlText w:val="%9."/>
      <w:lvlJc w:val="right"/>
      <w:pPr>
        <w:ind w:left="6480" w:hanging="180"/>
      </w:pPr>
    </w:lvl>
  </w:abstractNum>
  <w:abstractNum w:abstractNumId="14" w15:restartNumberingAfterBreak="0">
    <w:nsid w:val="5F852EE3"/>
    <w:multiLevelType w:val="multilevel"/>
    <w:tmpl w:val="D63C7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D60968"/>
    <w:multiLevelType w:val="hybridMultilevel"/>
    <w:tmpl w:val="A4B2B3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AB749B2"/>
    <w:multiLevelType w:val="hybridMultilevel"/>
    <w:tmpl w:val="A4B2B3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B03102C"/>
    <w:multiLevelType w:val="hybridMultilevel"/>
    <w:tmpl w:val="32DC9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DB7EA2"/>
    <w:multiLevelType w:val="hybridMultilevel"/>
    <w:tmpl w:val="DFC2B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7E27480"/>
    <w:multiLevelType w:val="hybridMultilevel"/>
    <w:tmpl w:val="624A2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573E2A"/>
    <w:multiLevelType w:val="hybridMultilevel"/>
    <w:tmpl w:val="AAC82E38"/>
    <w:lvl w:ilvl="0" w:tplc="FFFFFFFF">
      <w:numFmt w:val="bullet"/>
      <w:lvlText w:val=""/>
      <w:lvlJc w:val="left"/>
      <w:pPr>
        <w:ind w:left="720" w:hanging="360"/>
      </w:pPr>
      <w:rPr>
        <w:rFonts w:ascii="Symbol" w:eastAsia="Times New Roman" w:hAnsi="Symbol" w:cs="Aria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CD09B1"/>
    <w:multiLevelType w:val="hybridMultilevel"/>
    <w:tmpl w:val="546078B4"/>
    <w:lvl w:ilvl="0" w:tplc="536CB62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D660C19"/>
    <w:multiLevelType w:val="hybridMultilevel"/>
    <w:tmpl w:val="4C1073C2"/>
    <w:lvl w:ilvl="0" w:tplc="FFFFFFFF">
      <w:numFmt w:val="bullet"/>
      <w:lvlText w:val=""/>
      <w:lvlJc w:val="left"/>
      <w:pPr>
        <w:ind w:left="720" w:hanging="360"/>
      </w:pPr>
      <w:rPr>
        <w:rFonts w:ascii="Symbol" w:eastAsia="Times New Roman" w:hAnsi="Symbol" w:cs="Arial" w:hint="default"/>
      </w:rPr>
    </w:lvl>
    <w:lvl w:ilvl="1" w:tplc="FFFFFFFF">
      <w:start w:val="1"/>
      <w:numFmt w:val="bullet"/>
      <w:lvlText w:val=""/>
      <w:lvlJc w:val="left"/>
      <w:pPr>
        <w:ind w:left="72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F4F44B3"/>
    <w:multiLevelType w:val="hybridMultilevel"/>
    <w:tmpl w:val="A6DA7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1"/>
  </w:num>
  <w:num w:numId="2" w16cid:durableId="414860696">
    <w:abstractNumId w:val="9"/>
  </w:num>
  <w:num w:numId="3" w16cid:durableId="346254616">
    <w:abstractNumId w:val="11"/>
  </w:num>
  <w:num w:numId="4" w16cid:durableId="158468365">
    <w:abstractNumId w:val="19"/>
  </w:num>
  <w:num w:numId="5" w16cid:durableId="178156469">
    <w:abstractNumId w:val="0"/>
  </w:num>
  <w:num w:numId="6" w16cid:durableId="1209876954">
    <w:abstractNumId w:val="23"/>
  </w:num>
  <w:num w:numId="7" w16cid:durableId="1416323177">
    <w:abstractNumId w:val="17"/>
  </w:num>
  <w:num w:numId="8" w16cid:durableId="614674374">
    <w:abstractNumId w:val="20"/>
  </w:num>
  <w:num w:numId="9" w16cid:durableId="1162351317">
    <w:abstractNumId w:val="4"/>
    <w:lvlOverride w:ilvl="0">
      <w:lvl w:ilvl="0">
        <w:start w:val="1"/>
        <w:numFmt w:val="decimal"/>
        <w:lvlText w:val="%1)"/>
        <w:lvlJc w:val="left"/>
        <w:pPr>
          <w:ind w:left="340" w:hanging="340"/>
        </w:pPr>
        <w:rPr>
          <w:rFonts w:hint="default"/>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10" w16cid:durableId="375735976">
    <w:abstractNumId w:val="8"/>
  </w:num>
  <w:num w:numId="11" w16cid:durableId="1150899877">
    <w:abstractNumId w:val="3"/>
  </w:num>
  <w:num w:numId="12" w16cid:durableId="1894196191">
    <w:abstractNumId w:val="16"/>
  </w:num>
  <w:num w:numId="13" w16cid:durableId="1121458035">
    <w:abstractNumId w:val="12"/>
  </w:num>
  <w:num w:numId="14" w16cid:durableId="1962298470">
    <w:abstractNumId w:val="18"/>
  </w:num>
  <w:num w:numId="15" w16cid:durableId="68042331">
    <w:abstractNumId w:val="10"/>
  </w:num>
  <w:num w:numId="16" w16cid:durableId="1394430111">
    <w:abstractNumId w:val="22"/>
  </w:num>
  <w:num w:numId="17" w16cid:durableId="2087878391">
    <w:abstractNumId w:val="5"/>
  </w:num>
  <w:num w:numId="18" w16cid:durableId="421489166">
    <w:abstractNumId w:val="13"/>
  </w:num>
  <w:num w:numId="19" w16cid:durableId="296029140">
    <w:abstractNumId w:val="15"/>
  </w:num>
  <w:num w:numId="20" w16cid:durableId="1870413114">
    <w:abstractNumId w:val="6"/>
  </w:num>
  <w:num w:numId="21" w16cid:durableId="1934629596">
    <w:abstractNumId w:val="7"/>
  </w:num>
  <w:num w:numId="22" w16cid:durableId="143352808">
    <w:abstractNumId w:val="2"/>
  </w:num>
  <w:num w:numId="23" w16cid:durableId="702246284">
    <w:abstractNumId w:val="14"/>
    <w:lvlOverride w:ilvl="0">
      <w:startOverride w:val="1"/>
    </w:lvlOverride>
  </w:num>
  <w:num w:numId="24" w16cid:durableId="1447700359">
    <w:abstractNumId w:val="21"/>
  </w:num>
  <w:num w:numId="25" w16cid:durableId="15110237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7D63"/>
    <w:rsid w:val="00015C22"/>
    <w:rsid w:val="00021E5E"/>
    <w:rsid w:val="000229AB"/>
    <w:rsid w:val="00024F98"/>
    <w:rsid w:val="00026433"/>
    <w:rsid w:val="00035086"/>
    <w:rsid w:val="00041A1D"/>
    <w:rsid w:val="00043294"/>
    <w:rsid w:val="000548DC"/>
    <w:rsid w:val="000649F2"/>
    <w:rsid w:val="00065692"/>
    <w:rsid w:val="000707EA"/>
    <w:rsid w:val="00084BE8"/>
    <w:rsid w:val="000862E3"/>
    <w:rsid w:val="000A624B"/>
    <w:rsid w:val="000B075D"/>
    <w:rsid w:val="000B1338"/>
    <w:rsid w:val="000B519B"/>
    <w:rsid w:val="000D007C"/>
    <w:rsid w:val="000D6F91"/>
    <w:rsid w:val="000E38AC"/>
    <w:rsid w:val="000E62B2"/>
    <w:rsid w:val="000E6A00"/>
    <w:rsid w:val="000F13FE"/>
    <w:rsid w:val="00106DDD"/>
    <w:rsid w:val="001136F0"/>
    <w:rsid w:val="0011393A"/>
    <w:rsid w:val="00117294"/>
    <w:rsid w:val="00124DB4"/>
    <w:rsid w:val="0012581B"/>
    <w:rsid w:val="001351FB"/>
    <w:rsid w:val="00144B91"/>
    <w:rsid w:val="001535BA"/>
    <w:rsid w:val="00155085"/>
    <w:rsid w:val="00165088"/>
    <w:rsid w:val="00171295"/>
    <w:rsid w:val="001724A9"/>
    <w:rsid w:val="00172EEA"/>
    <w:rsid w:val="00174EE4"/>
    <w:rsid w:val="001754BD"/>
    <w:rsid w:val="001833FF"/>
    <w:rsid w:val="00186A2D"/>
    <w:rsid w:val="00192E5A"/>
    <w:rsid w:val="001B31AB"/>
    <w:rsid w:val="001B7662"/>
    <w:rsid w:val="001D0D89"/>
    <w:rsid w:val="001D7BE3"/>
    <w:rsid w:val="001E6CD5"/>
    <w:rsid w:val="001F61DB"/>
    <w:rsid w:val="001F7D22"/>
    <w:rsid w:val="002007AA"/>
    <w:rsid w:val="00207D6B"/>
    <w:rsid w:val="00211678"/>
    <w:rsid w:val="002149C6"/>
    <w:rsid w:val="002162F4"/>
    <w:rsid w:val="002237FC"/>
    <w:rsid w:val="00223B1B"/>
    <w:rsid w:val="0022665B"/>
    <w:rsid w:val="00243238"/>
    <w:rsid w:val="00247E25"/>
    <w:rsid w:val="00251CDF"/>
    <w:rsid w:val="00271328"/>
    <w:rsid w:val="0027634B"/>
    <w:rsid w:val="002C55F1"/>
    <w:rsid w:val="002D028C"/>
    <w:rsid w:val="002D6309"/>
    <w:rsid w:val="002F1E95"/>
    <w:rsid w:val="002F42BB"/>
    <w:rsid w:val="00303820"/>
    <w:rsid w:val="003053CC"/>
    <w:rsid w:val="003164AB"/>
    <w:rsid w:val="00324EBC"/>
    <w:rsid w:val="00333698"/>
    <w:rsid w:val="0036144A"/>
    <w:rsid w:val="003631A5"/>
    <w:rsid w:val="003759DD"/>
    <w:rsid w:val="00376695"/>
    <w:rsid w:val="003812E1"/>
    <w:rsid w:val="0038776F"/>
    <w:rsid w:val="00393514"/>
    <w:rsid w:val="003A43B8"/>
    <w:rsid w:val="003A6311"/>
    <w:rsid w:val="003B1115"/>
    <w:rsid w:val="003B2F58"/>
    <w:rsid w:val="003C7547"/>
    <w:rsid w:val="003F087A"/>
    <w:rsid w:val="003F191A"/>
    <w:rsid w:val="003F29CD"/>
    <w:rsid w:val="003F34D3"/>
    <w:rsid w:val="00404894"/>
    <w:rsid w:val="004061DE"/>
    <w:rsid w:val="00413A31"/>
    <w:rsid w:val="00413BC9"/>
    <w:rsid w:val="00432FBB"/>
    <w:rsid w:val="00453C75"/>
    <w:rsid w:val="00477FD0"/>
    <w:rsid w:val="004A68F2"/>
    <w:rsid w:val="004B085E"/>
    <w:rsid w:val="004C5385"/>
    <w:rsid w:val="004D306D"/>
    <w:rsid w:val="004D6F2C"/>
    <w:rsid w:val="004E2E79"/>
    <w:rsid w:val="00505472"/>
    <w:rsid w:val="005058F3"/>
    <w:rsid w:val="005249A5"/>
    <w:rsid w:val="00524C62"/>
    <w:rsid w:val="0053351F"/>
    <w:rsid w:val="00533E6E"/>
    <w:rsid w:val="0053660E"/>
    <w:rsid w:val="005430E4"/>
    <w:rsid w:val="00554843"/>
    <w:rsid w:val="0056164B"/>
    <w:rsid w:val="005660D0"/>
    <w:rsid w:val="00566EBD"/>
    <w:rsid w:val="0058457B"/>
    <w:rsid w:val="00584D96"/>
    <w:rsid w:val="005A3334"/>
    <w:rsid w:val="005A620D"/>
    <w:rsid w:val="005B0897"/>
    <w:rsid w:val="005B5584"/>
    <w:rsid w:val="005D2358"/>
    <w:rsid w:val="005E42A0"/>
    <w:rsid w:val="005E74AF"/>
    <w:rsid w:val="005F1625"/>
    <w:rsid w:val="00610CD6"/>
    <w:rsid w:val="0061415E"/>
    <w:rsid w:val="0061530E"/>
    <w:rsid w:val="006247E9"/>
    <w:rsid w:val="00631A59"/>
    <w:rsid w:val="00655C6A"/>
    <w:rsid w:val="00684DFB"/>
    <w:rsid w:val="00690957"/>
    <w:rsid w:val="006A3370"/>
    <w:rsid w:val="006A5775"/>
    <w:rsid w:val="006A7A8C"/>
    <w:rsid w:val="006C31CB"/>
    <w:rsid w:val="006C4CE2"/>
    <w:rsid w:val="006D18F3"/>
    <w:rsid w:val="006D20E3"/>
    <w:rsid w:val="006D47C6"/>
    <w:rsid w:val="006E1D48"/>
    <w:rsid w:val="006F3C61"/>
    <w:rsid w:val="006F7CC2"/>
    <w:rsid w:val="00722D9A"/>
    <w:rsid w:val="00736A5E"/>
    <w:rsid w:val="00741FFE"/>
    <w:rsid w:val="007514D4"/>
    <w:rsid w:val="00763BD6"/>
    <w:rsid w:val="00765938"/>
    <w:rsid w:val="00770CBC"/>
    <w:rsid w:val="007800F3"/>
    <w:rsid w:val="00785325"/>
    <w:rsid w:val="007859B1"/>
    <w:rsid w:val="00794E1C"/>
    <w:rsid w:val="0079666F"/>
    <w:rsid w:val="00796BAA"/>
    <w:rsid w:val="007A6056"/>
    <w:rsid w:val="007A60B4"/>
    <w:rsid w:val="007B4EC7"/>
    <w:rsid w:val="007B6EAD"/>
    <w:rsid w:val="007C0CA9"/>
    <w:rsid w:val="007C45BC"/>
    <w:rsid w:val="007C6E3F"/>
    <w:rsid w:val="007E026B"/>
    <w:rsid w:val="007E1151"/>
    <w:rsid w:val="007E36C2"/>
    <w:rsid w:val="007E4A9E"/>
    <w:rsid w:val="007E6611"/>
    <w:rsid w:val="007F34EC"/>
    <w:rsid w:val="00810494"/>
    <w:rsid w:val="00814E21"/>
    <w:rsid w:val="008432DF"/>
    <w:rsid w:val="0085630C"/>
    <w:rsid w:val="008706FB"/>
    <w:rsid w:val="008B0479"/>
    <w:rsid w:val="008B6ED1"/>
    <w:rsid w:val="008C60DD"/>
    <w:rsid w:val="008C648A"/>
    <w:rsid w:val="008D338F"/>
    <w:rsid w:val="008E12F9"/>
    <w:rsid w:val="008E2B58"/>
    <w:rsid w:val="008E57C6"/>
    <w:rsid w:val="008E5F69"/>
    <w:rsid w:val="008F6970"/>
    <w:rsid w:val="008F7381"/>
    <w:rsid w:val="00911905"/>
    <w:rsid w:val="009143DA"/>
    <w:rsid w:val="0095379D"/>
    <w:rsid w:val="00953EA3"/>
    <w:rsid w:val="00963905"/>
    <w:rsid w:val="0096622B"/>
    <w:rsid w:val="009717A6"/>
    <w:rsid w:val="00972DA9"/>
    <w:rsid w:val="009734A0"/>
    <w:rsid w:val="00974510"/>
    <w:rsid w:val="00981E3C"/>
    <w:rsid w:val="00983391"/>
    <w:rsid w:val="009A0366"/>
    <w:rsid w:val="009A6C9C"/>
    <w:rsid w:val="009D283D"/>
    <w:rsid w:val="009E0822"/>
    <w:rsid w:val="009E3726"/>
    <w:rsid w:val="009E5C68"/>
    <w:rsid w:val="009E665E"/>
    <w:rsid w:val="00A002A6"/>
    <w:rsid w:val="00A07436"/>
    <w:rsid w:val="00A22958"/>
    <w:rsid w:val="00A35BA6"/>
    <w:rsid w:val="00A44607"/>
    <w:rsid w:val="00A53BB6"/>
    <w:rsid w:val="00A53E70"/>
    <w:rsid w:val="00A559F1"/>
    <w:rsid w:val="00A568A2"/>
    <w:rsid w:val="00A61ED1"/>
    <w:rsid w:val="00A6579A"/>
    <w:rsid w:val="00A71249"/>
    <w:rsid w:val="00A7438E"/>
    <w:rsid w:val="00A84D5F"/>
    <w:rsid w:val="00AA6080"/>
    <w:rsid w:val="00AB264B"/>
    <w:rsid w:val="00AD4FE2"/>
    <w:rsid w:val="00B10812"/>
    <w:rsid w:val="00B221FE"/>
    <w:rsid w:val="00B234B4"/>
    <w:rsid w:val="00B3042E"/>
    <w:rsid w:val="00B407E7"/>
    <w:rsid w:val="00B539FF"/>
    <w:rsid w:val="00B55012"/>
    <w:rsid w:val="00B80482"/>
    <w:rsid w:val="00B81C82"/>
    <w:rsid w:val="00B85176"/>
    <w:rsid w:val="00B90DFA"/>
    <w:rsid w:val="00B9385E"/>
    <w:rsid w:val="00B9578F"/>
    <w:rsid w:val="00BA0A16"/>
    <w:rsid w:val="00BF7CD0"/>
    <w:rsid w:val="00C03AAC"/>
    <w:rsid w:val="00C04EA4"/>
    <w:rsid w:val="00C063B4"/>
    <w:rsid w:val="00C07DF4"/>
    <w:rsid w:val="00C120F1"/>
    <w:rsid w:val="00C121E0"/>
    <w:rsid w:val="00C15897"/>
    <w:rsid w:val="00C255B2"/>
    <w:rsid w:val="00C5357F"/>
    <w:rsid w:val="00C54033"/>
    <w:rsid w:val="00C647A6"/>
    <w:rsid w:val="00C64AAA"/>
    <w:rsid w:val="00C7458C"/>
    <w:rsid w:val="00C7736A"/>
    <w:rsid w:val="00C84345"/>
    <w:rsid w:val="00C8665A"/>
    <w:rsid w:val="00C92D86"/>
    <w:rsid w:val="00C9330A"/>
    <w:rsid w:val="00CB2B8E"/>
    <w:rsid w:val="00CB3730"/>
    <w:rsid w:val="00CD22FA"/>
    <w:rsid w:val="00CE487C"/>
    <w:rsid w:val="00CE785C"/>
    <w:rsid w:val="00CF3678"/>
    <w:rsid w:val="00CF76B1"/>
    <w:rsid w:val="00D053A1"/>
    <w:rsid w:val="00D05767"/>
    <w:rsid w:val="00D1274E"/>
    <w:rsid w:val="00D16DA4"/>
    <w:rsid w:val="00D17727"/>
    <w:rsid w:val="00D21AAF"/>
    <w:rsid w:val="00D44B7C"/>
    <w:rsid w:val="00D46856"/>
    <w:rsid w:val="00D56459"/>
    <w:rsid w:val="00D654BA"/>
    <w:rsid w:val="00D66685"/>
    <w:rsid w:val="00D72C2B"/>
    <w:rsid w:val="00D851A8"/>
    <w:rsid w:val="00DA17D2"/>
    <w:rsid w:val="00DB1907"/>
    <w:rsid w:val="00DE3DDB"/>
    <w:rsid w:val="00DF23D1"/>
    <w:rsid w:val="00E0595F"/>
    <w:rsid w:val="00E062E8"/>
    <w:rsid w:val="00E07B57"/>
    <w:rsid w:val="00E24781"/>
    <w:rsid w:val="00E5421F"/>
    <w:rsid w:val="00E64812"/>
    <w:rsid w:val="00E64C29"/>
    <w:rsid w:val="00E67152"/>
    <w:rsid w:val="00E8041E"/>
    <w:rsid w:val="00E84043"/>
    <w:rsid w:val="00E84E0D"/>
    <w:rsid w:val="00E90DF9"/>
    <w:rsid w:val="00E97C79"/>
    <w:rsid w:val="00EA3F45"/>
    <w:rsid w:val="00EC4E9D"/>
    <w:rsid w:val="00ED327C"/>
    <w:rsid w:val="00EE203D"/>
    <w:rsid w:val="00F158D9"/>
    <w:rsid w:val="00F31B66"/>
    <w:rsid w:val="00F3745F"/>
    <w:rsid w:val="00F47848"/>
    <w:rsid w:val="00F53D8C"/>
    <w:rsid w:val="00F56803"/>
    <w:rsid w:val="00F704A8"/>
    <w:rsid w:val="00F73E38"/>
    <w:rsid w:val="00F84D23"/>
    <w:rsid w:val="00FB2A36"/>
    <w:rsid w:val="00FB6E20"/>
    <w:rsid w:val="00FC4D37"/>
    <w:rsid w:val="00FC5D69"/>
    <w:rsid w:val="00FC7CE5"/>
    <w:rsid w:val="00FD67FB"/>
    <w:rsid w:val="00FE6C83"/>
    <w:rsid w:val="00FE7FF4"/>
    <w:rsid w:val="00FF1C93"/>
    <w:rsid w:val="00FF39CF"/>
    <w:rsid w:val="61296C0B"/>
    <w:rsid w:val="613456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9F1"/>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paragraph" w:customStyle="1" w:styleId="RecommendationList">
    <w:name w:val="Recommendation List"/>
    <w:basedOn w:val="Normal"/>
    <w:qFormat/>
    <w:rsid w:val="00B539FF"/>
    <w:pPr>
      <w:numPr>
        <w:numId w:val="2"/>
      </w:numPr>
      <w:spacing w:before="100" w:after="240" w:line="240" w:lineRule="auto"/>
      <w:ind w:left="850" w:hanging="425"/>
      <w:contextualSpacing/>
    </w:pPr>
    <w:rPr>
      <w:rFonts w:cs="Calibri"/>
      <w:iCs/>
      <w:sz w:val="24"/>
      <w:szCs w:val="24"/>
    </w:rPr>
  </w:style>
  <w:style w:type="paragraph" w:customStyle="1" w:styleId="Paragraphtext">
    <w:name w:val="Paragraph text"/>
    <w:basedOn w:val="Normal"/>
    <w:link w:val="ParagraphtextChar"/>
    <w:qFormat/>
    <w:rsid w:val="00B539FF"/>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B539FF"/>
    <w:rPr>
      <w:rFonts w:ascii="Calibri" w:eastAsia="Calibri" w:hAnsi="Calibri" w:cs="Times New Roman"/>
      <w:color w:val="000000" w:themeColor="text1"/>
      <w:kern w:val="0"/>
      <w:sz w:val="24"/>
      <w14:ligatures w14:val="none"/>
    </w:rPr>
  </w:style>
  <w:style w:type="paragraph" w:customStyle="1" w:styleId="CS-Paragraphnumbering">
    <w:name w:val="CS - Paragraph numbering"/>
    <w:basedOn w:val="Normal"/>
    <w:rsid w:val="00B539FF"/>
    <w:pPr>
      <w:spacing w:after="120"/>
      <w:ind w:right="-45"/>
    </w:pPr>
    <w:rPr>
      <w:rFonts w:asciiTheme="minorHAnsi" w:eastAsiaTheme="minorHAnsi" w:hAnsiTheme="minorHAnsi" w:cstheme="minorBidi"/>
      <w:sz w:val="24"/>
      <w:szCs w:val="24"/>
    </w:rPr>
  </w:style>
  <w:style w:type="character" w:styleId="CommentReference">
    <w:name w:val="annotation reference"/>
    <w:basedOn w:val="DefaultParagraphFont"/>
    <w:uiPriority w:val="99"/>
    <w:semiHidden/>
    <w:unhideWhenUsed/>
    <w:rsid w:val="006A3370"/>
    <w:rPr>
      <w:sz w:val="16"/>
      <w:szCs w:val="16"/>
    </w:rPr>
  </w:style>
  <w:style w:type="paragraph" w:styleId="CommentText">
    <w:name w:val="annotation text"/>
    <w:basedOn w:val="Normal"/>
    <w:link w:val="CommentTextChar"/>
    <w:uiPriority w:val="99"/>
    <w:unhideWhenUsed/>
    <w:rsid w:val="006A3370"/>
    <w:pPr>
      <w:spacing w:line="240" w:lineRule="auto"/>
    </w:pPr>
    <w:rPr>
      <w:sz w:val="20"/>
      <w:szCs w:val="20"/>
    </w:rPr>
  </w:style>
  <w:style w:type="character" w:customStyle="1" w:styleId="CommentTextChar">
    <w:name w:val="Comment Text Char"/>
    <w:basedOn w:val="DefaultParagraphFont"/>
    <w:link w:val="CommentText"/>
    <w:uiPriority w:val="99"/>
    <w:rsid w:val="006A3370"/>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3370"/>
    <w:rPr>
      <w:b/>
      <w:bCs/>
    </w:rPr>
  </w:style>
  <w:style w:type="character" w:customStyle="1" w:styleId="CommentSubjectChar">
    <w:name w:val="Comment Subject Char"/>
    <w:basedOn w:val="CommentTextChar"/>
    <w:link w:val="CommentSubject"/>
    <w:uiPriority w:val="99"/>
    <w:semiHidden/>
    <w:rsid w:val="006A3370"/>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6A3370"/>
    <w:rPr>
      <w:color w:val="0563C1" w:themeColor="hyperlink"/>
      <w:u w:val="single"/>
    </w:rPr>
  </w:style>
  <w:style w:type="character" w:styleId="UnresolvedMention">
    <w:name w:val="Unresolved Mention"/>
    <w:basedOn w:val="DefaultParagraphFont"/>
    <w:uiPriority w:val="99"/>
    <w:semiHidden/>
    <w:unhideWhenUsed/>
    <w:rsid w:val="006A3370"/>
    <w:rPr>
      <w:color w:val="605E5C"/>
      <w:shd w:val="clear" w:color="auto" w:fill="E1DFDD"/>
    </w:rPr>
  </w:style>
  <w:style w:type="paragraph" w:styleId="Revision">
    <w:name w:val="Revision"/>
    <w:hidden/>
    <w:uiPriority w:val="99"/>
    <w:semiHidden/>
    <w:rsid w:val="007F34EC"/>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ccde511ae83c548d753aa0cc0930e991">
  <xsd:schema xmlns:xsd="http://www.w3.org/2001/XMLSchema" xmlns:xs="http://www.w3.org/2001/XMLSchema" xmlns:p="http://schemas.microsoft.com/office/2006/metadata/properties" xmlns:ns2="d6093ac8-e621-419c-a875-7b99f89649ee" targetNamespace="http://schemas.microsoft.com/office/2006/metadata/properties" ma:root="true" ma:fieldsID="508934b3f5eff6e738e58e18632ee471"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72EDB0-B5C0-441F-97EB-24E2373BF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customXml/itemProps4.xml><?xml version="1.0" encoding="utf-8"?>
<ds:datastoreItem xmlns:ds="http://schemas.openxmlformats.org/officeDocument/2006/customXml" ds:itemID="{FD51A34D-4AD1-4ABF-91F6-290896CDE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5868</Words>
  <Characters>31608</Characters>
  <Application>Microsoft Office Word</Application>
  <DocSecurity>0</DocSecurity>
  <Lines>675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2026-05-01T06:51:00Z</dcterms:created>
  <dcterms:modified xsi:type="dcterms:W3CDTF">2026-05-01T06:51:00Z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