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34DB5611"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196BF0">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536F3E" w:rsidRDefault="00E90DF9" w:rsidP="00E90DF9">
      <w:pPr>
        <w:spacing w:after="0"/>
        <w:jc w:val="center"/>
        <w:rPr>
          <w:rFonts w:ascii="Arial" w:hAnsi="Arial" w:cs="Arial"/>
          <w:b/>
          <w:sz w:val="24"/>
          <w:szCs w:val="24"/>
        </w:rPr>
      </w:pPr>
    </w:p>
    <w:p w14:paraId="590EB1A4" w14:textId="299BBD6F" w:rsidR="00E90DF9" w:rsidRDefault="00196BF0" w:rsidP="00E90DF9">
      <w:pPr>
        <w:spacing w:after="0"/>
        <w:jc w:val="center"/>
        <w:rPr>
          <w:rFonts w:ascii="Arial" w:hAnsi="Arial" w:cs="Arial"/>
          <w:b/>
          <w:bCs/>
          <w:caps/>
          <w:sz w:val="24"/>
          <w:szCs w:val="24"/>
        </w:rPr>
      </w:pPr>
      <w:r w:rsidRPr="00E83C53">
        <w:rPr>
          <w:rFonts w:ascii="Arial" w:hAnsi="Arial" w:cs="Arial"/>
          <w:b/>
          <w:bCs/>
          <w:caps/>
          <w:sz w:val="24"/>
          <w:szCs w:val="24"/>
        </w:rPr>
        <w:t>Firearms Amendment Regulation 2026 (N</w:t>
      </w:r>
      <w:r w:rsidR="00AA29C8" w:rsidRPr="00AA29C8">
        <w:rPr>
          <w:rFonts w:ascii="Arial" w:hAnsi="Arial" w:cs="Arial"/>
          <w:b/>
          <w:bCs/>
          <w:sz w:val="24"/>
          <w:szCs w:val="24"/>
        </w:rPr>
        <w:t>o</w:t>
      </w:r>
      <w:r w:rsidRPr="00E83C53">
        <w:rPr>
          <w:rFonts w:ascii="Arial" w:hAnsi="Arial" w:cs="Arial"/>
          <w:b/>
          <w:bCs/>
          <w:caps/>
          <w:sz w:val="24"/>
          <w:szCs w:val="24"/>
        </w:rPr>
        <w:t xml:space="preserve"> </w:t>
      </w:r>
      <w:r w:rsidR="00615C1D" w:rsidRPr="00E83C53">
        <w:rPr>
          <w:rFonts w:ascii="Arial" w:hAnsi="Arial" w:cs="Arial"/>
          <w:b/>
          <w:bCs/>
          <w:caps/>
          <w:sz w:val="24"/>
          <w:szCs w:val="24"/>
        </w:rPr>
        <w:t>1</w:t>
      </w:r>
      <w:r w:rsidRPr="00E83C53">
        <w:rPr>
          <w:rFonts w:ascii="Arial" w:hAnsi="Arial" w:cs="Arial"/>
          <w:b/>
          <w:bCs/>
          <w:caps/>
          <w:sz w:val="24"/>
          <w:szCs w:val="24"/>
        </w:rPr>
        <w:t>)</w:t>
      </w:r>
    </w:p>
    <w:p w14:paraId="78ABAEBE" w14:textId="77777777" w:rsidR="00E83C53" w:rsidRDefault="00E83C53" w:rsidP="00E90DF9">
      <w:pPr>
        <w:spacing w:after="0"/>
        <w:jc w:val="center"/>
        <w:rPr>
          <w:rFonts w:ascii="Arial" w:hAnsi="Arial" w:cs="Arial"/>
          <w:b/>
          <w:bCs/>
          <w:caps/>
          <w:sz w:val="24"/>
          <w:szCs w:val="24"/>
        </w:rPr>
      </w:pPr>
    </w:p>
    <w:p w14:paraId="71D110A4" w14:textId="14C4748F" w:rsidR="00E83C53" w:rsidRPr="00E83C53" w:rsidRDefault="00E83C53" w:rsidP="00E90DF9">
      <w:pPr>
        <w:spacing w:after="0"/>
        <w:jc w:val="center"/>
        <w:rPr>
          <w:rFonts w:ascii="Arial" w:hAnsi="Arial" w:cs="Arial"/>
          <w:b/>
          <w:bCs/>
          <w:caps/>
          <w:sz w:val="24"/>
          <w:szCs w:val="24"/>
        </w:rPr>
      </w:pPr>
      <w:r>
        <w:rPr>
          <w:rFonts w:ascii="Arial" w:hAnsi="Arial" w:cs="Arial"/>
          <w:b/>
          <w:bCs/>
          <w:caps/>
          <w:sz w:val="24"/>
          <w:szCs w:val="24"/>
        </w:rPr>
        <w:t>sl2026-</w:t>
      </w:r>
      <w:r w:rsidR="00AA29C8">
        <w:rPr>
          <w:rFonts w:ascii="Arial" w:hAnsi="Arial" w:cs="Arial"/>
          <w:b/>
          <w:bCs/>
          <w:caps/>
          <w:sz w:val="24"/>
          <w:szCs w:val="24"/>
        </w:rPr>
        <w:t>3</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A901AE6" w:rsidR="00E90DF9" w:rsidRPr="00FF0753" w:rsidRDefault="00E90DF9" w:rsidP="00E90DF9">
      <w:pPr>
        <w:spacing w:after="0"/>
        <w:jc w:val="center"/>
        <w:rPr>
          <w:rFonts w:ascii="Arial" w:hAnsi="Arial" w:cs="Arial"/>
          <w:i/>
          <w:iCs/>
          <w:strike/>
          <w:color w:val="FF0000"/>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489A7E10" w:rsidR="00E90DF9" w:rsidRPr="00E83C53" w:rsidRDefault="00E90DF9" w:rsidP="00E90DF9">
      <w:pPr>
        <w:spacing w:after="0"/>
        <w:jc w:val="center"/>
        <w:rPr>
          <w:rFonts w:ascii="Arial" w:hAnsi="Arial" w:cs="Arial"/>
          <w:b/>
          <w:bCs/>
          <w:strike/>
          <w:sz w:val="24"/>
          <w:szCs w:val="24"/>
        </w:rPr>
      </w:pPr>
    </w:p>
    <w:p w14:paraId="243211BD" w14:textId="3F3C03D6" w:rsidR="00E90DF9" w:rsidRPr="00E83C53" w:rsidRDefault="00E90DF9" w:rsidP="00E90DF9">
      <w:pPr>
        <w:spacing w:after="0"/>
        <w:jc w:val="center"/>
        <w:rPr>
          <w:rFonts w:ascii="Arial" w:hAnsi="Arial" w:cs="Arial"/>
          <w:b/>
          <w:bCs/>
          <w:strike/>
          <w:sz w:val="24"/>
          <w:szCs w:val="24"/>
        </w:rPr>
      </w:pPr>
    </w:p>
    <w:p w14:paraId="2FDF54DB" w14:textId="343F838E" w:rsidR="00E90DF9" w:rsidRPr="00E83C53" w:rsidRDefault="00E90DF9" w:rsidP="00FD2FD5">
      <w:pPr>
        <w:spacing w:after="0"/>
        <w:rPr>
          <w:rFonts w:ascii="Arial" w:hAnsi="Arial" w:cs="Arial"/>
          <w:b/>
          <w:strike/>
          <w:sz w:val="24"/>
          <w:szCs w:val="24"/>
        </w:rPr>
      </w:pP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461523AD" w14:textId="77777777" w:rsidR="00E90DF9" w:rsidRPr="00360279" w:rsidRDefault="00E90DF9" w:rsidP="00E90DF9">
      <w:pPr>
        <w:keepNext/>
        <w:widowControl w:val="0"/>
        <w:spacing w:after="0"/>
        <w:ind w:right="686"/>
        <w:jc w:val="right"/>
        <w:outlineLvl w:val="7"/>
        <w:rPr>
          <w:rFonts w:ascii="Arial" w:hAnsi="Arial" w:cs="Arial"/>
          <w:b/>
          <w:bCs/>
          <w:sz w:val="24"/>
          <w:szCs w:val="24"/>
        </w:rPr>
      </w:pPr>
      <w:r w:rsidRPr="00360279">
        <w:rPr>
          <w:rFonts w:ascii="Arial" w:hAnsi="Arial" w:cs="Arial"/>
          <w:b/>
          <w:bCs/>
          <w:sz w:val="24"/>
          <w:szCs w:val="24"/>
        </w:rPr>
        <w:t>Presented by</w:t>
      </w:r>
    </w:p>
    <w:p w14:paraId="340671F6" w14:textId="29DDD98B" w:rsidR="00E90DF9" w:rsidRPr="00360279" w:rsidRDefault="00622350" w:rsidP="00E90DF9">
      <w:pPr>
        <w:spacing w:after="0"/>
        <w:ind w:right="686"/>
        <w:jc w:val="right"/>
        <w:rPr>
          <w:rFonts w:ascii="Arial" w:hAnsi="Arial" w:cs="Arial"/>
          <w:b/>
          <w:bCs/>
          <w:sz w:val="24"/>
          <w:szCs w:val="24"/>
        </w:rPr>
      </w:pPr>
      <w:r w:rsidRPr="00360279">
        <w:rPr>
          <w:rFonts w:ascii="Arial" w:hAnsi="Arial" w:cs="Arial"/>
          <w:b/>
          <w:bCs/>
          <w:sz w:val="24"/>
          <w:szCs w:val="24"/>
        </w:rPr>
        <w:t xml:space="preserve">Minister Paterson </w:t>
      </w:r>
      <w:r w:rsidR="00E90DF9" w:rsidRPr="00360279">
        <w:rPr>
          <w:rFonts w:ascii="Arial" w:hAnsi="Arial" w:cs="Arial"/>
          <w:b/>
          <w:bCs/>
          <w:sz w:val="24"/>
          <w:szCs w:val="24"/>
        </w:rPr>
        <w:t>MLA</w:t>
      </w:r>
    </w:p>
    <w:p w14:paraId="01A66C85" w14:textId="77777777" w:rsidR="001C4EBF" w:rsidRDefault="001C4EBF" w:rsidP="00E90DF9">
      <w:pPr>
        <w:spacing w:after="0"/>
        <w:ind w:right="686"/>
        <w:jc w:val="right"/>
        <w:rPr>
          <w:rFonts w:ascii="Arial" w:hAnsi="Arial" w:cs="Arial"/>
          <w:b/>
          <w:bCs/>
          <w:sz w:val="24"/>
          <w:szCs w:val="24"/>
        </w:rPr>
      </w:pPr>
      <w:r w:rsidRPr="001C4EBF">
        <w:rPr>
          <w:rFonts w:ascii="Arial" w:hAnsi="Arial" w:cs="Arial"/>
          <w:b/>
          <w:bCs/>
          <w:sz w:val="24"/>
          <w:szCs w:val="24"/>
        </w:rPr>
        <w:t>Minister for Police, Fire and Emergency Services</w:t>
      </w:r>
    </w:p>
    <w:p w14:paraId="722CCE31" w14:textId="63A282E2" w:rsidR="00E90DF9" w:rsidRPr="00360279" w:rsidRDefault="00FA6DAF" w:rsidP="00E90DF9">
      <w:pPr>
        <w:spacing w:after="0"/>
        <w:ind w:right="686"/>
        <w:jc w:val="right"/>
        <w:rPr>
          <w:rFonts w:ascii="Arial" w:hAnsi="Arial" w:cs="Arial"/>
          <w:b/>
          <w:bCs/>
          <w:sz w:val="24"/>
          <w:szCs w:val="24"/>
        </w:rPr>
      </w:pPr>
      <w:r>
        <w:rPr>
          <w:rFonts w:ascii="Arial" w:hAnsi="Arial" w:cs="Arial"/>
          <w:b/>
          <w:bCs/>
          <w:sz w:val="24"/>
          <w:szCs w:val="24"/>
        </w:rPr>
        <w:t>April</w:t>
      </w:r>
      <w:r w:rsidR="00E90DF9" w:rsidRPr="00360279">
        <w:rPr>
          <w:rFonts w:ascii="Arial" w:hAnsi="Arial" w:cs="Arial"/>
          <w:b/>
          <w:bCs/>
          <w:sz w:val="24"/>
          <w:szCs w:val="24"/>
        </w:rPr>
        <w:t xml:space="preserve"> 202</w:t>
      </w:r>
      <w:r w:rsidR="00360279" w:rsidRPr="00360279">
        <w:rPr>
          <w:rFonts w:ascii="Arial" w:hAnsi="Arial" w:cs="Arial"/>
          <w:b/>
          <w:bCs/>
          <w:sz w:val="24"/>
          <w:szCs w:val="24"/>
        </w:rPr>
        <w:t>6</w:t>
      </w:r>
    </w:p>
    <w:p w14:paraId="764EA7E1" w14:textId="3F41ACE8" w:rsidR="00E90DF9" w:rsidRPr="008C3B92" w:rsidRDefault="004B031B" w:rsidP="00E90DF9">
      <w:pPr>
        <w:spacing w:after="0" w:line="240" w:lineRule="auto"/>
        <w:rPr>
          <w:rFonts w:ascii="Arial" w:hAnsi="Arial" w:cs="Arial"/>
          <w:b/>
          <w:bCs/>
          <w:sz w:val="24"/>
          <w:szCs w:val="24"/>
          <w:u w:val="single"/>
        </w:rPr>
        <w:sectPr w:rsidR="00E90DF9" w:rsidRPr="008C3B92" w:rsidSect="00DC5912">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6CADC85C" w:rsidR="00E90DF9" w:rsidRPr="00BB387E" w:rsidRDefault="00181D9D" w:rsidP="00E90DF9">
      <w:pPr>
        <w:pStyle w:val="Heading1"/>
        <w:jc w:val="center"/>
      </w:pPr>
      <w:r>
        <w:lastRenderedPageBreak/>
        <w:t xml:space="preserve">FIREARMS AMENDMENT REGULATION </w:t>
      </w:r>
      <w:r w:rsidR="00D245C2">
        <w:t>2026 (N</w:t>
      </w:r>
      <w:r w:rsidR="00AA29C8">
        <w:t>o</w:t>
      </w:r>
      <w:r w:rsidR="00615C1D">
        <w:t xml:space="preserve"> 1)</w:t>
      </w:r>
    </w:p>
    <w:p w14:paraId="22DBB903" w14:textId="77777777" w:rsidR="005541E8" w:rsidRDefault="005541E8" w:rsidP="00E90DF9">
      <w:pPr>
        <w:pStyle w:val="Heading2"/>
      </w:pPr>
    </w:p>
    <w:p w14:paraId="266B7B2E" w14:textId="2A94A070" w:rsidR="00E90DF9" w:rsidRDefault="003A795E" w:rsidP="00E90DF9">
      <w:pPr>
        <w:pStyle w:val="Heading2"/>
      </w:pPr>
      <w:r>
        <w:t>B</w:t>
      </w:r>
      <w:r w:rsidR="00677653">
        <w:t>ACKGROUND</w:t>
      </w:r>
      <w:r w:rsidR="006E235F">
        <w:t xml:space="preserve"> TO THE AMENDMENT REGULATION</w:t>
      </w:r>
    </w:p>
    <w:p w14:paraId="66544059" w14:textId="1609CF1C" w:rsidR="00C02AE4" w:rsidRPr="00C25298" w:rsidRDefault="00C02AE4" w:rsidP="00B01CF8">
      <w:pPr>
        <w:rPr>
          <w:rFonts w:ascii="Arial" w:hAnsi="Arial" w:cs="Arial"/>
          <w:bCs/>
          <w:sz w:val="24"/>
          <w:szCs w:val="24"/>
        </w:rPr>
      </w:pPr>
      <w:r w:rsidRPr="00C25298">
        <w:rPr>
          <w:rFonts w:ascii="Arial" w:hAnsi="Arial" w:cs="Arial"/>
          <w:bCs/>
          <w:sz w:val="24"/>
          <w:szCs w:val="24"/>
        </w:rPr>
        <w:t>The purpose of th</w:t>
      </w:r>
      <w:r w:rsidR="00EC4D31">
        <w:rPr>
          <w:rFonts w:ascii="Arial" w:hAnsi="Arial" w:cs="Arial"/>
          <w:bCs/>
          <w:sz w:val="24"/>
          <w:szCs w:val="24"/>
        </w:rPr>
        <w:t>is</w:t>
      </w:r>
      <w:r w:rsidR="00746C37" w:rsidRPr="00C25298">
        <w:rPr>
          <w:rFonts w:ascii="Arial" w:hAnsi="Arial" w:cs="Arial"/>
          <w:bCs/>
          <w:sz w:val="24"/>
          <w:szCs w:val="24"/>
        </w:rPr>
        <w:t xml:space="preserve"> Firearms Amendment Regulation 2026</w:t>
      </w:r>
      <w:r w:rsidR="00AA29C8">
        <w:rPr>
          <w:rFonts w:ascii="Arial" w:hAnsi="Arial" w:cs="Arial"/>
          <w:bCs/>
          <w:sz w:val="24"/>
          <w:szCs w:val="24"/>
        </w:rPr>
        <w:t xml:space="preserve"> (No 1)</w:t>
      </w:r>
      <w:r w:rsidR="00746C37" w:rsidRPr="00C25298">
        <w:rPr>
          <w:rFonts w:ascii="Arial" w:hAnsi="Arial" w:cs="Arial"/>
          <w:bCs/>
          <w:sz w:val="24"/>
          <w:szCs w:val="24"/>
        </w:rPr>
        <w:t xml:space="preserve"> </w:t>
      </w:r>
      <w:r w:rsidR="006E1ED8" w:rsidRPr="00C25298">
        <w:rPr>
          <w:rFonts w:ascii="Arial" w:hAnsi="Arial" w:cs="Arial"/>
          <w:bCs/>
          <w:sz w:val="24"/>
          <w:szCs w:val="24"/>
        </w:rPr>
        <w:t xml:space="preserve">(Amendment Regulation) </w:t>
      </w:r>
      <w:r w:rsidR="00746C37" w:rsidRPr="00C25298">
        <w:rPr>
          <w:rFonts w:ascii="Arial" w:hAnsi="Arial" w:cs="Arial"/>
          <w:bCs/>
          <w:sz w:val="24"/>
          <w:szCs w:val="24"/>
        </w:rPr>
        <w:t xml:space="preserve">is to amend the </w:t>
      </w:r>
      <w:r w:rsidRPr="00C25298">
        <w:rPr>
          <w:rFonts w:ascii="Arial" w:hAnsi="Arial" w:cs="Arial"/>
          <w:bCs/>
          <w:sz w:val="24"/>
          <w:szCs w:val="24"/>
        </w:rPr>
        <w:t xml:space="preserve">Firearms Regulation 2008 (Firearms Regulation) to provide that orders under the </w:t>
      </w:r>
      <w:r w:rsidRPr="00C25298">
        <w:rPr>
          <w:rFonts w:ascii="Arial" w:hAnsi="Arial" w:cs="Arial"/>
          <w:bCs/>
          <w:i/>
          <w:iCs/>
          <w:sz w:val="24"/>
          <w:szCs w:val="24"/>
        </w:rPr>
        <w:t>Workplace Protection Orders Act 2025</w:t>
      </w:r>
      <w:r w:rsidRPr="00C25298">
        <w:rPr>
          <w:rFonts w:ascii="Arial" w:hAnsi="Arial" w:cs="Arial"/>
          <w:bCs/>
          <w:sz w:val="24"/>
          <w:szCs w:val="24"/>
        </w:rPr>
        <w:t xml:space="preserve"> (</w:t>
      </w:r>
      <w:proofErr w:type="spellStart"/>
      <w:r w:rsidRPr="00C25298">
        <w:rPr>
          <w:rFonts w:ascii="Arial" w:hAnsi="Arial" w:cs="Arial"/>
          <w:bCs/>
          <w:sz w:val="24"/>
          <w:szCs w:val="24"/>
        </w:rPr>
        <w:t>Cth</w:t>
      </w:r>
      <w:proofErr w:type="spellEnd"/>
      <w:r w:rsidRPr="00C25298">
        <w:rPr>
          <w:rFonts w:ascii="Arial" w:hAnsi="Arial" w:cs="Arial"/>
          <w:bCs/>
          <w:sz w:val="24"/>
          <w:szCs w:val="24"/>
        </w:rPr>
        <w:t>)</w:t>
      </w:r>
      <w:r w:rsidR="00AC4926" w:rsidRPr="00C25298">
        <w:rPr>
          <w:rFonts w:ascii="Arial" w:hAnsi="Arial" w:cs="Arial"/>
          <w:bCs/>
          <w:sz w:val="24"/>
          <w:szCs w:val="24"/>
        </w:rPr>
        <w:t xml:space="preserve"> (CWPO Act)</w:t>
      </w:r>
      <w:r w:rsidRPr="00C25298">
        <w:rPr>
          <w:rFonts w:ascii="Arial" w:hAnsi="Arial" w:cs="Arial"/>
          <w:bCs/>
          <w:sz w:val="24"/>
          <w:szCs w:val="24"/>
        </w:rPr>
        <w:t xml:space="preserve"> must be considered in determining a person’s suitability to hold a firearms licence</w:t>
      </w:r>
      <w:r w:rsidR="006E1ED8" w:rsidRPr="00C25298">
        <w:rPr>
          <w:rFonts w:ascii="Arial" w:hAnsi="Arial" w:cs="Arial"/>
          <w:bCs/>
          <w:sz w:val="24"/>
          <w:szCs w:val="24"/>
        </w:rPr>
        <w:t xml:space="preserve">. </w:t>
      </w:r>
    </w:p>
    <w:p w14:paraId="783155CE" w14:textId="58098AEC" w:rsidR="008B0A36" w:rsidRPr="00C25298" w:rsidRDefault="007A3217" w:rsidP="008B0A36">
      <w:pPr>
        <w:rPr>
          <w:rFonts w:ascii="Arial" w:hAnsi="Arial" w:cs="Arial"/>
          <w:bCs/>
          <w:sz w:val="24"/>
          <w:szCs w:val="24"/>
        </w:rPr>
      </w:pPr>
      <w:r w:rsidRPr="00C25298">
        <w:rPr>
          <w:rFonts w:ascii="Arial" w:hAnsi="Arial" w:cs="Arial"/>
          <w:bCs/>
          <w:sz w:val="24"/>
          <w:szCs w:val="24"/>
        </w:rPr>
        <w:t xml:space="preserve">The </w:t>
      </w:r>
      <w:r w:rsidRPr="00C25298">
        <w:rPr>
          <w:rFonts w:ascii="Arial" w:hAnsi="Arial" w:cs="Arial"/>
          <w:bCs/>
          <w:i/>
          <w:iCs/>
          <w:sz w:val="24"/>
          <w:szCs w:val="24"/>
        </w:rPr>
        <w:t xml:space="preserve">Firearms Act 1996 </w:t>
      </w:r>
      <w:r w:rsidR="00992E01" w:rsidRPr="00C25298">
        <w:rPr>
          <w:rFonts w:ascii="Arial" w:hAnsi="Arial" w:cs="Arial"/>
          <w:bCs/>
          <w:sz w:val="24"/>
          <w:szCs w:val="24"/>
        </w:rPr>
        <w:t xml:space="preserve">(Firearms Act) </w:t>
      </w:r>
      <w:r w:rsidRPr="00C25298">
        <w:rPr>
          <w:rFonts w:ascii="Arial" w:hAnsi="Arial" w:cs="Arial"/>
          <w:bCs/>
          <w:sz w:val="24"/>
          <w:szCs w:val="24"/>
        </w:rPr>
        <w:t>and the</w:t>
      </w:r>
      <w:r w:rsidR="00ED22EC" w:rsidRPr="00C25298">
        <w:rPr>
          <w:rFonts w:ascii="Arial" w:hAnsi="Arial" w:cs="Arial"/>
          <w:bCs/>
          <w:sz w:val="24"/>
          <w:szCs w:val="24"/>
        </w:rPr>
        <w:t xml:space="preserve"> Firearms Regulation </w:t>
      </w:r>
      <w:r w:rsidRPr="00C25298">
        <w:rPr>
          <w:rFonts w:ascii="Arial" w:hAnsi="Arial" w:cs="Arial"/>
          <w:bCs/>
          <w:sz w:val="24"/>
          <w:szCs w:val="24"/>
        </w:rPr>
        <w:t>establish an integrated licensing and registration scheme for firearms in the ACT.</w:t>
      </w:r>
      <w:r w:rsidR="00C14349" w:rsidRPr="00C25298">
        <w:rPr>
          <w:rFonts w:ascii="Arial" w:hAnsi="Arial" w:cs="Arial"/>
          <w:bCs/>
          <w:sz w:val="24"/>
          <w:szCs w:val="24"/>
        </w:rPr>
        <w:t xml:space="preserve"> </w:t>
      </w:r>
      <w:r w:rsidR="008B0A36" w:rsidRPr="00C25298">
        <w:rPr>
          <w:rFonts w:ascii="Arial" w:hAnsi="Arial" w:cs="Arial"/>
          <w:bCs/>
          <w:sz w:val="24"/>
          <w:szCs w:val="24"/>
        </w:rPr>
        <w:t>The Firearms Act provides for matters the registrar must consider in determining whether a person is suitable to hold a firearms licence or other authority (discretionary criteria), as well as matters that automatically deem a person unsuitable (mandatory criteria). The registrar must not grant a licence to a person unless satisfied on reasonable grounds that the person is suitable and must suspend or cancel a person’s licence if they are found to be unsuitable after the licence is issued.</w:t>
      </w:r>
    </w:p>
    <w:p w14:paraId="17B5AECF" w14:textId="61206004" w:rsidR="008B0A36" w:rsidRPr="00C25298" w:rsidRDefault="008B0A36" w:rsidP="008B0A36">
      <w:pPr>
        <w:rPr>
          <w:rFonts w:ascii="Arial" w:hAnsi="Arial" w:cs="Arial"/>
          <w:bCs/>
          <w:sz w:val="24"/>
          <w:szCs w:val="24"/>
        </w:rPr>
      </w:pPr>
      <w:r w:rsidRPr="00C25298">
        <w:rPr>
          <w:rFonts w:ascii="Arial" w:hAnsi="Arial" w:cs="Arial"/>
          <w:bCs/>
          <w:sz w:val="24"/>
          <w:szCs w:val="24"/>
        </w:rPr>
        <w:t>The discretionary criteria include whether, in the previous 10 years, the person has been subject to an interim protection order, a final order that has been revoked or successfully appealed against, or a final order that permits the person to possess and use a firearm.</w:t>
      </w:r>
    </w:p>
    <w:p w14:paraId="2FFFEF20" w14:textId="749F9776" w:rsidR="008B0A36" w:rsidRPr="00C25298" w:rsidRDefault="008B0A36" w:rsidP="008B0A36">
      <w:pPr>
        <w:rPr>
          <w:rFonts w:ascii="Arial" w:hAnsi="Arial" w:cs="Arial"/>
          <w:bCs/>
          <w:sz w:val="24"/>
          <w:szCs w:val="24"/>
        </w:rPr>
      </w:pPr>
      <w:r w:rsidRPr="00C25298">
        <w:rPr>
          <w:rFonts w:ascii="Arial" w:hAnsi="Arial" w:cs="Arial"/>
          <w:bCs/>
          <w:sz w:val="24"/>
          <w:szCs w:val="24"/>
        </w:rPr>
        <w:t>The mandatory criteria include whether, in the previous 10 years, the person has been subject to a final protection order other than an order that has been revoked or successfully appealed or an order that permits the person to possess and use a firearm.</w:t>
      </w:r>
    </w:p>
    <w:p w14:paraId="088573BF" w14:textId="5385D892" w:rsidR="008B0A36" w:rsidRPr="00C25298" w:rsidRDefault="008B0A36" w:rsidP="008B0A36">
      <w:pPr>
        <w:rPr>
          <w:rFonts w:ascii="Arial" w:hAnsi="Arial" w:cs="Arial"/>
          <w:bCs/>
          <w:sz w:val="24"/>
          <w:szCs w:val="24"/>
        </w:rPr>
      </w:pPr>
      <w:r w:rsidRPr="00C25298">
        <w:rPr>
          <w:rFonts w:ascii="Arial" w:hAnsi="Arial" w:cs="Arial"/>
          <w:bCs/>
          <w:sz w:val="24"/>
          <w:szCs w:val="24"/>
        </w:rPr>
        <w:t xml:space="preserve">‘Interim protection order’ and ‘final protection order’ are defined in the Dictionary to the Firearms Act to include interim and final orders made under the </w:t>
      </w:r>
      <w:r w:rsidRPr="00FA6DAF">
        <w:rPr>
          <w:rFonts w:ascii="Arial" w:hAnsi="Arial" w:cs="Arial"/>
          <w:bCs/>
          <w:i/>
          <w:iCs/>
          <w:sz w:val="24"/>
          <w:szCs w:val="24"/>
        </w:rPr>
        <w:t>Personal Violence Act 2016</w:t>
      </w:r>
      <w:r w:rsidRPr="00C25298">
        <w:rPr>
          <w:rFonts w:ascii="Arial" w:hAnsi="Arial" w:cs="Arial"/>
          <w:bCs/>
          <w:sz w:val="24"/>
          <w:szCs w:val="24"/>
        </w:rPr>
        <w:t xml:space="preserve"> (Personal Violence Act), </w:t>
      </w:r>
      <w:r w:rsidRPr="00FA6DAF">
        <w:rPr>
          <w:rFonts w:ascii="Arial" w:hAnsi="Arial" w:cs="Arial"/>
          <w:bCs/>
          <w:i/>
          <w:iCs/>
          <w:sz w:val="24"/>
          <w:szCs w:val="24"/>
        </w:rPr>
        <w:t>Family Violence Act 2016</w:t>
      </w:r>
      <w:r w:rsidRPr="00C25298">
        <w:rPr>
          <w:rFonts w:ascii="Arial" w:hAnsi="Arial" w:cs="Arial"/>
          <w:bCs/>
          <w:sz w:val="24"/>
          <w:szCs w:val="24"/>
        </w:rPr>
        <w:t xml:space="preserve">, and equivalent orders under the legislation of a State, another Territory, or New Zealand. </w:t>
      </w:r>
    </w:p>
    <w:p w14:paraId="5527444E" w14:textId="77777777" w:rsidR="00D847E5" w:rsidRPr="00C25298" w:rsidRDefault="008B0A36" w:rsidP="00D847E5">
      <w:pPr>
        <w:rPr>
          <w:rFonts w:ascii="Arial" w:hAnsi="Arial" w:cs="Arial"/>
          <w:bCs/>
          <w:sz w:val="24"/>
          <w:szCs w:val="24"/>
        </w:rPr>
      </w:pPr>
      <w:r w:rsidRPr="00C25298">
        <w:rPr>
          <w:rFonts w:ascii="Arial" w:hAnsi="Arial" w:cs="Arial"/>
          <w:bCs/>
          <w:sz w:val="24"/>
          <w:szCs w:val="24"/>
        </w:rPr>
        <w:t>CWPOs are not currently recognised as orders impacting the suitability of a person to possess or use a firearm.</w:t>
      </w:r>
      <w:r w:rsidR="00946611" w:rsidRPr="00C25298">
        <w:rPr>
          <w:rFonts w:ascii="Arial" w:hAnsi="Arial" w:cs="Arial"/>
          <w:bCs/>
          <w:sz w:val="24"/>
          <w:szCs w:val="24"/>
        </w:rPr>
        <w:t xml:space="preserve"> </w:t>
      </w:r>
      <w:r w:rsidR="00D847E5" w:rsidRPr="00C25298">
        <w:rPr>
          <w:rFonts w:ascii="Arial" w:hAnsi="Arial" w:cs="Arial"/>
          <w:bCs/>
          <w:sz w:val="24"/>
          <w:szCs w:val="24"/>
        </w:rPr>
        <w:t xml:space="preserve">Background regarding the CWPO Act follows. </w:t>
      </w:r>
      <w:bookmarkStart w:id="0" w:name="_Hlk213172541"/>
    </w:p>
    <w:p w14:paraId="08A30312" w14:textId="6C840D83" w:rsidR="00D847E5" w:rsidRPr="00D847E5" w:rsidRDefault="00D847E5" w:rsidP="00D847E5">
      <w:pPr>
        <w:rPr>
          <w:rFonts w:ascii="Arial" w:hAnsi="Arial" w:cs="Arial"/>
          <w:bCs/>
          <w:sz w:val="24"/>
          <w:szCs w:val="24"/>
        </w:rPr>
      </w:pPr>
      <w:r w:rsidRPr="00C25298">
        <w:rPr>
          <w:rFonts w:ascii="Arial" w:hAnsi="Arial" w:cs="Arial"/>
          <w:bCs/>
          <w:sz w:val="24"/>
          <w:szCs w:val="24"/>
        </w:rPr>
        <w:t xml:space="preserve">The Commonwealth Workplace Protection Orders Bill 2025 (CWPO Bill) passed the Parliament on 29 October 2025 and received Royal Assent on 4 November 2025. The Bill responds to significant workplace health and safety risks faced by Commonwealth workers and workplaces, particularly those in frontline service-delivery. </w:t>
      </w:r>
    </w:p>
    <w:bookmarkEnd w:id="0"/>
    <w:p w14:paraId="70B985B4" w14:textId="77777777" w:rsidR="00D847E5" w:rsidRPr="00D847E5" w:rsidRDefault="00D847E5" w:rsidP="00D847E5">
      <w:pPr>
        <w:rPr>
          <w:rFonts w:ascii="Arial" w:hAnsi="Arial" w:cs="Arial"/>
          <w:bCs/>
          <w:sz w:val="24"/>
          <w:szCs w:val="24"/>
        </w:rPr>
      </w:pPr>
      <w:r w:rsidRPr="00D847E5">
        <w:rPr>
          <w:rFonts w:ascii="Arial" w:hAnsi="Arial" w:cs="Arial"/>
          <w:bCs/>
          <w:sz w:val="24"/>
          <w:szCs w:val="24"/>
        </w:rPr>
        <w:t xml:space="preserve">The Bill provides for the making of CWPOs to prevent violence against Commonwealth workers or individuals in Commonwealth workplaces. </w:t>
      </w:r>
    </w:p>
    <w:p w14:paraId="184B4520" w14:textId="77777777" w:rsidR="00D847E5" w:rsidRPr="00D847E5" w:rsidRDefault="00D847E5" w:rsidP="00D847E5">
      <w:pPr>
        <w:rPr>
          <w:rFonts w:ascii="Arial" w:hAnsi="Arial" w:cs="Arial"/>
          <w:bCs/>
          <w:sz w:val="24"/>
          <w:szCs w:val="24"/>
        </w:rPr>
      </w:pPr>
      <w:r w:rsidRPr="00D847E5">
        <w:rPr>
          <w:rFonts w:ascii="Arial" w:hAnsi="Arial" w:cs="Arial"/>
          <w:bCs/>
          <w:sz w:val="24"/>
          <w:szCs w:val="24"/>
        </w:rPr>
        <w:lastRenderedPageBreak/>
        <w:t xml:space="preserve">A CWPO may be made where the court is satisfied that the respondent has engaged in personal violence, there is a real risk that the respondent will engage in further personal violence if the order is not made, and the order is necessary or desirable to prevent further violence from occurring. </w:t>
      </w:r>
    </w:p>
    <w:p w14:paraId="1AA7A47C" w14:textId="77777777" w:rsidR="00D847E5" w:rsidRPr="00D847E5" w:rsidRDefault="00D847E5" w:rsidP="00D847E5">
      <w:pPr>
        <w:rPr>
          <w:rFonts w:ascii="Arial" w:hAnsi="Arial" w:cs="Arial"/>
          <w:bCs/>
          <w:sz w:val="24"/>
          <w:szCs w:val="24"/>
        </w:rPr>
      </w:pPr>
      <w:r w:rsidRPr="00D847E5">
        <w:rPr>
          <w:rFonts w:ascii="Arial" w:hAnsi="Arial" w:cs="Arial"/>
          <w:bCs/>
          <w:sz w:val="24"/>
          <w:szCs w:val="24"/>
        </w:rPr>
        <w:t>A CWPO may impose such conditions as the court considers necessary or desirable to prevent the respondent from engaging in further personal violence, and to ensure the safety of a Commonwealth worker or individuals at a Commonwealth workplace.</w:t>
      </w:r>
    </w:p>
    <w:p w14:paraId="2C5DE3F1" w14:textId="7D2147AA" w:rsidR="00D847E5" w:rsidRPr="00DD2D3B" w:rsidRDefault="00D847E5" w:rsidP="00D847E5">
      <w:pPr>
        <w:rPr>
          <w:rFonts w:ascii="Arial" w:hAnsi="Arial" w:cs="Arial"/>
          <w:bCs/>
          <w:sz w:val="24"/>
          <w:szCs w:val="24"/>
        </w:rPr>
      </w:pPr>
      <w:r w:rsidRPr="00D847E5">
        <w:rPr>
          <w:rFonts w:ascii="Arial" w:hAnsi="Arial" w:cs="Arial"/>
          <w:bCs/>
          <w:sz w:val="24"/>
          <w:szCs w:val="24"/>
        </w:rPr>
        <w:t xml:space="preserve">The CWPO scheme is intended to operate concurrently with State and Territory laws. It is modelled on the ACT’s WPO scheme established by the </w:t>
      </w:r>
      <w:r w:rsidRPr="00DD2D3B">
        <w:rPr>
          <w:rFonts w:ascii="Arial" w:hAnsi="Arial" w:cs="Arial"/>
          <w:bCs/>
          <w:sz w:val="24"/>
          <w:szCs w:val="24"/>
        </w:rPr>
        <w:t>Personal Violence Act</w:t>
      </w:r>
      <w:r w:rsidR="00F503CF" w:rsidRPr="00DD2D3B">
        <w:rPr>
          <w:rFonts w:ascii="Arial" w:hAnsi="Arial" w:cs="Arial"/>
          <w:bCs/>
          <w:sz w:val="24"/>
          <w:szCs w:val="24"/>
        </w:rPr>
        <w:t>.</w:t>
      </w:r>
    </w:p>
    <w:p w14:paraId="28FE658D" w14:textId="77777777" w:rsidR="00D847E5" w:rsidRPr="00DD2D3B" w:rsidRDefault="00D847E5" w:rsidP="00D847E5">
      <w:pPr>
        <w:rPr>
          <w:rFonts w:ascii="Arial" w:hAnsi="Arial" w:cs="Arial"/>
          <w:bCs/>
          <w:sz w:val="24"/>
          <w:szCs w:val="24"/>
        </w:rPr>
      </w:pPr>
      <w:r w:rsidRPr="00DD2D3B">
        <w:rPr>
          <w:rFonts w:ascii="Arial" w:hAnsi="Arial" w:cs="Arial"/>
          <w:bCs/>
          <w:sz w:val="24"/>
          <w:szCs w:val="24"/>
        </w:rPr>
        <w:t>The CWPO Bill will commence six months after it receives Royal Assent, unless an earlier date is fixed by proclamation</w:t>
      </w:r>
      <w:bookmarkStart w:id="1" w:name="_Hlk213172601"/>
      <w:r w:rsidRPr="00DD2D3B">
        <w:rPr>
          <w:rFonts w:ascii="Arial" w:hAnsi="Arial" w:cs="Arial"/>
          <w:bCs/>
          <w:sz w:val="24"/>
          <w:szCs w:val="24"/>
        </w:rPr>
        <w:t>. The latest the Bill may commence is 5 May 2026.</w:t>
      </w:r>
    </w:p>
    <w:bookmarkEnd w:id="1"/>
    <w:p w14:paraId="029BD7F4" w14:textId="397880DE" w:rsidR="003A795E" w:rsidRPr="00DD2D3B" w:rsidRDefault="003A795E" w:rsidP="003A795E">
      <w:pPr>
        <w:pStyle w:val="Heading2"/>
        <w:rPr>
          <w:szCs w:val="24"/>
        </w:rPr>
      </w:pPr>
      <w:r w:rsidRPr="00DD2D3B">
        <w:rPr>
          <w:szCs w:val="24"/>
        </w:rPr>
        <w:t xml:space="preserve">OVERVIEW OF THE </w:t>
      </w:r>
      <w:r w:rsidR="000E11BB" w:rsidRPr="00DD2D3B">
        <w:rPr>
          <w:szCs w:val="24"/>
        </w:rPr>
        <w:t xml:space="preserve">AMENDMENT </w:t>
      </w:r>
      <w:r w:rsidRPr="00DD2D3B">
        <w:rPr>
          <w:szCs w:val="24"/>
        </w:rPr>
        <w:t>REGULATION</w:t>
      </w:r>
    </w:p>
    <w:p w14:paraId="118D8207" w14:textId="77777777" w:rsidR="005507C6" w:rsidRPr="00DD2D3B" w:rsidRDefault="005B5E83" w:rsidP="008B0A36">
      <w:pPr>
        <w:rPr>
          <w:rFonts w:ascii="Arial" w:hAnsi="Arial" w:cs="Arial"/>
          <w:bCs/>
          <w:sz w:val="24"/>
          <w:szCs w:val="24"/>
        </w:rPr>
      </w:pPr>
      <w:r w:rsidRPr="00DD2D3B">
        <w:rPr>
          <w:rFonts w:ascii="Arial" w:hAnsi="Arial" w:cs="Arial"/>
          <w:bCs/>
          <w:sz w:val="24"/>
          <w:szCs w:val="24"/>
        </w:rPr>
        <w:t xml:space="preserve">Section 17 of the Firearms Act </w:t>
      </w:r>
      <w:r w:rsidR="00C24E5B" w:rsidRPr="00DD2D3B">
        <w:rPr>
          <w:rFonts w:ascii="Arial" w:hAnsi="Arial" w:cs="Arial"/>
          <w:bCs/>
          <w:sz w:val="24"/>
          <w:szCs w:val="24"/>
        </w:rPr>
        <w:t xml:space="preserve">applies if the registrar is deciding an individual’s suitability. </w:t>
      </w:r>
      <w:r w:rsidR="00BA5ACA" w:rsidRPr="00DD2D3B">
        <w:rPr>
          <w:rFonts w:ascii="Arial" w:hAnsi="Arial" w:cs="Arial"/>
          <w:bCs/>
          <w:sz w:val="24"/>
          <w:szCs w:val="24"/>
        </w:rPr>
        <w:t>It provides that the registrar must consider any discretionary criteria in section 18</w:t>
      </w:r>
      <w:r w:rsidR="00E73444" w:rsidRPr="00DD2D3B">
        <w:rPr>
          <w:rFonts w:ascii="Arial" w:hAnsi="Arial" w:cs="Arial"/>
          <w:bCs/>
          <w:sz w:val="24"/>
          <w:szCs w:val="24"/>
        </w:rPr>
        <w:t xml:space="preserve"> that apply to the individual</w:t>
      </w:r>
      <w:r w:rsidR="00ED4E0D" w:rsidRPr="00DD2D3B">
        <w:rPr>
          <w:rFonts w:ascii="Arial" w:hAnsi="Arial" w:cs="Arial"/>
          <w:bCs/>
          <w:sz w:val="24"/>
          <w:szCs w:val="24"/>
        </w:rPr>
        <w:t xml:space="preserve">. </w:t>
      </w:r>
    </w:p>
    <w:p w14:paraId="3703761D" w14:textId="230E9742" w:rsidR="005507C6" w:rsidRPr="00DD2D3B" w:rsidRDefault="005507C6" w:rsidP="008B0A36">
      <w:pPr>
        <w:rPr>
          <w:rFonts w:ascii="Arial" w:hAnsi="Arial" w:cs="Arial"/>
          <w:bCs/>
          <w:sz w:val="24"/>
          <w:szCs w:val="24"/>
          <w:u w:val="single"/>
        </w:rPr>
      </w:pPr>
      <w:r w:rsidRPr="00DD2D3B">
        <w:rPr>
          <w:rFonts w:ascii="Arial" w:hAnsi="Arial" w:cs="Arial"/>
          <w:bCs/>
          <w:sz w:val="24"/>
          <w:szCs w:val="24"/>
          <w:u w:val="single"/>
        </w:rPr>
        <w:t>Discretionary criteria under section 18 of the Firearms Act</w:t>
      </w:r>
      <w:r w:rsidR="007D680D" w:rsidRPr="00DD2D3B">
        <w:rPr>
          <w:rFonts w:ascii="Arial" w:hAnsi="Arial" w:cs="Arial"/>
          <w:bCs/>
          <w:sz w:val="24"/>
          <w:szCs w:val="24"/>
          <w:u w:val="single"/>
        </w:rPr>
        <w:t xml:space="preserve"> and discretionary criteria prescribed by Regulations</w:t>
      </w:r>
    </w:p>
    <w:p w14:paraId="2DDF4974" w14:textId="7CC1EF3A" w:rsidR="00B75AF8" w:rsidRPr="00DD2D3B" w:rsidRDefault="00AF14DB" w:rsidP="008B0A36">
      <w:pPr>
        <w:rPr>
          <w:rFonts w:ascii="Arial" w:hAnsi="Arial" w:cs="Arial"/>
          <w:bCs/>
          <w:sz w:val="24"/>
          <w:szCs w:val="24"/>
        </w:rPr>
      </w:pPr>
      <w:r w:rsidRPr="00DD2D3B">
        <w:rPr>
          <w:rFonts w:ascii="Arial" w:hAnsi="Arial" w:cs="Arial"/>
          <w:bCs/>
          <w:sz w:val="24"/>
          <w:szCs w:val="24"/>
        </w:rPr>
        <w:t xml:space="preserve">Section </w:t>
      </w:r>
      <w:r w:rsidR="00ED0FC2" w:rsidRPr="00DD2D3B">
        <w:rPr>
          <w:rFonts w:ascii="Arial" w:hAnsi="Arial" w:cs="Arial"/>
          <w:bCs/>
          <w:sz w:val="24"/>
          <w:szCs w:val="24"/>
        </w:rPr>
        <w:t xml:space="preserve">18(1) lists discretionary criteria for </w:t>
      </w:r>
      <w:r w:rsidR="004B59DE" w:rsidRPr="00DD2D3B">
        <w:rPr>
          <w:rFonts w:ascii="Arial" w:hAnsi="Arial" w:cs="Arial"/>
          <w:bCs/>
          <w:sz w:val="24"/>
          <w:szCs w:val="24"/>
        </w:rPr>
        <w:t xml:space="preserve">section 17. Section </w:t>
      </w:r>
      <w:r w:rsidRPr="00DD2D3B">
        <w:rPr>
          <w:rFonts w:ascii="Arial" w:hAnsi="Arial" w:cs="Arial"/>
          <w:bCs/>
          <w:sz w:val="24"/>
          <w:szCs w:val="24"/>
        </w:rPr>
        <w:t>18(1)(d)</w:t>
      </w:r>
      <w:r w:rsidR="0070696F" w:rsidRPr="00DD2D3B">
        <w:rPr>
          <w:rFonts w:ascii="Arial" w:hAnsi="Arial" w:cs="Arial"/>
          <w:bCs/>
          <w:sz w:val="24"/>
          <w:szCs w:val="24"/>
        </w:rPr>
        <w:t xml:space="preserve"> provides that </w:t>
      </w:r>
      <w:r w:rsidR="00B75AF8" w:rsidRPr="00DD2D3B">
        <w:rPr>
          <w:rFonts w:ascii="Arial" w:hAnsi="Arial" w:cs="Arial"/>
          <w:bCs/>
          <w:sz w:val="24"/>
          <w:szCs w:val="24"/>
        </w:rPr>
        <w:t>other criteria may be prescribed by regulation.</w:t>
      </w:r>
    </w:p>
    <w:p w14:paraId="255C911F" w14:textId="7596BB2A" w:rsidR="00B75AF8" w:rsidRPr="00DD2D3B" w:rsidRDefault="00B75AF8" w:rsidP="00B75AF8">
      <w:pPr>
        <w:rPr>
          <w:rFonts w:ascii="Arial" w:hAnsi="Arial" w:cs="Arial"/>
          <w:bCs/>
          <w:sz w:val="24"/>
          <w:szCs w:val="24"/>
        </w:rPr>
      </w:pPr>
      <w:r w:rsidRPr="00DD2D3B">
        <w:rPr>
          <w:rFonts w:ascii="Arial" w:hAnsi="Arial" w:cs="Arial"/>
          <w:bCs/>
          <w:sz w:val="24"/>
          <w:szCs w:val="24"/>
        </w:rPr>
        <w:t>The Amendment Regulation inserts new section 65A into Part 15. Subsection 1 provides that the section applies if the registrar is deciding an individual’s suitability under section 17 of the Act.</w:t>
      </w:r>
    </w:p>
    <w:p w14:paraId="523931B2" w14:textId="5A5989AC" w:rsidR="002C7509" w:rsidRPr="00DD2D3B" w:rsidRDefault="00B75AF8" w:rsidP="00B75AF8">
      <w:pPr>
        <w:rPr>
          <w:rFonts w:ascii="Arial" w:hAnsi="Arial" w:cs="Arial"/>
          <w:bCs/>
          <w:sz w:val="24"/>
          <w:szCs w:val="24"/>
        </w:rPr>
      </w:pPr>
      <w:r w:rsidRPr="00DD2D3B">
        <w:rPr>
          <w:rFonts w:ascii="Arial" w:hAnsi="Arial" w:cs="Arial"/>
          <w:bCs/>
          <w:sz w:val="24"/>
          <w:szCs w:val="24"/>
        </w:rPr>
        <w:t>Subsection 2 provides that certain</w:t>
      </w:r>
      <w:r w:rsidR="00B86808" w:rsidRPr="00DD2D3B">
        <w:rPr>
          <w:rFonts w:ascii="Arial" w:hAnsi="Arial" w:cs="Arial"/>
          <w:bCs/>
          <w:sz w:val="24"/>
          <w:szCs w:val="24"/>
        </w:rPr>
        <w:t xml:space="preserve"> orders made under the CWPO</w:t>
      </w:r>
      <w:r w:rsidR="007B2AE1" w:rsidRPr="00DD2D3B">
        <w:rPr>
          <w:rFonts w:ascii="Arial" w:hAnsi="Arial" w:cs="Arial"/>
          <w:bCs/>
          <w:sz w:val="24"/>
          <w:szCs w:val="24"/>
        </w:rPr>
        <w:t xml:space="preserve"> are prescribed criterion. </w:t>
      </w:r>
      <w:r w:rsidR="00DC5A0C" w:rsidRPr="00DD2D3B">
        <w:rPr>
          <w:rFonts w:ascii="Arial" w:hAnsi="Arial" w:cs="Arial"/>
          <w:bCs/>
          <w:sz w:val="24"/>
          <w:szCs w:val="24"/>
        </w:rPr>
        <w:t xml:space="preserve">Specifically, it provides that </w:t>
      </w:r>
      <w:r w:rsidR="0083422D" w:rsidRPr="00DD2D3B">
        <w:rPr>
          <w:rFonts w:ascii="Arial" w:hAnsi="Arial" w:cs="Arial"/>
          <w:bCs/>
          <w:sz w:val="24"/>
          <w:szCs w:val="24"/>
        </w:rPr>
        <w:t>a prescribed criterion is whether, within the 10 years before the day the registrar makes the decision, the individual has been subject</w:t>
      </w:r>
      <w:r w:rsidR="00A4527F" w:rsidRPr="00DD2D3B">
        <w:rPr>
          <w:rFonts w:ascii="Arial" w:hAnsi="Arial" w:cs="Arial"/>
          <w:bCs/>
          <w:sz w:val="24"/>
          <w:szCs w:val="24"/>
        </w:rPr>
        <w:t>:</w:t>
      </w:r>
      <w:r w:rsidR="0083422D" w:rsidRPr="00DD2D3B">
        <w:rPr>
          <w:rFonts w:ascii="Arial" w:hAnsi="Arial" w:cs="Arial"/>
          <w:bCs/>
          <w:sz w:val="24"/>
          <w:szCs w:val="24"/>
        </w:rPr>
        <w:t xml:space="preserve"> to an interim </w:t>
      </w:r>
      <w:r w:rsidR="00A4527F" w:rsidRPr="00DD2D3B">
        <w:rPr>
          <w:rFonts w:ascii="Arial" w:hAnsi="Arial" w:cs="Arial"/>
          <w:bCs/>
          <w:sz w:val="24"/>
          <w:szCs w:val="24"/>
        </w:rPr>
        <w:t xml:space="preserve">order or urgent interim order under the CWPO; or a final order </w:t>
      </w:r>
      <w:r w:rsidR="0096300C" w:rsidRPr="00DD2D3B">
        <w:rPr>
          <w:rFonts w:ascii="Arial" w:hAnsi="Arial" w:cs="Arial"/>
          <w:bCs/>
          <w:sz w:val="24"/>
          <w:szCs w:val="24"/>
        </w:rPr>
        <w:t xml:space="preserve">or consent order that has been </w:t>
      </w:r>
      <w:r w:rsidR="00E7624E" w:rsidRPr="00DD2D3B">
        <w:rPr>
          <w:rFonts w:ascii="Arial" w:hAnsi="Arial" w:cs="Arial"/>
          <w:bCs/>
          <w:sz w:val="24"/>
          <w:szCs w:val="24"/>
        </w:rPr>
        <w:t xml:space="preserve">revoked or, for a final order, successfully appealed against. </w:t>
      </w:r>
      <w:r w:rsidR="00A06CF3" w:rsidRPr="00DD2D3B">
        <w:rPr>
          <w:rFonts w:ascii="Arial" w:hAnsi="Arial" w:cs="Arial"/>
          <w:bCs/>
          <w:sz w:val="24"/>
          <w:szCs w:val="24"/>
        </w:rPr>
        <w:t>‘Successfully appealed against</w:t>
      </w:r>
      <w:r w:rsidR="00FA6DAF">
        <w:rPr>
          <w:rFonts w:ascii="Arial" w:hAnsi="Arial" w:cs="Arial"/>
          <w:bCs/>
          <w:sz w:val="24"/>
          <w:szCs w:val="24"/>
        </w:rPr>
        <w:t>’</w:t>
      </w:r>
      <w:r w:rsidR="00A06CF3" w:rsidRPr="00DD2D3B">
        <w:rPr>
          <w:rFonts w:ascii="Arial" w:hAnsi="Arial" w:cs="Arial"/>
          <w:bCs/>
          <w:sz w:val="24"/>
          <w:szCs w:val="24"/>
        </w:rPr>
        <w:t xml:space="preserve"> is defined</w:t>
      </w:r>
      <w:r w:rsidR="004802EF" w:rsidRPr="00DD2D3B">
        <w:rPr>
          <w:rFonts w:ascii="Arial" w:hAnsi="Arial" w:cs="Arial"/>
          <w:bCs/>
          <w:sz w:val="24"/>
          <w:szCs w:val="24"/>
        </w:rPr>
        <w:t xml:space="preserve"> by adopting the definition of that phrase in section 19(2) of the Firearms Act</w:t>
      </w:r>
      <w:r w:rsidR="00BA396E" w:rsidRPr="00DD2D3B">
        <w:rPr>
          <w:rFonts w:ascii="Arial" w:hAnsi="Arial" w:cs="Arial"/>
          <w:bCs/>
          <w:sz w:val="24"/>
          <w:szCs w:val="24"/>
        </w:rPr>
        <w:t>: “an order is successfully appealed against if an appeal against the making of the order is upheld.”</w:t>
      </w:r>
      <w:r w:rsidR="0044188F" w:rsidRPr="00DD2D3B">
        <w:rPr>
          <w:rFonts w:ascii="Arial" w:hAnsi="Arial" w:cs="Arial"/>
          <w:bCs/>
          <w:sz w:val="24"/>
          <w:szCs w:val="24"/>
        </w:rPr>
        <w:t xml:space="preserve"> </w:t>
      </w:r>
      <w:r w:rsidR="005F60C4" w:rsidRPr="00DD2D3B">
        <w:rPr>
          <w:rFonts w:ascii="Arial" w:hAnsi="Arial" w:cs="Arial"/>
          <w:bCs/>
          <w:sz w:val="24"/>
          <w:szCs w:val="24"/>
        </w:rPr>
        <w:t xml:space="preserve">Section 18(1)(b) lists discretionary criteria including </w:t>
      </w:r>
      <w:r w:rsidR="00F124D2" w:rsidRPr="00DD2D3B">
        <w:rPr>
          <w:rFonts w:ascii="Arial" w:hAnsi="Arial" w:cs="Arial"/>
          <w:bCs/>
          <w:sz w:val="24"/>
          <w:szCs w:val="24"/>
        </w:rPr>
        <w:t xml:space="preserve">final protection orders </w:t>
      </w:r>
      <w:r w:rsidR="00A265FE" w:rsidRPr="00DD2D3B">
        <w:rPr>
          <w:rFonts w:ascii="Arial" w:hAnsi="Arial" w:cs="Arial"/>
          <w:bCs/>
          <w:sz w:val="24"/>
          <w:szCs w:val="24"/>
        </w:rPr>
        <w:t xml:space="preserve">that have been revoked and interim protection orders. The Amendment Regulation follows this approach by prescribing </w:t>
      </w:r>
      <w:r w:rsidR="00332D18" w:rsidRPr="00DD2D3B">
        <w:rPr>
          <w:rFonts w:ascii="Arial" w:hAnsi="Arial" w:cs="Arial"/>
          <w:bCs/>
          <w:sz w:val="24"/>
          <w:szCs w:val="24"/>
        </w:rPr>
        <w:t xml:space="preserve">CWPOs that have been revoked or are interim orders as discretionary criteria. </w:t>
      </w:r>
    </w:p>
    <w:p w14:paraId="24B0ECEA" w14:textId="7627A940" w:rsidR="007B2AE1" w:rsidRPr="00DD2D3B" w:rsidRDefault="00E745F2" w:rsidP="00B75AF8">
      <w:pPr>
        <w:rPr>
          <w:rFonts w:ascii="Arial" w:hAnsi="Arial" w:cs="Arial"/>
          <w:bCs/>
          <w:sz w:val="24"/>
          <w:szCs w:val="24"/>
        </w:rPr>
      </w:pPr>
      <w:r w:rsidRPr="00DD2D3B">
        <w:rPr>
          <w:rFonts w:ascii="Arial" w:hAnsi="Arial" w:cs="Arial"/>
          <w:bCs/>
          <w:sz w:val="24"/>
          <w:szCs w:val="24"/>
        </w:rPr>
        <w:t>Section 18</w:t>
      </w:r>
      <w:r w:rsidR="002C7509" w:rsidRPr="00DD2D3B">
        <w:rPr>
          <w:rFonts w:ascii="Arial" w:hAnsi="Arial" w:cs="Arial"/>
          <w:bCs/>
          <w:sz w:val="24"/>
          <w:szCs w:val="24"/>
        </w:rPr>
        <w:t xml:space="preserve"> of the Firearms Act</w:t>
      </w:r>
      <w:r w:rsidRPr="00DD2D3B">
        <w:rPr>
          <w:rFonts w:ascii="Arial" w:hAnsi="Arial" w:cs="Arial"/>
          <w:bCs/>
          <w:sz w:val="24"/>
          <w:szCs w:val="24"/>
        </w:rPr>
        <w:t xml:space="preserve"> does not refer to </w:t>
      </w:r>
      <w:r w:rsidR="00117DF0" w:rsidRPr="00DD2D3B">
        <w:rPr>
          <w:rFonts w:ascii="Arial" w:hAnsi="Arial" w:cs="Arial"/>
          <w:bCs/>
          <w:sz w:val="24"/>
          <w:szCs w:val="24"/>
        </w:rPr>
        <w:t xml:space="preserve">final protection orders that have been successfully appealed against. </w:t>
      </w:r>
      <w:r w:rsidR="002C7509" w:rsidRPr="00DD2D3B">
        <w:rPr>
          <w:rFonts w:ascii="Arial" w:hAnsi="Arial" w:cs="Arial"/>
          <w:bCs/>
          <w:sz w:val="24"/>
          <w:szCs w:val="24"/>
        </w:rPr>
        <w:t xml:space="preserve">However, the Amendment Regulation also </w:t>
      </w:r>
      <w:r w:rsidR="002C7509" w:rsidRPr="00DD2D3B">
        <w:rPr>
          <w:rFonts w:ascii="Arial" w:hAnsi="Arial" w:cs="Arial"/>
          <w:bCs/>
          <w:sz w:val="24"/>
          <w:szCs w:val="24"/>
        </w:rPr>
        <w:lastRenderedPageBreak/>
        <w:t>makes CWPOs that have been successful</w:t>
      </w:r>
      <w:r w:rsidR="00FA6DAF">
        <w:rPr>
          <w:rFonts w:ascii="Arial" w:hAnsi="Arial" w:cs="Arial"/>
          <w:bCs/>
          <w:sz w:val="24"/>
          <w:szCs w:val="24"/>
        </w:rPr>
        <w:t>ly</w:t>
      </w:r>
      <w:r w:rsidR="002C7509" w:rsidRPr="00DD2D3B">
        <w:rPr>
          <w:rFonts w:ascii="Arial" w:hAnsi="Arial" w:cs="Arial"/>
          <w:bCs/>
          <w:sz w:val="24"/>
          <w:szCs w:val="24"/>
        </w:rPr>
        <w:t xml:space="preserve"> appealed against a discretionary criteria. This approach ensures that the </w:t>
      </w:r>
      <w:r w:rsidR="00CE767C" w:rsidRPr="00DD2D3B">
        <w:rPr>
          <w:rFonts w:ascii="Arial" w:hAnsi="Arial" w:cs="Arial"/>
          <w:bCs/>
          <w:sz w:val="24"/>
          <w:szCs w:val="24"/>
        </w:rPr>
        <w:t xml:space="preserve">Amendment Regulation extends discretionary criteria to include CWPOs that are successfully appealed </w:t>
      </w:r>
      <w:r w:rsidR="00B06DE2" w:rsidRPr="00DD2D3B">
        <w:rPr>
          <w:rFonts w:ascii="Arial" w:hAnsi="Arial" w:cs="Arial"/>
          <w:bCs/>
          <w:sz w:val="24"/>
          <w:szCs w:val="24"/>
        </w:rPr>
        <w:t xml:space="preserve">against and thereby </w:t>
      </w:r>
      <w:r w:rsidR="00242B78" w:rsidRPr="00DD2D3B">
        <w:rPr>
          <w:rFonts w:ascii="Arial" w:hAnsi="Arial" w:cs="Arial"/>
          <w:bCs/>
          <w:sz w:val="24"/>
          <w:szCs w:val="24"/>
        </w:rPr>
        <w:t xml:space="preserve">prioritises the protection and safety of the community. This is also addressed in the </w:t>
      </w:r>
      <w:r w:rsidR="004D3D4E" w:rsidRPr="00DD2D3B">
        <w:rPr>
          <w:rFonts w:ascii="Arial" w:hAnsi="Arial" w:cs="Arial"/>
          <w:bCs/>
          <w:sz w:val="24"/>
          <w:szCs w:val="24"/>
        </w:rPr>
        <w:t xml:space="preserve">consistency with human rights section. </w:t>
      </w:r>
    </w:p>
    <w:p w14:paraId="38364111" w14:textId="02520765" w:rsidR="007D680D" w:rsidRPr="007D35AE" w:rsidRDefault="007D680D" w:rsidP="00B75AF8">
      <w:pPr>
        <w:rPr>
          <w:rFonts w:ascii="Arial" w:hAnsi="Arial" w:cs="Arial"/>
          <w:bCs/>
          <w:sz w:val="24"/>
          <w:szCs w:val="24"/>
          <w:u w:val="single"/>
        </w:rPr>
      </w:pPr>
      <w:r w:rsidRPr="007D35AE">
        <w:rPr>
          <w:rFonts w:ascii="Arial" w:hAnsi="Arial" w:cs="Arial"/>
          <w:bCs/>
          <w:sz w:val="24"/>
          <w:szCs w:val="24"/>
          <w:u w:val="single"/>
        </w:rPr>
        <w:t>Mandatory criteria under section 19 of the Firearms Act and mandatory criterial prescribed by Regulation</w:t>
      </w:r>
    </w:p>
    <w:p w14:paraId="3FBDE123" w14:textId="7DA18347" w:rsidR="00B32DFD" w:rsidRDefault="00B32DFD" w:rsidP="00B75AF8">
      <w:pPr>
        <w:rPr>
          <w:rFonts w:ascii="Arial" w:hAnsi="Arial" w:cs="Arial"/>
          <w:bCs/>
          <w:sz w:val="24"/>
          <w:szCs w:val="24"/>
        </w:rPr>
      </w:pPr>
      <w:r>
        <w:rPr>
          <w:rFonts w:ascii="Arial" w:hAnsi="Arial" w:cs="Arial"/>
          <w:bCs/>
          <w:sz w:val="24"/>
          <w:szCs w:val="24"/>
        </w:rPr>
        <w:t>Section 19(1)(c) of the Firearms Act pro</w:t>
      </w:r>
      <w:r w:rsidR="00380D5F">
        <w:rPr>
          <w:rFonts w:ascii="Arial" w:hAnsi="Arial" w:cs="Arial"/>
          <w:bCs/>
          <w:sz w:val="24"/>
          <w:szCs w:val="24"/>
        </w:rPr>
        <w:t xml:space="preserve">vides that, for section 17, </w:t>
      </w:r>
      <w:r w:rsidR="00380D5F" w:rsidRPr="00380D5F">
        <w:rPr>
          <w:rFonts w:ascii="Arial" w:hAnsi="Arial" w:cs="Arial"/>
          <w:bCs/>
          <w:sz w:val="24"/>
          <w:szCs w:val="24"/>
        </w:rPr>
        <w:t>mandatory criteria in relation to an individual</w:t>
      </w:r>
      <w:r w:rsidR="004A53F6">
        <w:rPr>
          <w:rFonts w:ascii="Arial" w:hAnsi="Arial" w:cs="Arial"/>
          <w:bCs/>
          <w:sz w:val="24"/>
          <w:szCs w:val="24"/>
        </w:rPr>
        <w:t xml:space="preserve"> includes if </w:t>
      </w:r>
      <w:r w:rsidR="004A53F6" w:rsidRPr="004A53F6">
        <w:rPr>
          <w:rFonts w:ascii="Arial" w:hAnsi="Arial" w:cs="Arial"/>
          <w:bCs/>
          <w:sz w:val="24"/>
          <w:szCs w:val="24"/>
        </w:rPr>
        <w:t>the individual is not suitable because of a reason prescribed by regulation.</w:t>
      </w:r>
    </w:p>
    <w:p w14:paraId="61B0C612" w14:textId="6583C785" w:rsidR="00090B9B" w:rsidRDefault="00090B9B" w:rsidP="00B75AF8">
      <w:pPr>
        <w:rPr>
          <w:rFonts w:ascii="Arial" w:hAnsi="Arial" w:cs="Arial"/>
          <w:bCs/>
          <w:sz w:val="24"/>
          <w:szCs w:val="24"/>
        </w:rPr>
      </w:pPr>
      <w:r w:rsidRPr="00090B9B">
        <w:rPr>
          <w:rFonts w:ascii="Arial" w:hAnsi="Arial" w:cs="Arial"/>
          <w:bCs/>
          <w:sz w:val="24"/>
          <w:szCs w:val="24"/>
        </w:rPr>
        <w:t>Section 19 of the Firearms Act provides that for section 17, the mandatory criteria include an individual who within the last 10 years has been subject to a final protection order other than an order that has been revoked or successfully appealed against.</w:t>
      </w:r>
    </w:p>
    <w:p w14:paraId="07235CF7" w14:textId="71E1B55F" w:rsidR="006718FA" w:rsidRDefault="00090B9B" w:rsidP="00B75AF8">
      <w:pPr>
        <w:rPr>
          <w:rFonts w:ascii="Arial" w:hAnsi="Arial" w:cs="Arial"/>
          <w:sz w:val="24"/>
          <w:szCs w:val="24"/>
        </w:rPr>
      </w:pPr>
      <w:r w:rsidRPr="00090B9B">
        <w:rPr>
          <w:rFonts w:ascii="Arial" w:hAnsi="Arial" w:cs="Arial"/>
          <w:bCs/>
          <w:sz w:val="24"/>
          <w:szCs w:val="24"/>
        </w:rPr>
        <w:t xml:space="preserve">Subsection 3 of the Amendment </w:t>
      </w:r>
      <w:r>
        <w:rPr>
          <w:rFonts w:ascii="Arial" w:hAnsi="Arial" w:cs="Arial"/>
          <w:bCs/>
          <w:sz w:val="24"/>
          <w:szCs w:val="24"/>
        </w:rPr>
        <w:t xml:space="preserve">adopts the same approach and is therefore consistent. </w:t>
      </w:r>
      <w:r w:rsidR="006C44D3" w:rsidRPr="008241D6">
        <w:rPr>
          <w:rFonts w:ascii="Arial" w:hAnsi="Arial" w:cs="Arial"/>
          <w:bCs/>
          <w:sz w:val="24"/>
          <w:szCs w:val="24"/>
        </w:rPr>
        <w:t xml:space="preserve">Subsection 3 </w:t>
      </w:r>
      <w:r w:rsidR="006718FA" w:rsidRPr="008241D6">
        <w:rPr>
          <w:rFonts w:ascii="Arial" w:hAnsi="Arial" w:cs="Arial"/>
          <w:bCs/>
          <w:sz w:val="24"/>
          <w:szCs w:val="24"/>
        </w:rPr>
        <w:t xml:space="preserve">provides that, </w:t>
      </w:r>
      <w:r w:rsidR="005E7C46" w:rsidRPr="008241D6">
        <w:rPr>
          <w:rFonts w:ascii="Arial" w:hAnsi="Arial" w:cs="Arial"/>
          <w:bCs/>
          <w:sz w:val="24"/>
          <w:szCs w:val="24"/>
        </w:rPr>
        <w:t>f</w:t>
      </w:r>
      <w:r w:rsidR="006718FA" w:rsidRPr="008241D6">
        <w:rPr>
          <w:rFonts w:ascii="Arial" w:hAnsi="Arial" w:cs="Arial"/>
          <w:sz w:val="24"/>
          <w:szCs w:val="24"/>
        </w:rPr>
        <w:t xml:space="preserve">or the Act, section 19 (1) (c), a prescribed reason is that, within the 10 years before the day the registrar makes the decision, the individual has been subject to a final order or consent order under the </w:t>
      </w:r>
      <w:r w:rsidR="005E7C46" w:rsidRPr="008241D6">
        <w:rPr>
          <w:rFonts w:ascii="Arial" w:hAnsi="Arial" w:cs="Arial"/>
          <w:sz w:val="24"/>
          <w:szCs w:val="24"/>
        </w:rPr>
        <w:t xml:space="preserve">CWPO, </w:t>
      </w:r>
      <w:r w:rsidR="006718FA" w:rsidRPr="008241D6">
        <w:rPr>
          <w:rFonts w:ascii="Arial" w:hAnsi="Arial" w:cs="Arial"/>
          <w:i/>
          <w:iCs/>
          <w:sz w:val="24"/>
          <w:szCs w:val="24"/>
        </w:rPr>
        <w:t>other than</w:t>
      </w:r>
      <w:r w:rsidR="006718FA" w:rsidRPr="008241D6">
        <w:rPr>
          <w:rFonts w:ascii="Arial" w:hAnsi="Arial" w:cs="Arial"/>
          <w:sz w:val="24"/>
          <w:szCs w:val="24"/>
        </w:rPr>
        <w:t xml:space="preserve"> an order that has been revoked</w:t>
      </w:r>
      <w:r w:rsidR="005E7C46" w:rsidRPr="008241D6">
        <w:rPr>
          <w:rFonts w:ascii="Arial" w:hAnsi="Arial" w:cs="Arial"/>
          <w:sz w:val="24"/>
          <w:szCs w:val="24"/>
        </w:rPr>
        <w:t xml:space="preserve"> or, for a final order,</w:t>
      </w:r>
      <w:r w:rsidR="008241D6" w:rsidRPr="008241D6">
        <w:rPr>
          <w:rFonts w:ascii="Arial" w:hAnsi="Arial" w:cs="Arial"/>
          <w:sz w:val="24"/>
          <w:szCs w:val="24"/>
        </w:rPr>
        <w:t xml:space="preserve"> </w:t>
      </w:r>
      <w:r w:rsidR="006718FA" w:rsidRPr="008241D6">
        <w:rPr>
          <w:rFonts w:ascii="Arial" w:hAnsi="Arial" w:cs="Arial"/>
          <w:sz w:val="24"/>
          <w:szCs w:val="24"/>
        </w:rPr>
        <w:t>successfully appealed against.</w:t>
      </w:r>
    </w:p>
    <w:p w14:paraId="021E52BC" w14:textId="1F94C4E4" w:rsidR="00A87C49" w:rsidRPr="00480E02" w:rsidRDefault="00480E02" w:rsidP="00B75AF8">
      <w:pPr>
        <w:rPr>
          <w:rFonts w:ascii="Arial" w:hAnsi="Arial" w:cs="Arial"/>
          <w:sz w:val="24"/>
          <w:szCs w:val="24"/>
          <w:u w:val="single"/>
        </w:rPr>
      </w:pPr>
      <w:r>
        <w:rPr>
          <w:rFonts w:ascii="Arial" w:hAnsi="Arial" w:cs="Arial"/>
          <w:sz w:val="24"/>
          <w:szCs w:val="24"/>
          <w:u w:val="single"/>
        </w:rPr>
        <w:t>Explainer regarding e</w:t>
      </w:r>
      <w:r w:rsidRPr="00480E02">
        <w:rPr>
          <w:rFonts w:ascii="Arial" w:hAnsi="Arial" w:cs="Arial"/>
          <w:sz w:val="24"/>
          <w:szCs w:val="24"/>
          <w:u w:val="single"/>
        </w:rPr>
        <w:t>nforcement</w:t>
      </w:r>
      <w:r w:rsidR="00DC4B37">
        <w:rPr>
          <w:rFonts w:ascii="Arial" w:hAnsi="Arial" w:cs="Arial"/>
          <w:sz w:val="24"/>
          <w:szCs w:val="24"/>
          <w:u w:val="single"/>
        </w:rPr>
        <w:t xml:space="preserve"> process</w:t>
      </w:r>
      <w:r w:rsidR="00DD2D3B">
        <w:rPr>
          <w:rFonts w:ascii="Arial" w:hAnsi="Arial" w:cs="Arial"/>
          <w:sz w:val="24"/>
          <w:szCs w:val="24"/>
          <w:u w:val="single"/>
        </w:rPr>
        <w:t>es</w:t>
      </w:r>
    </w:p>
    <w:p w14:paraId="443B6735" w14:textId="20817E0D" w:rsidR="00480E02" w:rsidRDefault="00480E02" w:rsidP="00B75AF8">
      <w:pPr>
        <w:rPr>
          <w:rFonts w:ascii="Arial" w:hAnsi="Arial" w:cs="Arial"/>
          <w:sz w:val="24"/>
          <w:szCs w:val="24"/>
        </w:rPr>
      </w:pPr>
      <w:r>
        <w:rPr>
          <w:rFonts w:ascii="Arial" w:hAnsi="Arial" w:cs="Arial"/>
          <w:sz w:val="24"/>
          <w:szCs w:val="24"/>
        </w:rPr>
        <w:t>Currently, t</w:t>
      </w:r>
      <w:r w:rsidRPr="00480E02">
        <w:rPr>
          <w:rFonts w:ascii="Arial" w:hAnsi="Arial" w:cs="Arial"/>
          <w:sz w:val="24"/>
          <w:szCs w:val="24"/>
        </w:rPr>
        <w:t>he Court notifies the ACT Firearms Registry of every Family Violence Order (incl</w:t>
      </w:r>
      <w:r>
        <w:rPr>
          <w:rFonts w:ascii="Arial" w:hAnsi="Arial" w:cs="Arial"/>
          <w:sz w:val="24"/>
          <w:szCs w:val="24"/>
        </w:rPr>
        <w:t>uding</w:t>
      </w:r>
      <w:r w:rsidRPr="00480E02">
        <w:rPr>
          <w:rFonts w:ascii="Arial" w:hAnsi="Arial" w:cs="Arial"/>
          <w:sz w:val="24"/>
          <w:szCs w:val="24"/>
        </w:rPr>
        <w:t xml:space="preserve"> interim and other protection orders).</w:t>
      </w:r>
      <w:r>
        <w:rPr>
          <w:rFonts w:ascii="Arial" w:hAnsi="Arial" w:cs="Arial"/>
          <w:sz w:val="24"/>
          <w:szCs w:val="24"/>
        </w:rPr>
        <w:t xml:space="preserve"> </w:t>
      </w:r>
      <w:r w:rsidR="00DC4B37">
        <w:rPr>
          <w:rFonts w:ascii="Arial" w:hAnsi="Arial" w:cs="Arial"/>
          <w:sz w:val="24"/>
          <w:szCs w:val="24"/>
        </w:rPr>
        <w:t xml:space="preserve">Upon commencement, the process for any CWPOs is very likely to </w:t>
      </w:r>
      <w:r w:rsidR="00FA6DAF">
        <w:rPr>
          <w:rFonts w:ascii="Arial" w:hAnsi="Arial" w:cs="Arial"/>
          <w:sz w:val="24"/>
          <w:szCs w:val="24"/>
        </w:rPr>
        <w:t>closely resemble</w:t>
      </w:r>
      <w:r w:rsidR="009E5ECA">
        <w:rPr>
          <w:rFonts w:ascii="Arial" w:hAnsi="Arial" w:cs="Arial"/>
          <w:sz w:val="24"/>
          <w:szCs w:val="24"/>
        </w:rPr>
        <w:t xml:space="preserve"> the process for family violence and protection orders. </w:t>
      </w:r>
    </w:p>
    <w:p w14:paraId="4D7D8CD2" w14:textId="0D99A497" w:rsidR="005E015E" w:rsidRPr="0073484F" w:rsidRDefault="0073484F" w:rsidP="00B75AF8">
      <w:pPr>
        <w:rPr>
          <w:rFonts w:ascii="Arial" w:hAnsi="Arial" w:cs="Arial"/>
          <w:sz w:val="24"/>
          <w:szCs w:val="24"/>
          <w:u w:val="single"/>
        </w:rPr>
      </w:pPr>
      <w:r w:rsidRPr="0073484F">
        <w:rPr>
          <w:rFonts w:ascii="Arial" w:hAnsi="Arial" w:cs="Arial"/>
          <w:sz w:val="24"/>
          <w:szCs w:val="24"/>
          <w:u w:val="single"/>
        </w:rPr>
        <w:t>Commencement</w:t>
      </w:r>
    </w:p>
    <w:p w14:paraId="0871EEBE" w14:textId="4A4CE57E" w:rsidR="005E015E" w:rsidRPr="008241D6" w:rsidRDefault="00CD3D5C" w:rsidP="00615FCE">
      <w:pPr>
        <w:rPr>
          <w:rFonts w:ascii="Arial" w:hAnsi="Arial" w:cs="Arial"/>
          <w:bCs/>
          <w:sz w:val="24"/>
          <w:szCs w:val="24"/>
        </w:rPr>
      </w:pPr>
      <w:r w:rsidRPr="00CD3D5C">
        <w:rPr>
          <w:rFonts w:ascii="Arial" w:hAnsi="Arial" w:cs="Arial"/>
          <w:bCs/>
          <w:sz w:val="24"/>
          <w:szCs w:val="24"/>
        </w:rPr>
        <w:t>This regulation commences on the later of</w:t>
      </w:r>
      <w:r w:rsidR="00E25024">
        <w:rPr>
          <w:rFonts w:ascii="Arial" w:hAnsi="Arial" w:cs="Arial"/>
          <w:bCs/>
          <w:sz w:val="24"/>
          <w:szCs w:val="24"/>
        </w:rPr>
        <w:t xml:space="preserve"> </w:t>
      </w:r>
      <w:r w:rsidRPr="00CD3D5C">
        <w:rPr>
          <w:rFonts w:ascii="Arial" w:hAnsi="Arial" w:cs="Arial"/>
          <w:bCs/>
          <w:sz w:val="24"/>
          <w:szCs w:val="24"/>
        </w:rPr>
        <w:t>the commencement of the</w:t>
      </w:r>
      <w:r w:rsidR="00E25024">
        <w:rPr>
          <w:rFonts w:ascii="Arial" w:hAnsi="Arial" w:cs="Arial"/>
          <w:bCs/>
          <w:sz w:val="24"/>
          <w:szCs w:val="24"/>
        </w:rPr>
        <w:t xml:space="preserve"> CWPO Act </w:t>
      </w:r>
      <w:r w:rsidRPr="00CD3D5C">
        <w:rPr>
          <w:rFonts w:ascii="Arial" w:hAnsi="Arial" w:cs="Arial"/>
          <w:bCs/>
          <w:sz w:val="24"/>
          <w:szCs w:val="24"/>
        </w:rPr>
        <w:t>and</w:t>
      </w:r>
      <w:r w:rsidR="00E25024">
        <w:rPr>
          <w:rFonts w:ascii="Arial" w:hAnsi="Arial" w:cs="Arial"/>
          <w:bCs/>
          <w:sz w:val="24"/>
          <w:szCs w:val="24"/>
        </w:rPr>
        <w:t xml:space="preserve"> </w:t>
      </w:r>
      <w:r w:rsidRPr="00CD3D5C">
        <w:rPr>
          <w:rFonts w:ascii="Arial" w:hAnsi="Arial" w:cs="Arial"/>
          <w:bCs/>
          <w:sz w:val="24"/>
          <w:szCs w:val="24"/>
        </w:rPr>
        <w:t>the day after this regulation’s notification day.</w:t>
      </w:r>
      <w:r w:rsidR="005A6217">
        <w:rPr>
          <w:rFonts w:ascii="Arial" w:hAnsi="Arial" w:cs="Arial"/>
          <w:bCs/>
          <w:sz w:val="24"/>
          <w:szCs w:val="24"/>
        </w:rPr>
        <w:t xml:space="preserve"> Importantly, </w:t>
      </w:r>
      <w:r w:rsidR="00615FCE">
        <w:rPr>
          <w:rFonts w:ascii="Arial" w:hAnsi="Arial" w:cs="Arial"/>
          <w:bCs/>
          <w:sz w:val="24"/>
          <w:szCs w:val="24"/>
        </w:rPr>
        <w:t>s</w:t>
      </w:r>
      <w:r w:rsidR="00615FCE" w:rsidRPr="00615FCE">
        <w:rPr>
          <w:rFonts w:ascii="Arial" w:hAnsi="Arial" w:cs="Arial"/>
          <w:bCs/>
          <w:sz w:val="24"/>
          <w:szCs w:val="24"/>
        </w:rPr>
        <w:t>ection 65A applies in relation to the making of a decision on or after the commencement day, even if</w:t>
      </w:r>
      <w:r w:rsidR="002611D5">
        <w:rPr>
          <w:rFonts w:ascii="Arial" w:hAnsi="Arial" w:cs="Arial"/>
          <w:bCs/>
          <w:sz w:val="24"/>
          <w:szCs w:val="24"/>
        </w:rPr>
        <w:t xml:space="preserve"> </w:t>
      </w:r>
      <w:r w:rsidR="00615FCE" w:rsidRPr="00615FCE">
        <w:rPr>
          <w:rFonts w:ascii="Arial" w:hAnsi="Arial" w:cs="Arial"/>
          <w:bCs/>
          <w:sz w:val="24"/>
          <w:szCs w:val="24"/>
        </w:rPr>
        <w:t xml:space="preserve">the relevant </w:t>
      </w:r>
      <w:r w:rsidR="002611D5">
        <w:rPr>
          <w:rFonts w:ascii="Arial" w:hAnsi="Arial" w:cs="Arial"/>
          <w:bCs/>
          <w:sz w:val="24"/>
          <w:szCs w:val="24"/>
        </w:rPr>
        <w:t xml:space="preserve">CWPO was made </w:t>
      </w:r>
      <w:r w:rsidR="00156650">
        <w:rPr>
          <w:rFonts w:ascii="Arial" w:hAnsi="Arial" w:cs="Arial"/>
          <w:bCs/>
          <w:sz w:val="24"/>
          <w:szCs w:val="24"/>
        </w:rPr>
        <w:t xml:space="preserve">before that day or </w:t>
      </w:r>
      <w:r w:rsidR="00615FCE" w:rsidRPr="00615FCE">
        <w:rPr>
          <w:rFonts w:ascii="Arial" w:hAnsi="Arial" w:cs="Arial"/>
          <w:bCs/>
          <w:sz w:val="24"/>
          <w:szCs w:val="24"/>
        </w:rPr>
        <w:t>the application was made before that day.</w:t>
      </w:r>
    </w:p>
    <w:p w14:paraId="1E002791" w14:textId="569076C7" w:rsidR="00E90DF9" w:rsidRPr="00510E6E" w:rsidRDefault="0016621C" w:rsidP="00E90DF9">
      <w:pPr>
        <w:pStyle w:val="Heading2"/>
        <w:rPr>
          <w:rFonts w:cs="Arial"/>
          <w:szCs w:val="24"/>
        </w:rPr>
      </w:pPr>
      <w:r w:rsidRPr="00510E6E">
        <w:rPr>
          <w:rFonts w:cs="Arial"/>
          <w:szCs w:val="24"/>
        </w:rPr>
        <w:t>IMPACT ON</w:t>
      </w:r>
      <w:r w:rsidR="00E90DF9" w:rsidRPr="00510E6E">
        <w:rPr>
          <w:rFonts w:cs="Arial"/>
          <w:szCs w:val="24"/>
        </w:rPr>
        <w:t xml:space="preserve"> HUMAN RIGHTS</w:t>
      </w:r>
    </w:p>
    <w:p w14:paraId="774721D1" w14:textId="77777777" w:rsidR="00E90DF9" w:rsidRPr="00510E6E" w:rsidRDefault="00E90DF9" w:rsidP="00E90DF9">
      <w:pPr>
        <w:rPr>
          <w:rFonts w:ascii="Arial" w:hAnsi="Arial" w:cs="Arial"/>
          <w:b/>
          <w:bCs/>
          <w:i/>
          <w:sz w:val="24"/>
          <w:szCs w:val="24"/>
        </w:rPr>
      </w:pPr>
      <w:r w:rsidRPr="00510E6E">
        <w:rPr>
          <w:rFonts w:ascii="Arial" w:hAnsi="Arial" w:cs="Arial"/>
          <w:b/>
          <w:bCs/>
          <w:i/>
          <w:sz w:val="24"/>
          <w:szCs w:val="24"/>
        </w:rPr>
        <w:t>Rights Promoted</w:t>
      </w:r>
    </w:p>
    <w:p w14:paraId="002E2ACB" w14:textId="0E6DEC09" w:rsidR="00BC12D3" w:rsidRPr="00510E6E" w:rsidRDefault="00BC12D3" w:rsidP="00F666F4">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By ensuring the registrar has clear grounds to act where a CWPO is made against the holder of a firearms licence the </w:t>
      </w:r>
      <w:r w:rsidR="00F666F4" w:rsidRPr="00510E6E">
        <w:rPr>
          <w:rFonts w:ascii="Arial" w:hAnsi="Arial" w:cs="Arial"/>
          <w:iCs/>
          <w:sz w:val="24"/>
          <w:szCs w:val="24"/>
        </w:rPr>
        <w:t xml:space="preserve">Amendment Regulation </w:t>
      </w:r>
      <w:r w:rsidRPr="00510E6E">
        <w:rPr>
          <w:rFonts w:ascii="Arial" w:hAnsi="Arial" w:cs="Arial"/>
          <w:iCs/>
          <w:sz w:val="24"/>
          <w:szCs w:val="24"/>
        </w:rPr>
        <w:t xml:space="preserve">will address risks to community safety and accordingly promote the right to life protected under section 9 of the </w:t>
      </w:r>
      <w:r w:rsidRPr="00510E6E">
        <w:rPr>
          <w:rFonts w:ascii="Arial" w:hAnsi="Arial" w:cs="Arial"/>
          <w:i/>
          <w:sz w:val="24"/>
          <w:szCs w:val="24"/>
        </w:rPr>
        <w:t>Human Rights Act 2004</w:t>
      </w:r>
      <w:r w:rsidRPr="00510E6E">
        <w:rPr>
          <w:rFonts w:ascii="Arial" w:hAnsi="Arial" w:cs="Arial"/>
          <w:iCs/>
          <w:sz w:val="24"/>
          <w:szCs w:val="24"/>
        </w:rPr>
        <w:t xml:space="preserve"> (Human Rights Act). </w:t>
      </w:r>
    </w:p>
    <w:p w14:paraId="54FE1438" w14:textId="29391C0A" w:rsidR="00E90DF9" w:rsidRPr="00510E6E" w:rsidRDefault="00E90DF9" w:rsidP="00E90DF9">
      <w:pPr>
        <w:rPr>
          <w:rFonts w:ascii="Arial" w:hAnsi="Arial" w:cs="Arial"/>
          <w:b/>
          <w:bCs/>
          <w:i/>
          <w:sz w:val="24"/>
          <w:szCs w:val="24"/>
        </w:rPr>
      </w:pPr>
      <w:r w:rsidRPr="00510E6E">
        <w:rPr>
          <w:rFonts w:ascii="Arial" w:hAnsi="Arial" w:cs="Arial"/>
          <w:b/>
          <w:bCs/>
          <w:i/>
          <w:sz w:val="24"/>
          <w:szCs w:val="24"/>
        </w:rPr>
        <w:t>Rights Limited</w:t>
      </w:r>
    </w:p>
    <w:p w14:paraId="39978987" w14:textId="77777777" w:rsidR="00E90DF9" w:rsidRPr="00510E6E" w:rsidRDefault="00E90DF9" w:rsidP="00E90DF9">
      <w:pPr>
        <w:pStyle w:val="ListParagraph"/>
        <w:numPr>
          <w:ilvl w:val="0"/>
          <w:numId w:val="1"/>
        </w:numPr>
        <w:rPr>
          <w:rFonts w:ascii="Arial" w:hAnsi="Arial" w:cs="Arial"/>
          <w:b/>
          <w:bCs/>
          <w:i/>
          <w:sz w:val="24"/>
          <w:szCs w:val="24"/>
        </w:rPr>
      </w:pPr>
      <w:r w:rsidRPr="00510E6E">
        <w:rPr>
          <w:rFonts w:ascii="Arial" w:hAnsi="Arial" w:cs="Arial"/>
          <w:b/>
          <w:bCs/>
          <w:i/>
          <w:sz w:val="24"/>
          <w:szCs w:val="24"/>
        </w:rPr>
        <w:lastRenderedPageBreak/>
        <w:t>Nature of the right and the limitation (s28(a) and (c))</w:t>
      </w:r>
    </w:p>
    <w:p w14:paraId="736BDF29" w14:textId="1AFB3913" w:rsidR="003D4EF1" w:rsidRPr="00510E6E" w:rsidRDefault="003D4EF1" w:rsidP="008F4FB6">
      <w:pPr>
        <w:widowControl w:val="0"/>
        <w:spacing w:before="120" w:after="120" w:line="240" w:lineRule="auto"/>
        <w:jc w:val="both"/>
        <w:rPr>
          <w:rFonts w:ascii="Arial" w:hAnsi="Arial" w:cs="Arial"/>
          <w:iCs/>
          <w:sz w:val="24"/>
          <w:szCs w:val="24"/>
        </w:rPr>
      </w:pPr>
      <w:r w:rsidRPr="00510E6E">
        <w:rPr>
          <w:rFonts w:ascii="Arial" w:hAnsi="Arial" w:cs="Arial"/>
          <w:iCs/>
          <w:sz w:val="24"/>
          <w:szCs w:val="24"/>
        </w:rPr>
        <w:t>The amendments may limit the right to a fair trial (section 22). By providing that a person who is or has been subject to a final CWPO must be assessed as unsuitable to possess a licence (and accordingly be refused a licence or have an existing licence cancelled), the amendments may restrict a person’s ability to challenge key administrative decisions of the Registrar.</w:t>
      </w:r>
    </w:p>
    <w:p w14:paraId="6484FB59" w14:textId="3DE4F064" w:rsidR="00212A84" w:rsidRPr="00510E6E" w:rsidRDefault="001A4F8D" w:rsidP="008F4FB6">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The Amending Regulation requires the Registrar to consider </w:t>
      </w:r>
      <w:r w:rsidR="00AA3297" w:rsidRPr="00510E6E">
        <w:rPr>
          <w:rFonts w:ascii="Arial" w:hAnsi="Arial" w:cs="Arial"/>
          <w:iCs/>
          <w:sz w:val="24"/>
          <w:szCs w:val="24"/>
        </w:rPr>
        <w:t>CWPOs that have been successfu</w:t>
      </w:r>
      <w:r w:rsidR="00FA6DAF">
        <w:rPr>
          <w:rFonts w:ascii="Arial" w:hAnsi="Arial" w:cs="Arial"/>
          <w:iCs/>
          <w:sz w:val="24"/>
          <w:szCs w:val="24"/>
        </w:rPr>
        <w:t>l</w:t>
      </w:r>
      <w:r w:rsidR="00AA3297" w:rsidRPr="00510E6E">
        <w:rPr>
          <w:rFonts w:ascii="Arial" w:hAnsi="Arial" w:cs="Arial"/>
          <w:iCs/>
          <w:sz w:val="24"/>
          <w:szCs w:val="24"/>
        </w:rPr>
        <w:t>l</w:t>
      </w:r>
      <w:r w:rsidR="00FA6DAF">
        <w:rPr>
          <w:rFonts w:ascii="Arial" w:hAnsi="Arial" w:cs="Arial"/>
          <w:iCs/>
          <w:sz w:val="24"/>
          <w:szCs w:val="24"/>
        </w:rPr>
        <w:t>y</w:t>
      </w:r>
      <w:r w:rsidR="00AA3297" w:rsidRPr="00510E6E">
        <w:rPr>
          <w:rFonts w:ascii="Arial" w:hAnsi="Arial" w:cs="Arial"/>
          <w:iCs/>
          <w:sz w:val="24"/>
          <w:szCs w:val="24"/>
        </w:rPr>
        <w:t xml:space="preserve"> appealed against </w:t>
      </w:r>
      <w:r w:rsidR="00122BF6" w:rsidRPr="00510E6E">
        <w:rPr>
          <w:rFonts w:ascii="Arial" w:hAnsi="Arial" w:cs="Arial"/>
          <w:iCs/>
          <w:sz w:val="24"/>
          <w:szCs w:val="24"/>
        </w:rPr>
        <w:t xml:space="preserve">as </w:t>
      </w:r>
      <w:r w:rsidR="00AA3297" w:rsidRPr="00510E6E">
        <w:rPr>
          <w:rFonts w:ascii="Arial" w:hAnsi="Arial" w:cs="Arial"/>
          <w:iCs/>
          <w:sz w:val="24"/>
          <w:szCs w:val="24"/>
        </w:rPr>
        <w:t>a discretionary criteria</w:t>
      </w:r>
      <w:r w:rsidR="00122BF6" w:rsidRPr="00510E6E">
        <w:rPr>
          <w:rFonts w:ascii="Arial" w:hAnsi="Arial" w:cs="Arial"/>
          <w:iCs/>
          <w:sz w:val="24"/>
          <w:szCs w:val="24"/>
        </w:rPr>
        <w:t xml:space="preserve"> under section 18</w:t>
      </w:r>
      <w:r w:rsidR="00AA3297" w:rsidRPr="00510E6E">
        <w:rPr>
          <w:rFonts w:ascii="Arial" w:hAnsi="Arial" w:cs="Arial"/>
          <w:iCs/>
          <w:sz w:val="24"/>
          <w:szCs w:val="24"/>
        </w:rPr>
        <w:t>.</w:t>
      </w:r>
      <w:r w:rsidR="00122BF6" w:rsidRPr="00510E6E">
        <w:rPr>
          <w:rFonts w:ascii="Arial" w:hAnsi="Arial" w:cs="Arial"/>
          <w:iCs/>
          <w:sz w:val="24"/>
          <w:szCs w:val="24"/>
        </w:rPr>
        <w:t xml:space="preserve"> This may </w:t>
      </w:r>
      <w:r w:rsidR="00BD3556" w:rsidRPr="00510E6E">
        <w:rPr>
          <w:rFonts w:ascii="Arial" w:hAnsi="Arial" w:cs="Arial"/>
          <w:iCs/>
          <w:sz w:val="24"/>
          <w:szCs w:val="24"/>
        </w:rPr>
        <w:t>also limit the right to a fair trial.</w:t>
      </w:r>
    </w:p>
    <w:p w14:paraId="495A8AA1" w14:textId="7EB8C716" w:rsidR="00DB1445" w:rsidRDefault="009F0D02" w:rsidP="00DB1445">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The Amendment Regulation provides that the registrar must consider </w:t>
      </w:r>
      <w:r w:rsidR="00254F1C" w:rsidRPr="00510E6E">
        <w:rPr>
          <w:rFonts w:ascii="Arial" w:hAnsi="Arial" w:cs="Arial"/>
          <w:iCs/>
          <w:sz w:val="24"/>
          <w:szCs w:val="24"/>
        </w:rPr>
        <w:t xml:space="preserve">an order made under the CWPO even if </w:t>
      </w:r>
      <w:r w:rsidR="00A9762A" w:rsidRPr="00510E6E">
        <w:rPr>
          <w:rFonts w:ascii="Arial" w:hAnsi="Arial" w:cs="Arial"/>
          <w:iCs/>
          <w:sz w:val="24"/>
          <w:szCs w:val="24"/>
        </w:rPr>
        <w:t xml:space="preserve">the relevant </w:t>
      </w:r>
      <w:r w:rsidR="00804962" w:rsidRPr="00510E6E">
        <w:rPr>
          <w:rFonts w:ascii="Arial" w:hAnsi="Arial" w:cs="Arial"/>
          <w:iCs/>
          <w:sz w:val="24"/>
          <w:szCs w:val="24"/>
        </w:rPr>
        <w:t>order was made before commencement of the Regulation</w:t>
      </w:r>
      <w:r w:rsidR="00DB1445">
        <w:rPr>
          <w:rFonts w:ascii="Arial" w:hAnsi="Arial" w:cs="Arial"/>
          <w:iCs/>
          <w:sz w:val="24"/>
          <w:szCs w:val="24"/>
        </w:rPr>
        <w:t xml:space="preserve"> and, </w:t>
      </w:r>
      <w:r w:rsidR="00DB1445" w:rsidRPr="00DB1445">
        <w:rPr>
          <w:rFonts w:ascii="Arial" w:hAnsi="Arial" w:cs="Arial"/>
          <w:iCs/>
          <w:sz w:val="24"/>
          <w:szCs w:val="24"/>
        </w:rPr>
        <w:t>for a decision in relation to an application under the Act</w:t>
      </w:r>
      <w:r w:rsidR="00DB1445">
        <w:rPr>
          <w:rFonts w:ascii="Arial" w:hAnsi="Arial" w:cs="Arial"/>
          <w:iCs/>
          <w:sz w:val="24"/>
          <w:szCs w:val="24"/>
        </w:rPr>
        <w:t xml:space="preserve">, </w:t>
      </w:r>
      <w:r w:rsidR="00DB1445" w:rsidRPr="00DB1445">
        <w:rPr>
          <w:rFonts w:ascii="Arial" w:hAnsi="Arial" w:cs="Arial"/>
          <w:iCs/>
          <w:sz w:val="24"/>
          <w:szCs w:val="24"/>
        </w:rPr>
        <w:t>the</w:t>
      </w:r>
      <w:r w:rsidR="00DB1445">
        <w:rPr>
          <w:rFonts w:ascii="Arial" w:hAnsi="Arial" w:cs="Arial"/>
          <w:iCs/>
          <w:sz w:val="24"/>
          <w:szCs w:val="24"/>
        </w:rPr>
        <w:t xml:space="preserve"> </w:t>
      </w:r>
      <w:r w:rsidR="00DB1445" w:rsidRPr="00DB1445">
        <w:rPr>
          <w:rFonts w:ascii="Arial" w:hAnsi="Arial" w:cs="Arial"/>
          <w:iCs/>
          <w:sz w:val="24"/>
          <w:szCs w:val="24"/>
        </w:rPr>
        <w:t>application was made before that day.</w:t>
      </w:r>
    </w:p>
    <w:p w14:paraId="21426212" w14:textId="206CC19C" w:rsidR="00290A24" w:rsidRPr="00510E6E" w:rsidRDefault="00804962" w:rsidP="00344DBD">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This may appear to limit the right </w:t>
      </w:r>
      <w:r w:rsidR="00356A1B" w:rsidRPr="00510E6E">
        <w:rPr>
          <w:rFonts w:ascii="Arial" w:hAnsi="Arial" w:cs="Arial"/>
          <w:iCs/>
          <w:sz w:val="24"/>
          <w:szCs w:val="24"/>
        </w:rPr>
        <w:t xml:space="preserve">under section 25 of the </w:t>
      </w:r>
      <w:r w:rsidR="00344DBD" w:rsidRPr="00510E6E">
        <w:rPr>
          <w:rFonts w:ascii="Arial" w:hAnsi="Arial" w:cs="Arial"/>
          <w:iCs/>
          <w:sz w:val="24"/>
          <w:szCs w:val="24"/>
        </w:rPr>
        <w:t xml:space="preserve">Human Rights Act not to be subject to retrospective laws. However, the </w:t>
      </w:r>
      <w:r w:rsidR="00F92610" w:rsidRPr="00510E6E">
        <w:rPr>
          <w:rFonts w:ascii="Arial" w:hAnsi="Arial" w:cs="Arial"/>
          <w:iCs/>
          <w:sz w:val="24"/>
          <w:szCs w:val="24"/>
        </w:rPr>
        <w:t>suitability provisions in ss 17 – 19 of the Firearms Act are not criminal offence provisions</w:t>
      </w:r>
      <w:r w:rsidR="00DB1445">
        <w:rPr>
          <w:rFonts w:ascii="Arial" w:hAnsi="Arial" w:cs="Arial"/>
          <w:iCs/>
          <w:sz w:val="24"/>
          <w:szCs w:val="24"/>
        </w:rPr>
        <w:t xml:space="preserve"> and a finding that a person is not suitable cannot be considered a punishment or penalty</w:t>
      </w:r>
      <w:r w:rsidR="0063481C" w:rsidRPr="00510E6E">
        <w:rPr>
          <w:rFonts w:ascii="Arial" w:hAnsi="Arial" w:cs="Arial"/>
          <w:iCs/>
          <w:sz w:val="24"/>
          <w:szCs w:val="24"/>
        </w:rPr>
        <w:t>.</w:t>
      </w:r>
      <w:r w:rsidR="00DB1445">
        <w:rPr>
          <w:rFonts w:ascii="Arial" w:hAnsi="Arial" w:cs="Arial"/>
          <w:iCs/>
          <w:sz w:val="24"/>
          <w:szCs w:val="24"/>
        </w:rPr>
        <w:t xml:space="preserve"> Nonetheless, </w:t>
      </w:r>
      <w:r w:rsidR="00DB1445" w:rsidRPr="00DB1445">
        <w:rPr>
          <w:rFonts w:ascii="Arial" w:hAnsi="Arial" w:cs="Arial"/>
          <w:iCs/>
          <w:sz w:val="24"/>
          <w:szCs w:val="24"/>
        </w:rPr>
        <w:t xml:space="preserve">the transitional provision </w:t>
      </w:r>
      <w:r w:rsidR="00DB1445">
        <w:rPr>
          <w:rFonts w:ascii="Arial" w:hAnsi="Arial" w:cs="Arial"/>
          <w:iCs/>
          <w:sz w:val="24"/>
          <w:szCs w:val="24"/>
        </w:rPr>
        <w:t xml:space="preserve">may result in </w:t>
      </w:r>
      <w:r w:rsidR="00DB1445" w:rsidRPr="00DB1445">
        <w:rPr>
          <w:rFonts w:ascii="Arial" w:hAnsi="Arial" w:cs="Arial"/>
          <w:iCs/>
          <w:sz w:val="24"/>
          <w:szCs w:val="24"/>
        </w:rPr>
        <w:t xml:space="preserve">retrospective </w:t>
      </w:r>
      <w:r w:rsidR="00DB1445">
        <w:rPr>
          <w:rFonts w:ascii="Arial" w:hAnsi="Arial" w:cs="Arial"/>
          <w:iCs/>
          <w:sz w:val="24"/>
          <w:szCs w:val="24"/>
        </w:rPr>
        <w:t xml:space="preserve">operation, </w:t>
      </w:r>
      <w:r w:rsidR="00DB1445" w:rsidRPr="00DB1445">
        <w:rPr>
          <w:rFonts w:ascii="Arial" w:hAnsi="Arial" w:cs="Arial"/>
          <w:iCs/>
          <w:sz w:val="24"/>
          <w:szCs w:val="24"/>
        </w:rPr>
        <w:t xml:space="preserve">in that it </w:t>
      </w:r>
      <w:r w:rsidR="00DB1445">
        <w:rPr>
          <w:rFonts w:ascii="Arial" w:hAnsi="Arial" w:cs="Arial"/>
          <w:iCs/>
          <w:sz w:val="24"/>
          <w:szCs w:val="24"/>
        </w:rPr>
        <w:t xml:space="preserve">will mean the Firearms Regulation may </w:t>
      </w:r>
      <w:r w:rsidR="00DB1445" w:rsidRPr="00DB1445">
        <w:rPr>
          <w:rFonts w:ascii="Arial" w:hAnsi="Arial" w:cs="Arial"/>
          <w:iCs/>
          <w:sz w:val="24"/>
          <w:szCs w:val="24"/>
        </w:rPr>
        <w:t xml:space="preserve">operate by reference </w:t>
      </w:r>
      <w:r w:rsidR="00DB1445">
        <w:rPr>
          <w:rFonts w:ascii="Arial" w:hAnsi="Arial" w:cs="Arial"/>
          <w:iCs/>
          <w:sz w:val="24"/>
          <w:szCs w:val="24"/>
        </w:rPr>
        <w:t xml:space="preserve">to a CWPO made before </w:t>
      </w:r>
      <w:r w:rsidR="0021306F">
        <w:rPr>
          <w:rFonts w:ascii="Arial" w:hAnsi="Arial" w:cs="Arial"/>
          <w:iCs/>
          <w:sz w:val="24"/>
          <w:szCs w:val="24"/>
        </w:rPr>
        <w:t xml:space="preserve">commencement or before a relevant application under the Firearms Act. This is proportionate and justifiable. Further, the alternative is illogical and undermines the underlying policy rationale to ensure public safety. </w:t>
      </w:r>
    </w:p>
    <w:p w14:paraId="61A6FEA2" w14:textId="3D69374D" w:rsidR="00917D56" w:rsidRPr="00510E6E" w:rsidRDefault="00917D56" w:rsidP="008F4FB6">
      <w:pPr>
        <w:widowControl w:val="0"/>
        <w:spacing w:before="120" w:after="120" w:line="240" w:lineRule="auto"/>
        <w:jc w:val="both"/>
        <w:rPr>
          <w:rFonts w:ascii="Arial" w:hAnsi="Arial" w:cs="Arial"/>
          <w:iCs/>
          <w:sz w:val="24"/>
          <w:szCs w:val="24"/>
        </w:rPr>
      </w:pPr>
      <w:r w:rsidRPr="00510E6E">
        <w:rPr>
          <w:rFonts w:ascii="Arial" w:hAnsi="Arial" w:cs="Arial"/>
          <w:iCs/>
          <w:sz w:val="24"/>
          <w:szCs w:val="24"/>
        </w:rPr>
        <w:t>The amendments may limit the cultural and other rights of Aboriginal and Torres Strait Islander peoples (section 27). First Nations communities may use firearms to hunt and conduct other activities on traditional lands. If a member of one of those communities is assessed as unsuitable to possess a firearm, their ability to participate in cultural activities may be compromised.</w:t>
      </w:r>
    </w:p>
    <w:p w14:paraId="48F765C6" w14:textId="5BE175AA" w:rsidR="004956AD" w:rsidRPr="00510E6E" w:rsidRDefault="004956AD" w:rsidP="008F4FB6">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The amendments </w:t>
      </w:r>
      <w:r w:rsidR="008F4FB6" w:rsidRPr="00510E6E">
        <w:rPr>
          <w:rFonts w:ascii="Arial" w:hAnsi="Arial" w:cs="Arial"/>
          <w:iCs/>
          <w:sz w:val="24"/>
          <w:szCs w:val="24"/>
        </w:rPr>
        <w:t xml:space="preserve">may </w:t>
      </w:r>
      <w:r w:rsidRPr="00510E6E">
        <w:rPr>
          <w:rFonts w:ascii="Arial" w:hAnsi="Arial" w:cs="Arial"/>
          <w:iCs/>
          <w:sz w:val="24"/>
          <w:szCs w:val="24"/>
        </w:rPr>
        <w:t xml:space="preserve">limit </w:t>
      </w:r>
      <w:r w:rsidR="008F4FB6" w:rsidRPr="00510E6E">
        <w:rPr>
          <w:rFonts w:ascii="Arial" w:hAnsi="Arial" w:cs="Arial"/>
          <w:iCs/>
          <w:sz w:val="24"/>
          <w:szCs w:val="24"/>
        </w:rPr>
        <w:t>t</w:t>
      </w:r>
      <w:r w:rsidRPr="00510E6E">
        <w:rPr>
          <w:rFonts w:ascii="Arial" w:hAnsi="Arial" w:cs="Arial"/>
          <w:iCs/>
          <w:sz w:val="24"/>
          <w:szCs w:val="24"/>
        </w:rPr>
        <w:t>he right to work and work-related rights (section 27B). Certain occupations, including primary production and the security industry, may require the use of firearms. If a person is assessed as unsuitable to possess a firearm, their ability to participate in their chosen occupation may be compromised.</w:t>
      </w:r>
    </w:p>
    <w:p w14:paraId="45867F3F" w14:textId="77777777" w:rsidR="00E90DF9" w:rsidRPr="00510E6E" w:rsidRDefault="00E90DF9" w:rsidP="00E90DF9">
      <w:pPr>
        <w:pStyle w:val="ListParagraph"/>
        <w:numPr>
          <w:ilvl w:val="0"/>
          <w:numId w:val="1"/>
        </w:numPr>
        <w:rPr>
          <w:rFonts w:ascii="Arial" w:hAnsi="Arial" w:cs="Arial"/>
          <w:b/>
          <w:bCs/>
          <w:i/>
          <w:sz w:val="24"/>
          <w:szCs w:val="24"/>
        </w:rPr>
      </w:pPr>
      <w:r w:rsidRPr="00510E6E">
        <w:rPr>
          <w:rFonts w:ascii="Arial" w:hAnsi="Arial" w:cs="Arial"/>
          <w:b/>
          <w:bCs/>
          <w:i/>
          <w:sz w:val="24"/>
          <w:szCs w:val="24"/>
        </w:rPr>
        <w:t>Legitimate purpose (s28(b))</w:t>
      </w:r>
    </w:p>
    <w:p w14:paraId="1D83B6BE" w14:textId="0944E92D" w:rsidR="00CB0845" w:rsidRPr="00510E6E" w:rsidRDefault="00466E44" w:rsidP="00CB0845">
      <w:pPr>
        <w:widowControl w:val="0"/>
        <w:spacing w:before="120" w:after="120" w:line="240" w:lineRule="auto"/>
        <w:jc w:val="both"/>
        <w:rPr>
          <w:rFonts w:ascii="Arial" w:hAnsi="Arial" w:cs="Arial"/>
          <w:iCs/>
          <w:sz w:val="24"/>
          <w:szCs w:val="24"/>
        </w:rPr>
      </w:pPr>
      <w:r w:rsidRPr="00510E6E">
        <w:rPr>
          <w:rFonts w:ascii="Arial" w:hAnsi="Arial" w:cs="Arial"/>
          <w:iCs/>
          <w:sz w:val="24"/>
          <w:szCs w:val="24"/>
        </w:rPr>
        <w:t xml:space="preserve">The underlying policy outcome of the Amendment Regulation is to </w:t>
      </w:r>
      <w:r w:rsidR="00DB30C1" w:rsidRPr="00510E6E">
        <w:rPr>
          <w:rFonts w:ascii="Arial" w:hAnsi="Arial" w:cs="Arial"/>
          <w:iCs/>
          <w:sz w:val="24"/>
          <w:szCs w:val="24"/>
        </w:rPr>
        <w:t xml:space="preserve">maintain public safety. </w:t>
      </w:r>
      <w:r w:rsidR="00894F52" w:rsidRPr="00510E6E">
        <w:rPr>
          <w:rFonts w:ascii="Arial" w:hAnsi="Arial" w:cs="Arial"/>
          <w:iCs/>
          <w:sz w:val="24"/>
          <w:szCs w:val="24"/>
        </w:rPr>
        <w:t xml:space="preserve">Specifically, it ensures that the Registrar must consider whether a CWPO has been made in relation to an individual </w:t>
      </w:r>
      <w:r w:rsidR="00A925A3" w:rsidRPr="00510E6E">
        <w:rPr>
          <w:rFonts w:ascii="Arial" w:hAnsi="Arial" w:cs="Arial"/>
          <w:iCs/>
          <w:sz w:val="24"/>
          <w:szCs w:val="24"/>
        </w:rPr>
        <w:t xml:space="preserve">to determine their suitability. </w:t>
      </w:r>
      <w:r w:rsidR="00DB30C1" w:rsidRPr="00510E6E">
        <w:rPr>
          <w:rFonts w:ascii="Arial" w:hAnsi="Arial" w:cs="Arial"/>
          <w:iCs/>
          <w:sz w:val="24"/>
          <w:szCs w:val="24"/>
        </w:rPr>
        <w:t>It does so in a manner consistent with the existing approach in the Firearms Act.</w:t>
      </w:r>
    </w:p>
    <w:p w14:paraId="630C85B5" w14:textId="77777777" w:rsidR="00E90DF9" w:rsidRPr="00510E6E" w:rsidRDefault="00E90DF9" w:rsidP="00E90DF9">
      <w:pPr>
        <w:pStyle w:val="ListParagraph"/>
        <w:numPr>
          <w:ilvl w:val="0"/>
          <w:numId w:val="1"/>
        </w:numPr>
        <w:rPr>
          <w:rFonts w:ascii="Arial" w:hAnsi="Arial" w:cs="Arial"/>
          <w:b/>
          <w:bCs/>
          <w:i/>
          <w:sz w:val="24"/>
          <w:szCs w:val="24"/>
        </w:rPr>
      </w:pPr>
      <w:r w:rsidRPr="00510E6E">
        <w:rPr>
          <w:rFonts w:ascii="Arial" w:hAnsi="Arial" w:cs="Arial"/>
          <w:b/>
          <w:bCs/>
          <w:i/>
          <w:sz w:val="24"/>
          <w:szCs w:val="24"/>
        </w:rPr>
        <w:t>Rational connection between the limitation and the purpose (s28(d))</w:t>
      </w:r>
    </w:p>
    <w:p w14:paraId="72724EC9" w14:textId="77777777" w:rsidR="00E90DF9" w:rsidRPr="00510E6E" w:rsidRDefault="00E90DF9" w:rsidP="00E90DF9">
      <w:pPr>
        <w:pStyle w:val="ListParagraph"/>
        <w:ind w:left="360"/>
        <w:rPr>
          <w:rFonts w:ascii="Arial" w:hAnsi="Arial" w:cs="Arial"/>
          <w:i/>
          <w:color w:val="FF0000"/>
          <w:sz w:val="24"/>
          <w:szCs w:val="24"/>
        </w:rPr>
      </w:pPr>
    </w:p>
    <w:p w14:paraId="5172803E" w14:textId="13C133A1" w:rsidR="00E90DF9" w:rsidRPr="00510E6E" w:rsidRDefault="00136CB0" w:rsidP="00CD5B75">
      <w:pPr>
        <w:rPr>
          <w:rFonts w:ascii="Arial" w:hAnsi="Arial" w:cs="Arial"/>
          <w:iCs/>
          <w:sz w:val="24"/>
          <w:szCs w:val="24"/>
        </w:rPr>
      </w:pPr>
      <w:r w:rsidRPr="00510E6E">
        <w:rPr>
          <w:rFonts w:ascii="Arial" w:hAnsi="Arial" w:cs="Arial"/>
          <w:iCs/>
          <w:sz w:val="24"/>
          <w:szCs w:val="24"/>
        </w:rPr>
        <w:t>The behaviour and conduct that may constitute the basis for making a CWPO are relevant in determining suitability</w:t>
      </w:r>
      <w:r w:rsidR="008723AB">
        <w:rPr>
          <w:rFonts w:ascii="Arial" w:hAnsi="Arial" w:cs="Arial"/>
          <w:iCs/>
          <w:sz w:val="24"/>
          <w:szCs w:val="24"/>
        </w:rPr>
        <w:t xml:space="preserve"> to hold a firearms licence, and subsequently acquire, possess or use a firearm. </w:t>
      </w:r>
      <w:r w:rsidR="008723AB" w:rsidRPr="008723AB">
        <w:rPr>
          <w:rFonts w:ascii="Arial" w:hAnsi="Arial" w:cs="Arial"/>
          <w:iCs/>
          <w:sz w:val="24"/>
          <w:szCs w:val="24"/>
        </w:rPr>
        <w:t>There is a direct rational connection between the imposition of stringent requirements on the management of highly regulated property, such as firearms, and the legitimate purpose</w:t>
      </w:r>
      <w:r w:rsidR="008723AB" w:rsidRPr="008723AB">
        <w:rPr>
          <w:rFonts w:ascii="Arial" w:hAnsi="Arial" w:cs="Arial"/>
          <w:b/>
          <w:bCs/>
          <w:iCs/>
          <w:sz w:val="24"/>
          <w:szCs w:val="24"/>
        </w:rPr>
        <w:t> </w:t>
      </w:r>
      <w:r w:rsidR="008723AB" w:rsidRPr="008723AB">
        <w:rPr>
          <w:rFonts w:ascii="Arial" w:hAnsi="Arial" w:cs="Arial"/>
          <w:iCs/>
          <w:sz w:val="24"/>
          <w:szCs w:val="24"/>
        </w:rPr>
        <w:t>of promoting public safety. By</w:t>
      </w:r>
      <w:r w:rsidR="008723AB">
        <w:rPr>
          <w:rFonts w:ascii="Arial" w:hAnsi="Arial" w:cs="Arial"/>
          <w:iCs/>
          <w:sz w:val="24"/>
          <w:szCs w:val="24"/>
        </w:rPr>
        <w:t xml:space="preserve"> using evidence of a CWPO to determine a person’s suitability to hold a firearms licence, the Amendment Regulation</w:t>
      </w:r>
      <w:r w:rsidR="008723AB" w:rsidRPr="008723AB">
        <w:rPr>
          <w:rFonts w:ascii="Arial" w:hAnsi="Arial" w:cs="Arial"/>
          <w:iCs/>
          <w:sz w:val="24"/>
          <w:szCs w:val="24"/>
        </w:rPr>
        <w:t xml:space="preserve"> reduces the risk of firearms </w:t>
      </w:r>
      <w:r w:rsidR="008723AB">
        <w:rPr>
          <w:rFonts w:ascii="Arial" w:hAnsi="Arial" w:cs="Arial"/>
          <w:iCs/>
          <w:sz w:val="24"/>
          <w:szCs w:val="24"/>
        </w:rPr>
        <w:t xml:space="preserve">being used in an unlawful way or to cause harm to others. </w:t>
      </w:r>
    </w:p>
    <w:p w14:paraId="30AEBBAB" w14:textId="77777777" w:rsidR="00E90DF9" w:rsidRPr="00510E6E" w:rsidRDefault="00E90DF9" w:rsidP="00E90DF9">
      <w:pPr>
        <w:pStyle w:val="ListParagraph"/>
        <w:numPr>
          <w:ilvl w:val="0"/>
          <w:numId w:val="1"/>
        </w:numPr>
        <w:rPr>
          <w:rFonts w:ascii="Arial" w:hAnsi="Arial" w:cs="Arial"/>
          <w:b/>
          <w:bCs/>
          <w:i/>
          <w:sz w:val="24"/>
          <w:szCs w:val="24"/>
        </w:rPr>
      </w:pPr>
      <w:r w:rsidRPr="00510E6E">
        <w:rPr>
          <w:rFonts w:ascii="Arial" w:hAnsi="Arial" w:cs="Arial"/>
          <w:b/>
          <w:bCs/>
          <w:i/>
          <w:sz w:val="24"/>
          <w:szCs w:val="24"/>
        </w:rPr>
        <w:lastRenderedPageBreak/>
        <w:t>Proportionality (s28 (e))</w:t>
      </w:r>
    </w:p>
    <w:p w14:paraId="3A624D3D" w14:textId="77777777" w:rsidR="00E90DF9" w:rsidRPr="00510E6E" w:rsidRDefault="00E90DF9" w:rsidP="00E90DF9">
      <w:pPr>
        <w:pStyle w:val="ListParagraph"/>
        <w:ind w:left="360"/>
        <w:rPr>
          <w:rFonts w:ascii="Arial" w:hAnsi="Arial" w:cs="Arial"/>
          <w:b/>
          <w:bCs/>
          <w:i/>
          <w:sz w:val="24"/>
          <w:szCs w:val="24"/>
        </w:rPr>
      </w:pPr>
    </w:p>
    <w:p w14:paraId="7927DC93" w14:textId="2F330B85" w:rsidR="00136CB0" w:rsidRPr="00510E6E" w:rsidRDefault="00136CB0" w:rsidP="00CD5B75">
      <w:pPr>
        <w:rPr>
          <w:rFonts w:ascii="Arial" w:hAnsi="Arial" w:cs="Arial"/>
          <w:iCs/>
          <w:sz w:val="24"/>
          <w:szCs w:val="24"/>
        </w:rPr>
      </w:pPr>
      <w:r w:rsidRPr="00510E6E">
        <w:rPr>
          <w:rFonts w:ascii="Arial" w:hAnsi="Arial" w:cs="Arial"/>
          <w:iCs/>
          <w:sz w:val="24"/>
          <w:szCs w:val="24"/>
        </w:rPr>
        <w:t>The approach proposed is the least restrictive approach</w:t>
      </w:r>
      <w:r w:rsidR="00FF6D7E" w:rsidRPr="00510E6E">
        <w:rPr>
          <w:rFonts w:ascii="Arial" w:hAnsi="Arial" w:cs="Arial"/>
          <w:iCs/>
          <w:sz w:val="24"/>
          <w:szCs w:val="24"/>
        </w:rPr>
        <w:t xml:space="preserve"> and is consistent with the existing approach in the Act.</w:t>
      </w:r>
    </w:p>
    <w:p w14:paraId="7D8D7213" w14:textId="2640FEC9" w:rsidR="005A22CA" w:rsidRPr="00510E6E" w:rsidRDefault="005A22CA" w:rsidP="005A22CA">
      <w:pPr>
        <w:keepNext/>
        <w:spacing w:after="120"/>
        <w:jc w:val="both"/>
        <w:rPr>
          <w:rFonts w:ascii="Arial" w:hAnsi="Arial" w:cs="Arial"/>
          <w:b/>
          <w:sz w:val="24"/>
          <w:szCs w:val="24"/>
        </w:rPr>
      </w:pPr>
      <w:bookmarkStart w:id="2" w:name="OLE_LINK1"/>
      <w:r w:rsidRPr="00510E6E">
        <w:rPr>
          <w:rFonts w:ascii="Arial" w:hAnsi="Arial" w:cs="Arial"/>
          <w:b/>
          <w:sz w:val="24"/>
          <w:szCs w:val="24"/>
        </w:rPr>
        <w:t>REGULATORY IMPACT STATEMENT</w:t>
      </w:r>
    </w:p>
    <w:p w14:paraId="58F3155D" w14:textId="365E4DAC" w:rsidR="00E90DF9" w:rsidRDefault="005A22CA" w:rsidP="005A22CA">
      <w:pPr>
        <w:spacing w:after="0" w:line="240" w:lineRule="auto"/>
        <w:rPr>
          <w:rFonts w:asciiTheme="minorHAnsi" w:eastAsiaTheme="majorEastAsia" w:hAnsiTheme="minorHAnsi" w:cs="Arial"/>
          <w:sz w:val="28"/>
          <w:szCs w:val="28"/>
          <w:lang w:eastAsia="en-AU"/>
        </w:rPr>
      </w:pPr>
      <w:r w:rsidRPr="00510E6E">
        <w:rPr>
          <w:rFonts w:ascii="Arial" w:hAnsi="Arial" w:cs="Arial"/>
          <w:sz w:val="24"/>
          <w:szCs w:val="24"/>
          <w:lang w:eastAsia="en-AU"/>
        </w:rPr>
        <w:t xml:space="preserve">Section 34 of the </w:t>
      </w:r>
      <w:r w:rsidRPr="00510E6E">
        <w:rPr>
          <w:rFonts w:ascii="Arial" w:hAnsi="Arial" w:cs="Arial"/>
          <w:i/>
          <w:sz w:val="24"/>
          <w:szCs w:val="24"/>
          <w:lang w:eastAsia="en-AU"/>
        </w:rPr>
        <w:t>Legislation Act 2001</w:t>
      </w:r>
      <w:r w:rsidRPr="00510E6E">
        <w:rPr>
          <w:rFonts w:ascii="Arial" w:hAnsi="Arial" w:cs="Arial"/>
          <w:sz w:val="24"/>
          <w:szCs w:val="24"/>
          <w:lang w:eastAsia="en-AU"/>
        </w:rPr>
        <w:t xml:space="preserve"> requires the preparation of a Regulatory Impact Statement where a subordinate law is likely to impose appreciable costs on the community, or a part of the community. Since this regulation does not impose appreciable costs on the community, no such statement is necessary.</w:t>
      </w:r>
      <w:r w:rsidR="00E90DF9">
        <w:rPr>
          <w:rFonts w:asciiTheme="minorHAnsi" w:hAnsiTheme="minorHAnsi" w:cs="Arial"/>
          <w:b/>
          <w:sz w:val="28"/>
          <w:szCs w:val="28"/>
          <w:lang w:eastAsia="en-AU"/>
        </w:rPr>
        <w:br w:type="page"/>
      </w:r>
    </w:p>
    <w:bookmarkEnd w:id="2"/>
    <w:p w14:paraId="634CD2DB" w14:textId="77777777" w:rsidR="00E90DF9" w:rsidRPr="00905704" w:rsidRDefault="00E90DF9" w:rsidP="00E90DF9">
      <w:pPr>
        <w:pStyle w:val="Heading2"/>
        <w:pageBreakBefore/>
        <w:spacing w:before="240" w:after="240"/>
        <w:rPr>
          <w:rFonts w:cs="Arial"/>
          <w:szCs w:val="24"/>
        </w:rPr>
      </w:pPr>
      <w:r w:rsidRPr="00905704">
        <w:rPr>
          <w:rFonts w:cs="Arial"/>
          <w:szCs w:val="24"/>
        </w:rPr>
        <w:lastRenderedPageBreak/>
        <w:t>CLAUSE NOTES</w:t>
      </w:r>
    </w:p>
    <w:p w14:paraId="21139D56" w14:textId="77777777" w:rsidR="00E90DF9" w:rsidRPr="00905704" w:rsidRDefault="00E90DF9" w:rsidP="00E90DF9">
      <w:pPr>
        <w:pStyle w:val="Heading3"/>
        <w:rPr>
          <w:rFonts w:cs="Arial"/>
        </w:rPr>
      </w:pPr>
      <w:r w:rsidRPr="00905704">
        <w:rPr>
          <w:rFonts w:cs="Arial"/>
        </w:rPr>
        <w:t>Clause 1</w:t>
      </w:r>
      <w:r w:rsidRPr="00905704">
        <w:rPr>
          <w:rFonts w:cs="Arial"/>
        </w:rPr>
        <w:tab/>
        <w:t>Name of Act</w:t>
      </w:r>
    </w:p>
    <w:p w14:paraId="3CF9921F" w14:textId="5EE02040" w:rsidR="00A166D9" w:rsidRPr="00905704" w:rsidRDefault="00A166D9" w:rsidP="00A166D9">
      <w:pPr>
        <w:rPr>
          <w:rFonts w:ascii="Arial" w:hAnsi="Arial" w:cs="Arial"/>
          <w:sz w:val="24"/>
          <w:szCs w:val="24"/>
        </w:rPr>
      </w:pPr>
      <w:r w:rsidRPr="00905704">
        <w:rPr>
          <w:rFonts w:ascii="Arial" w:hAnsi="Arial" w:cs="Arial"/>
          <w:sz w:val="24"/>
          <w:szCs w:val="24"/>
        </w:rPr>
        <w:t>This clause sets out the name of the regulation as the Firearms Amendment Regulation 2026 (No 1).</w:t>
      </w:r>
    </w:p>
    <w:p w14:paraId="0887BC45" w14:textId="77777777" w:rsidR="00E90DF9" w:rsidRPr="00905704" w:rsidRDefault="00E90DF9" w:rsidP="00E90DF9">
      <w:pPr>
        <w:pStyle w:val="Heading3"/>
        <w:rPr>
          <w:rFonts w:cs="Arial"/>
        </w:rPr>
      </w:pPr>
      <w:r w:rsidRPr="00905704">
        <w:rPr>
          <w:rFonts w:cs="Arial"/>
        </w:rPr>
        <w:t>Clause 2</w:t>
      </w:r>
      <w:r w:rsidRPr="00905704">
        <w:rPr>
          <w:rFonts w:cs="Arial"/>
        </w:rPr>
        <w:tab/>
        <w:t>Commencement</w:t>
      </w:r>
    </w:p>
    <w:p w14:paraId="1E767B6F" w14:textId="2E0FDF54" w:rsidR="00A166D9" w:rsidRPr="00905704" w:rsidRDefault="00B37488" w:rsidP="00B37488">
      <w:pPr>
        <w:rPr>
          <w:rFonts w:ascii="Arial" w:hAnsi="Arial" w:cs="Arial"/>
          <w:sz w:val="24"/>
          <w:szCs w:val="24"/>
        </w:rPr>
      </w:pPr>
      <w:r w:rsidRPr="00905704">
        <w:rPr>
          <w:rFonts w:ascii="Arial" w:hAnsi="Arial" w:cs="Arial"/>
          <w:sz w:val="24"/>
          <w:szCs w:val="24"/>
        </w:rPr>
        <w:t>This clause provides that the regulation commences on the later of: the commencement of the Commonwealth Workplace Protection Orders Act 2025 (Cwlth); and the day after this regulation’s notification day.</w:t>
      </w:r>
    </w:p>
    <w:p w14:paraId="5A4E563E" w14:textId="77777777" w:rsidR="00E90DF9" w:rsidRPr="00905704" w:rsidRDefault="00E90DF9" w:rsidP="00E90DF9">
      <w:pPr>
        <w:pStyle w:val="Heading3"/>
        <w:rPr>
          <w:rFonts w:cs="Arial"/>
          <w:b w:val="0"/>
        </w:rPr>
      </w:pPr>
      <w:bookmarkStart w:id="3" w:name="_Hlk224123265"/>
      <w:r w:rsidRPr="00905704">
        <w:rPr>
          <w:rFonts w:cs="Arial"/>
        </w:rPr>
        <w:t>Clause 3</w:t>
      </w:r>
      <w:r w:rsidRPr="00905704">
        <w:rPr>
          <w:rFonts w:cs="Arial"/>
        </w:rPr>
        <w:tab/>
        <w:t>Legislation amended</w:t>
      </w:r>
    </w:p>
    <w:bookmarkEnd w:id="3"/>
    <w:p w14:paraId="0A4F64B0" w14:textId="5F729C1B" w:rsidR="00E90DF9" w:rsidRPr="00905704" w:rsidRDefault="00D323E3" w:rsidP="00E90DF9">
      <w:pPr>
        <w:rPr>
          <w:rFonts w:ascii="Arial" w:hAnsi="Arial" w:cs="Arial"/>
          <w:sz w:val="24"/>
          <w:szCs w:val="24"/>
        </w:rPr>
      </w:pPr>
      <w:r w:rsidRPr="00905704">
        <w:rPr>
          <w:rFonts w:ascii="Arial" w:hAnsi="Arial" w:cs="Arial"/>
          <w:sz w:val="24"/>
          <w:szCs w:val="24"/>
        </w:rPr>
        <w:t>This clause provides that this regulation amends the Firearms Regulation 2008.</w:t>
      </w:r>
    </w:p>
    <w:p w14:paraId="10DDF6B1" w14:textId="4431E0DC" w:rsidR="00C1488F" w:rsidRPr="00905704" w:rsidRDefault="00C1488F" w:rsidP="00C1488F">
      <w:pPr>
        <w:pStyle w:val="Heading3"/>
        <w:rPr>
          <w:rFonts w:cs="Arial"/>
        </w:rPr>
      </w:pPr>
      <w:r w:rsidRPr="00905704">
        <w:rPr>
          <w:rFonts w:cs="Arial"/>
        </w:rPr>
        <w:t xml:space="preserve">Clause </w:t>
      </w:r>
      <w:r w:rsidR="00592656" w:rsidRPr="00905704">
        <w:rPr>
          <w:rFonts w:cs="Arial"/>
        </w:rPr>
        <w:t>4</w:t>
      </w:r>
      <w:r w:rsidRPr="00905704">
        <w:rPr>
          <w:rFonts w:cs="Arial"/>
        </w:rPr>
        <w:tab/>
      </w:r>
      <w:r w:rsidR="00592656" w:rsidRPr="00905704">
        <w:rPr>
          <w:rFonts w:cs="Arial"/>
        </w:rPr>
        <w:t>New section 65A</w:t>
      </w:r>
    </w:p>
    <w:p w14:paraId="652196F5" w14:textId="46E09D25" w:rsidR="00D323E3" w:rsidRPr="00905704" w:rsidRDefault="00592656" w:rsidP="00D323E3">
      <w:pPr>
        <w:rPr>
          <w:rFonts w:ascii="Arial" w:hAnsi="Arial" w:cs="Arial"/>
          <w:sz w:val="24"/>
          <w:szCs w:val="24"/>
        </w:rPr>
      </w:pPr>
      <w:r w:rsidRPr="00905704">
        <w:rPr>
          <w:rFonts w:ascii="Arial" w:hAnsi="Arial" w:cs="Arial"/>
          <w:sz w:val="24"/>
          <w:szCs w:val="24"/>
        </w:rPr>
        <w:t xml:space="preserve">This clause inserts new section 65A in part 15 of the </w:t>
      </w:r>
      <w:r w:rsidR="00B21AB8" w:rsidRPr="00905704">
        <w:rPr>
          <w:rFonts w:ascii="Arial" w:hAnsi="Arial" w:cs="Arial"/>
          <w:sz w:val="24"/>
          <w:szCs w:val="24"/>
        </w:rPr>
        <w:t>Firearms Regulation 2008.</w:t>
      </w:r>
    </w:p>
    <w:p w14:paraId="49141150" w14:textId="631F78AA" w:rsidR="00B21AB8" w:rsidRPr="00905704" w:rsidRDefault="004710EA" w:rsidP="008F3E71">
      <w:pPr>
        <w:rPr>
          <w:rFonts w:ascii="Arial" w:hAnsi="Arial" w:cs="Arial"/>
          <w:sz w:val="24"/>
          <w:szCs w:val="24"/>
        </w:rPr>
      </w:pPr>
      <w:r w:rsidRPr="00905704">
        <w:rPr>
          <w:rFonts w:ascii="Arial" w:hAnsi="Arial" w:cs="Arial"/>
          <w:sz w:val="24"/>
          <w:szCs w:val="24"/>
        </w:rPr>
        <w:t xml:space="preserve">Section 65A, subsection 1, provides that </w:t>
      </w:r>
      <w:r w:rsidR="008F3E71" w:rsidRPr="00905704">
        <w:rPr>
          <w:rFonts w:ascii="Arial" w:hAnsi="Arial" w:cs="Arial"/>
          <w:sz w:val="24"/>
          <w:szCs w:val="24"/>
        </w:rPr>
        <w:t xml:space="preserve">section 65A applies if the registrar is deciding an individual’s suitability in relation to a matter mentioned in the </w:t>
      </w:r>
      <w:r w:rsidR="005B4560" w:rsidRPr="00905704">
        <w:rPr>
          <w:rFonts w:ascii="Arial" w:hAnsi="Arial" w:cs="Arial"/>
          <w:sz w:val="24"/>
          <w:szCs w:val="24"/>
        </w:rPr>
        <w:t xml:space="preserve">Firearms </w:t>
      </w:r>
      <w:r w:rsidR="008F3E71" w:rsidRPr="00905704">
        <w:rPr>
          <w:rFonts w:ascii="Arial" w:hAnsi="Arial" w:cs="Arial"/>
          <w:sz w:val="24"/>
          <w:szCs w:val="24"/>
        </w:rPr>
        <w:t>Act, section 17 (1).</w:t>
      </w:r>
      <w:r w:rsidR="005B4560" w:rsidRPr="00905704">
        <w:rPr>
          <w:rFonts w:ascii="Arial" w:hAnsi="Arial" w:cs="Arial"/>
          <w:sz w:val="24"/>
          <w:szCs w:val="24"/>
        </w:rPr>
        <w:t xml:space="preserve"> </w:t>
      </w:r>
      <w:r w:rsidR="008F4DF8" w:rsidRPr="00905704">
        <w:rPr>
          <w:rFonts w:ascii="Arial" w:hAnsi="Arial" w:cs="Arial"/>
          <w:sz w:val="24"/>
          <w:szCs w:val="24"/>
        </w:rPr>
        <w:t>(</w:t>
      </w:r>
      <w:r w:rsidR="005B4560" w:rsidRPr="00905704">
        <w:rPr>
          <w:rFonts w:ascii="Arial" w:hAnsi="Arial" w:cs="Arial"/>
          <w:sz w:val="24"/>
          <w:szCs w:val="24"/>
        </w:rPr>
        <w:t>Sect</w:t>
      </w:r>
      <w:r w:rsidR="00115F4B" w:rsidRPr="00905704">
        <w:rPr>
          <w:rFonts w:ascii="Arial" w:hAnsi="Arial" w:cs="Arial"/>
          <w:sz w:val="24"/>
          <w:szCs w:val="24"/>
        </w:rPr>
        <w:t xml:space="preserve">ion 17(1) of the Firearms Act </w:t>
      </w:r>
      <w:r w:rsidR="00AA3A89" w:rsidRPr="00905704">
        <w:rPr>
          <w:rFonts w:ascii="Arial" w:hAnsi="Arial" w:cs="Arial"/>
          <w:sz w:val="24"/>
          <w:szCs w:val="24"/>
        </w:rPr>
        <w:t xml:space="preserve">says that section 17 applies if the registrar is deciding an individual’s suitability in relation to, amongst other things, an </w:t>
      </w:r>
      <w:r w:rsidR="004638F7" w:rsidRPr="00905704">
        <w:rPr>
          <w:rFonts w:ascii="Arial" w:hAnsi="Arial" w:cs="Arial"/>
          <w:sz w:val="24"/>
          <w:szCs w:val="24"/>
        </w:rPr>
        <w:t>application under the Act or the cancellation of a licence.)</w:t>
      </w:r>
    </w:p>
    <w:p w14:paraId="43C84F0D" w14:textId="3C339804" w:rsidR="004638F7" w:rsidRPr="00905704" w:rsidRDefault="005904E9" w:rsidP="00D05CF3">
      <w:pPr>
        <w:rPr>
          <w:rFonts w:ascii="Arial" w:hAnsi="Arial" w:cs="Arial"/>
          <w:sz w:val="24"/>
          <w:szCs w:val="24"/>
        </w:rPr>
      </w:pPr>
      <w:r w:rsidRPr="00905704">
        <w:rPr>
          <w:rFonts w:ascii="Arial" w:hAnsi="Arial" w:cs="Arial"/>
          <w:sz w:val="24"/>
          <w:szCs w:val="24"/>
        </w:rPr>
        <w:t xml:space="preserve">Section 65A, subsection 2, provides that </w:t>
      </w:r>
      <w:r w:rsidR="00D05CF3" w:rsidRPr="00905704">
        <w:rPr>
          <w:rFonts w:ascii="Arial" w:hAnsi="Arial" w:cs="Arial"/>
          <w:sz w:val="24"/>
          <w:szCs w:val="24"/>
        </w:rPr>
        <w:t xml:space="preserve">for section 18(1)(d) of the </w:t>
      </w:r>
      <w:r w:rsidR="00D77B4E" w:rsidRPr="00905704">
        <w:rPr>
          <w:rFonts w:ascii="Arial" w:hAnsi="Arial" w:cs="Arial"/>
          <w:sz w:val="24"/>
          <w:szCs w:val="24"/>
        </w:rPr>
        <w:t>Firearms Act</w:t>
      </w:r>
      <w:r w:rsidR="00D05CF3" w:rsidRPr="00905704">
        <w:rPr>
          <w:rFonts w:ascii="Arial" w:hAnsi="Arial" w:cs="Arial"/>
          <w:sz w:val="24"/>
          <w:szCs w:val="24"/>
        </w:rPr>
        <w:t>, a prescribed criterion is whether, within the 10 years before the day the registrar makes the decision, the individual has been subject to</w:t>
      </w:r>
      <w:r w:rsidR="00D77B4E" w:rsidRPr="00905704">
        <w:rPr>
          <w:rFonts w:ascii="Arial" w:hAnsi="Arial" w:cs="Arial"/>
          <w:sz w:val="24"/>
          <w:szCs w:val="24"/>
        </w:rPr>
        <w:t xml:space="preserve"> an interim order or urgent interim order under the CWPO Act, or a final order </w:t>
      </w:r>
      <w:r w:rsidR="00674AF7" w:rsidRPr="00905704">
        <w:rPr>
          <w:rFonts w:ascii="Arial" w:hAnsi="Arial" w:cs="Arial"/>
          <w:sz w:val="24"/>
          <w:szCs w:val="24"/>
        </w:rPr>
        <w:t xml:space="preserve">or consent order </w:t>
      </w:r>
      <w:r w:rsidR="00D77B4E" w:rsidRPr="00905704">
        <w:rPr>
          <w:rFonts w:ascii="Arial" w:hAnsi="Arial" w:cs="Arial"/>
          <w:sz w:val="24"/>
          <w:szCs w:val="24"/>
        </w:rPr>
        <w:t xml:space="preserve">that has been revoked, or, for a final order, </w:t>
      </w:r>
      <w:r w:rsidR="00674AF7" w:rsidRPr="00905704">
        <w:rPr>
          <w:rFonts w:ascii="Arial" w:hAnsi="Arial" w:cs="Arial"/>
          <w:sz w:val="24"/>
          <w:szCs w:val="24"/>
        </w:rPr>
        <w:t xml:space="preserve">successfully appealed against. </w:t>
      </w:r>
    </w:p>
    <w:p w14:paraId="27C18CCA" w14:textId="777A2785" w:rsidR="006E3AB5" w:rsidRPr="00905704" w:rsidRDefault="006E3AB5" w:rsidP="0092394C">
      <w:pPr>
        <w:rPr>
          <w:rFonts w:ascii="Arial" w:hAnsi="Arial" w:cs="Arial"/>
          <w:sz w:val="24"/>
          <w:szCs w:val="24"/>
        </w:rPr>
      </w:pPr>
      <w:r w:rsidRPr="00905704">
        <w:rPr>
          <w:rFonts w:ascii="Arial" w:hAnsi="Arial" w:cs="Arial"/>
          <w:sz w:val="24"/>
          <w:szCs w:val="24"/>
        </w:rPr>
        <w:t xml:space="preserve">Section 65A, subsection 3, provides that </w:t>
      </w:r>
      <w:r w:rsidR="0092394C" w:rsidRPr="00905704">
        <w:rPr>
          <w:rFonts w:ascii="Arial" w:hAnsi="Arial" w:cs="Arial"/>
          <w:sz w:val="24"/>
          <w:szCs w:val="24"/>
        </w:rPr>
        <w:t xml:space="preserve">for section 19(1)(c) of the </w:t>
      </w:r>
      <w:r w:rsidR="00865D6B" w:rsidRPr="00905704">
        <w:rPr>
          <w:rFonts w:ascii="Arial" w:hAnsi="Arial" w:cs="Arial"/>
          <w:sz w:val="24"/>
          <w:szCs w:val="24"/>
        </w:rPr>
        <w:t xml:space="preserve">Firearms </w:t>
      </w:r>
      <w:r w:rsidR="0092394C" w:rsidRPr="00905704">
        <w:rPr>
          <w:rFonts w:ascii="Arial" w:hAnsi="Arial" w:cs="Arial"/>
          <w:sz w:val="24"/>
          <w:szCs w:val="24"/>
        </w:rPr>
        <w:t xml:space="preserve">Act, a prescribed reason is that, within the 10 years before the day the registrar makes the decision, the individual has been subject to a final order or consent order under the </w:t>
      </w:r>
      <w:r w:rsidR="00311354" w:rsidRPr="00905704">
        <w:rPr>
          <w:rFonts w:ascii="Arial" w:hAnsi="Arial" w:cs="Arial"/>
          <w:sz w:val="24"/>
          <w:szCs w:val="24"/>
        </w:rPr>
        <w:t xml:space="preserve">CWPO, </w:t>
      </w:r>
      <w:r w:rsidR="0092394C" w:rsidRPr="00905704">
        <w:rPr>
          <w:rFonts w:ascii="Arial" w:hAnsi="Arial" w:cs="Arial"/>
          <w:i/>
          <w:iCs/>
          <w:sz w:val="24"/>
          <w:szCs w:val="24"/>
        </w:rPr>
        <w:t>other than</w:t>
      </w:r>
      <w:r w:rsidR="0092394C" w:rsidRPr="00905704">
        <w:rPr>
          <w:rFonts w:ascii="Arial" w:hAnsi="Arial" w:cs="Arial"/>
          <w:sz w:val="24"/>
          <w:szCs w:val="24"/>
        </w:rPr>
        <w:t xml:space="preserve"> an order that has been</w:t>
      </w:r>
      <w:r w:rsidR="00E61EE9" w:rsidRPr="00905704">
        <w:rPr>
          <w:rFonts w:ascii="Arial" w:hAnsi="Arial" w:cs="Arial"/>
          <w:sz w:val="24"/>
          <w:szCs w:val="24"/>
        </w:rPr>
        <w:t xml:space="preserve"> revoked, </w:t>
      </w:r>
      <w:r w:rsidR="002E0235" w:rsidRPr="00905704">
        <w:rPr>
          <w:rFonts w:ascii="Arial" w:hAnsi="Arial" w:cs="Arial"/>
          <w:sz w:val="24"/>
          <w:szCs w:val="24"/>
        </w:rPr>
        <w:t>or, for a final order, successful appealed against.</w:t>
      </w:r>
    </w:p>
    <w:p w14:paraId="5955EB0B" w14:textId="2416E479" w:rsidR="002E0235" w:rsidRPr="00905704" w:rsidRDefault="002E0235" w:rsidP="0092394C">
      <w:pPr>
        <w:rPr>
          <w:rFonts w:ascii="Arial" w:hAnsi="Arial" w:cs="Arial"/>
          <w:sz w:val="24"/>
          <w:szCs w:val="24"/>
        </w:rPr>
      </w:pPr>
      <w:r w:rsidRPr="00905704">
        <w:rPr>
          <w:rFonts w:ascii="Arial" w:hAnsi="Arial" w:cs="Arial"/>
          <w:sz w:val="24"/>
          <w:szCs w:val="24"/>
        </w:rPr>
        <w:t xml:space="preserve">Section 65A, subsection 4, </w:t>
      </w:r>
      <w:r w:rsidR="00865D6B" w:rsidRPr="00905704">
        <w:rPr>
          <w:rFonts w:ascii="Arial" w:hAnsi="Arial" w:cs="Arial"/>
          <w:sz w:val="24"/>
          <w:szCs w:val="24"/>
        </w:rPr>
        <w:t>provides that the phrase “successfully appealed against” is defined by reference to section 19(2) of the Firearms Act.</w:t>
      </w:r>
    </w:p>
    <w:p w14:paraId="7200DC3F" w14:textId="2C88EBCE" w:rsidR="00C1488F" w:rsidRPr="00905704" w:rsidRDefault="00C1488F" w:rsidP="00C1488F">
      <w:pPr>
        <w:pStyle w:val="Heading3"/>
        <w:rPr>
          <w:rFonts w:cs="Arial"/>
        </w:rPr>
      </w:pPr>
      <w:r w:rsidRPr="00905704">
        <w:rPr>
          <w:rFonts w:cs="Arial"/>
        </w:rPr>
        <w:t xml:space="preserve">Clause </w:t>
      </w:r>
      <w:r w:rsidR="003A7163" w:rsidRPr="00905704">
        <w:rPr>
          <w:rFonts w:cs="Arial"/>
        </w:rPr>
        <w:t>5</w:t>
      </w:r>
      <w:r w:rsidRPr="00905704">
        <w:rPr>
          <w:rFonts w:cs="Arial"/>
        </w:rPr>
        <w:tab/>
      </w:r>
      <w:r w:rsidR="00540C8C" w:rsidRPr="00905704">
        <w:rPr>
          <w:rFonts w:cs="Arial"/>
        </w:rPr>
        <w:t>New Part 20</w:t>
      </w:r>
    </w:p>
    <w:p w14:paraId="59ED92CB" w14:textId="589BB05B" w:rsidR="00540C8C" w:rsidRPr="00905704" w:rsidRDefault="00540C8C" w:rsidP="00540C8C">
      <w:pPr>
        <w:rPr>
          <w:rFonts w:ascii="Arial" w:hAnsi="Arial" w:cs="Arial"/>
          <w:sz w:val="24"/>
          <w:szCs w:val="24"/>
        </w:rPr>
      </w:pPr>
      <w:r w:rsidRPr="00905704">
        <w:rPr>
          <w:rFonts w:ascii="Arial" w:hAnsi="Arial" w:cs="Arial"/>
          <w:sz w:val="24"/>
          <w:szCs w:val="24"/>
        </w:rPr>
        <w:t xml:space="preserve">Clause 5 inserts new Part 20 into the </w:t>
      </w:r>
      <w:r w:rsidR="002605B8" w:rsidRPr="00905704">
        <w:rPr>
          <w:rFonts w:ascii="Arial" w:hAnsi="Arial" w:cs="Arial"/>
          <w:sz w:val="24"/>
          <w:szCs w:val="24"/>
        </w:rPr>
        <w:t>Regulations.</w:t>
      </w:r>
    </w:p>
    <w:p w14:paraId="3854A358" w14:textId="66099A99" w:rsidR="002605B8" w:rsidRPr="00905704" w:rsidRDefault="00AC1D78" w:rsidP="00540C8C">
      <w:pPr>
        <w:rPr>
          <w:rFonts w:ascii="Arial" w:hAnsi="Arial" w:cs="Arial"/>
          <w:sz w:val="24"/>
          <w:szCs w:val="24"/>
        </w:rPr>
      </w:pPr>
      <w:r w:rsidRPr="00905704">
        <w:rPr>
          <w:rFonts w:ascii="Arial" w:hAnsi="Arial" w:cs="Arial"/>
          <w:sz w:val="24"/>
          <w:szCs w:val="24"/>
        </w:rPr>
        <w:t xml:space="preserve">Part 20 </w:t>
      </w:r>
      <w:r w:rsidR="00162D56" w:rsidRPr="00905704">
        <w:rPr>
          <w:rFonts w:ascii="Arial" w:hAnsi="Arial" w:cs="Arial"/>
          <w:sz w:val="24"/>
          <w:szCs w:val="24"/>
        </w:rPr>
        <w:t>contains transitional provisions.</w:t>
      </w:r>
    </w:p>
    <w:p w14:paraId="611033D6" w14:textId="6ABF3143" w:rsidR="00162D56" w:rsidRPr="00905704" w:rsidRDefault="00162D56" w:rsidP="000870FC">
      <w:pPr>
        <w:rPr>
          <w:rFonts w:ascii="Arial" w:hAnsi="Arial" w:cs="Arial"/>
          <w:sz w:val="24"/>
          <w:szCs w:val="24"/>
        </w:rPr>
      </w:pPr>
      <w:r w:rsidRPr="00905704">
        <w:rPr>
          <w:rFonts w:ascii="Arial" w:hAnsi="Arial" w:cs="Arial"/>
          <w:sz w:val="24"/>
          <w:szCs w:val="24"/>
        </w:rPr>
        <w:t xml:space="preserve">Section </w:t>
      </w:r>
      <w:r w:rsidR="00037040" w:rsidRPr="00905704">
        <w:rPr>
          <w:rFonts w:ascii="Arial" w:hAnsi="Arial" w:cs="Arial"/>
          <w:sz w:val="24"/>
          <w:szCs w:val="24"/>
        </w:rPr>
        <w:t xml:space="preserve">87 </w:t>
      </w:r>
      <w:r w:rsidR="00D254D1" w:rsidRPr="00905704">
        <w:rPr>
          <w:rFonts w:ascii="Arial" w:hAnsi="Arial" w:cs="Arial"/>
          <w:sz w:val="24"/>
          <w:szCs w:val="24"/>
        </w:rPr>
        <w:t xml:space="preserve">provides for the application of section 65A. </w:t>
      </w:r>
      <w:r w:rsidR="000870FC" w:rsidRPr="00905704">
        <w:rPr>
          <w:rFonts w:ascii="Arial" w:hAnsi="Arial" w:cs="Arial"/>
          <w:sz w:val="24"/>
          <w:szCs w:val="24"/>
        </w:rPr>
        <w:t>Section 87</w:t>
      </w:r>
      <w:r w:rsidR="00B107B5" w:rsidRPr="00905704">
        <w:rPr>
          <w:rFonts w:ascii="Arial" w:hAnsi="Arial" w:cs="Arial"/>
          <w:sz w:val="24"/>
          <w:szCs w:val="24"/>
        </w:rPr>
        <w:t>(1)</w:t>
      </w:r>
      <w:r w:rsidR="000870FC" w:rsidRPr="00905704">
        <w:rPr>
          <w:rFonts w:ascii="Arial" w:hAnsi="Arial" w:cs="Arial"/>
          <w:sz w:val="24"/>
          <w:szCs w:val="24"/>
        </w:rPr>
        <w:t xml:space="preserve"> provides that 87 section 65A applies in relation to the making of a decision on or after the </w:t>
      </w:r>
      <w:r w:rsidR="000870FC" w:rsidRPr="00905704">
        <w:rPr>
          <w:rFonts w:ascii="Arial" w:hAnsi="Arial" w:cs="Arial"/>
          <w:sz w:val="24"/>
          <w:szCs w:val="24"/>
        </w:rPr>
        <w:lastRenderedPageBreak/>
        <w:t>commencement day, even if</w:t>
      </w:r>
      <w:r w:rsidR="005D0EFD" w:rsidRPr="00905704">
        <w:rPr>
          <w:rFonts w:ascii="Arial" w:hAnsi="Arial" w:cs="Arial"/>
          <w:sz w:val="24"/>
          <w:szCs w:val="24"/>
        </w:rPr>
        <w:t>:</w:t>
      </w:r>
      <w:r w:rsidR="000870FC" w:rsidRPr="00905704">
        <w:rPr>
          <w:rFonts w:ascii="Arial" w:hAnsi="Arial" w:cs="Arial"/>
          <w:sz w:val="24"/>
          <w:szCs w:val="24"/>
        </w:rPr>
        <w:t xml:space="preserve"> the relevant order under the C</w:t>
      </w:r>
      <w:r w:rsidR="005D0EFD" w:rsidRPr="00905704">
        <w:rPr>
          <w:rFonts w:ascii="Arial" w:hAnsi="Arial" w:cs="Arial"/>
          <w:sz w:val="24"/>
          <w:szCs w:val="24"/>
        </w:rPr>
        <w:t xml:space="preserve">WPO Act </w:t>
      </w:r>
      <w:r w:rsidR="000870FC" w:rsidRPr="00905704">
        <w:rPr>
          <w:rFonts w:ascii="Arial" w:hAnsi="Arial" w:cs="Arial"/>
          <w:sz w:val="24"/>
          <w:szCs w:val="24"/>
        </w:rPr>
        <w:t>was made before that day; or</w:t>
      </w:r>
      <w:r w:rsidR="005D0EFD" w:rsidRPr="00905704">
        <w:rPr>
          <w:rFonts w:ascii="Arial" w:hAnsi="Arial" w:cs="Arial"/>
          <w:sz w:val="24"/>
          <w:szCs w:val="24"/>
        </w:rPr>
        <w:t>,</w:t>
      </w:r>
      <w:r w:rsidR="000870FC" w:rsidRPr="00905704">
        <w:rPr>
          <w:rFonts w:ascii="Arial" w:hAnsi="Arial" w:cs="Arial"/>
          <w:sz w:val="24"/>
          <w:szCs w:val="24"/>
        </w:rPr>
        <w:t xml:space="preserve"> for a decision in relation to an application under the Act</w:t>
      </w:r>
      <w:r w:rsidR="005D0EFD" w:rsidRPr="00905704">
        <w:rPr>
          <w:rFonts w:ascii="Arial" w:hAnsi="Arial" w:cs="Arial"/>
          <w:sz w:val="24"/>
          <w:szCs w:val="24"/>
        </w:rPr>
        <w:t>, t</w:t>
      </w:r>
      <w:r w:rsidR="000870FC" w:rsidRPr="00905704">
        <w:rPr>
          <w:rFonts w:ascii="Arial" w:hAnsi="Arial" w:cs="Arial"/>
          <w:sz w:val="24"/>
          <w:szCs w:val="24"/>
        </w:rPr>
        <w:t>he application was made before that day.</w:t>
      </w:r>
    </w:p>
    <w:p w14:paraId="2AB62F22" w14:textId="20DF6065" w:rsidR="00B107B5" w:rsidRPr="00905704" w:rsidRDefault="00B107B5" w:rsidP="008748B5">
      <w:pPr>
        <w:rPr>
          <w:rFonts w:ascii="Arial" w:hAnsi="Arial" w:cs="Arial"/>
          <w:sz w:val="24"/>
          <w:szCs w:val="24"/>
        </w:rPr>
      </w:pPr>
      <w:r w:rsidRPr="00905704">
        <w:rPr>
          <w:rFonts w:ascii="Arial" w:hAnsi="Arial" w:cs="Arial"/>
          <w:sz w:val="24"/>
          <w:szCs w:val="24"/>
        </w:rPr>
        <w:t>Section 87(2) provides that</w:t>
      </w:r>
      <w:r w:rsidR="008748B5" w:rsidRPr="00905704">
        <w:rPr>
          <w:rFonts w:ascii="Arial" w:hAnsi="Arial" w:cs="Arial"/>
          <w:sz w:val="24"/>
          <w:szCs w:val="24"/>
        </w:rPr>
        <w:t>, in section 87, “commencement day” means the day the Firearms Amendment Regulation 2026 (No 1), section 3 commences.</w:t>
      </w:r>
    </w:p>
    <w:p w14:paraId="68DA95D6" w14:textId="325B2E51" w:rsidR="00791AC1" w:rsidRPr="00905704" w:rsidRDefault="006C2DC5" w:rsidP="006C2DC5">
      <w:pPr>
        <w:rPr>
          <w:rFonts w:ascii="Arial" w:hAnsi="Arial" w:cs="Arial"/>
          <w:sz w:val="24"/>
          <w:szCs w:val="24"/>
        </w:rPr>
      </w:pPr>
      <w:r w:rsidRPr="00905704">
        <w:rPr>
          <w:rFonts w:ascii="Arial" w:hAnsi="Arial" w:cs="Arial"/>
          <w:sz w:val="24"/>
          <w:szCs w:val="24"/>
        </w:rPr>
        <w:t>Section 88 provides that this part (part 20) expires 1 year after the day it commences.</w:t>
      </w:r>
    </w:p>
    <w:p w14:paraId="22D67773" w14:textId="77777777" w:rsidR="00E90DF9" w:rsidRPr="00905704" w:rsidRDefault="00E90DF9" w:rsidP="00E90DF9">
      <w:pPr>
        <w:rPr>
          <w:rFonts w:ascii="Arial" w:hAnsi="Arial" w:cs="Arial"/>
          <w:sz w:val="24"/>
          <w:szCs w:val="24"/>
        </w:rPr>
      </w:pPr>
    </w:p>
    <w:p w14:paraId="35174E41" w14:textId="77777777" w:rsidR="00B10812" w:rsidRPr="00905704" w:rsidRDefault="00B10812">
      <w:pPr>
        <w:rPr>
          <w:rFonts w:ascii="Arial" w:hAnsi="Arial" w:cs="Arial"/>
          <w:sz w:val="24"/>
          <w:szCs w:val="24"/>
        </w:rPr>
      </w:pPr>
    </w:p>
    <w:sectPr w:rsidR="00B10812" w:rsidRPr="00905704" w:rsidSect="00F41A2F">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8303" w14:textId="77777777" w:rsidR="003B1F59" w:rsidRDefault="003B1F59" w:rsidP="00E90DF9">
      <w:pPr>
        <w:spacing w:after="0" w:line="240" w:lineRule="auto"/>
      </w:pPr>
      <w:r>
        <w:separator/>
      </w:r>
    </w:p>
  </w:endnote>
  <w:endnote w:type="continuationSeparator" w:id="0">
    <w:p w14:paraId="42EF759B" w14:textId="77777777" w:rsidR="003B1F59" w:rsidRDefault="003B1F59"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57E12EE0" w:rsidR="004061DE" w:rsidRPr="00325EF6" w:rsidRDefault="00325EF6" w:rsidP="00325EF6">
    <w:pPr>
      <w:pStyle w:val="Footer"/>
      <w:jc w:val="center"/>
      <w:rPr>
        <w:rFonts w:cs="Arial"/>
        <w:sz w:val="14"/>
      </w:rPr>
    </w:pPr>
    <w:r w:rsidRPr="00325EF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6230B733" w14:textId="01F115B2" w:rsidR="00325EF6" w:rsidRPr="00325EF6" w:rsidRDefault="00325EF6" w:rsidP="00325EF6">
    <w:pPr>
      <w:pStyle w:val="Footer"/>
      <w:spacing w:before="60" w:line="240" w:lineRule="auto"/>
      <w:jc w:val="center"/>
      <w:rPr>
        <w:rFonts w:cs="Arial"/>
        <w:sz w:val="14"/>
      </w:rPr>
    </w:pPr>
    <w:r w:rsidRPr="00325EF6">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7096E124" w14:textId="67480C66" w:rsidR="00325EF6" w:rsidRPr="00325EF6" w:rsidRDefault="00325EF6" w:rsidP="00325EF6">
    <w:pPr>
      <w:pStyle w:val="Footer"/>
      <w:jc w:val="center"/>
      <w:rPr>
        <w:rFonts w:cs="Arial"/>
        <w:sz w:val="14"/>
      </w:rPr>
    </w:pPr>
    <w:r w:rsidRPr="00325EF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6B1A3" w14:textId="77777777" w:rsidR="003B1F59" w:rsidRDefault="003B1F59" w:rsidP="00E90DF9">
      <w:pPr>
        <w:spacing w:after="0" w:line="240" w:lineRule="auto"/>
      </w:pPr>
      <w:r>
        <w:separator/>
      </w:r>
    </w:p>
  </w:footnote>
  <w:footnote w:type="continuationSeparator" w:id="0">
    <w:p w14:paraId="10CC39BD" w14:textId="77777777" w:rsidR="003B1F59" w:rsidRDefault="003B1F59"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8ED5573"/>
    <w:multiLevelType w:val="hybridMultilevel"/>
    <w:tmpl w:val="0D5836A6"/>
    <w:lvl w:ilvl="0" w:tplc="FFFFFFFF">
      <w:start w:val="1"/>
      <w:numFmt w:val="decimal"/>
      <w:lvlText w:val="%1."/>
      <w:lvlJc w:val="left"/>
      <w:pPr>
        <w:tabs>
          <w:tab w:val="num" w:pos="567"/>
        </w:tabs>
        <w:ind w:left="0" w:firstLine="0"/>
      </w:pPr>
      <w:rPr>
        <w:rFonts w:hint="default"/>
        <w:b w:val="0"/>
        <w:bCs/>
        <w:i w:val="0"/>
        <w:iCs/>
      </w:rPr>
    </w:lvl>
    <w:lvl w:ilvl="1" w:tplc="FFFFFFFF">
      <w:start w:val="1"/>
      <w:numFmt w:val="lowerLetter"/>
      <w:lvlText w:val="%2."/>
      <w:lvlJc w:val="left"/>
      <w:pPr>
        <w:tabs>
          <w:tab w:val="num" w:pos="1277"/>
        </w:tabs>
        <w:ind w:left="710" w:firstLine="0"/>
      </w:pPr>
      <w:rPr>
        <w:rFonts w:hint="default"/>
      </w:rPr>
    </w:lvl>
    <w:lvl w:ilvl="2" w:tplc="FFFFFFFF">
      <w:start w:val="1"/>
      <w:numFmt w:val="lowerRoman"/>
      <w:lvlText w:val="%3."/>
      <w:lvlJc w:val="right"/>
      <w:pPr>
        <w:tabs>
          <w:tab w:val="num" w:pos="1701"/>
        </w:tabs>
        <w:ind w:left="1276" w:firstLine="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35872B8"/>
    <w:multiLevelType w:val="hybridMultilevel"/>
    <w:tmpl w:val="202EF58C"/>
    <w:lvl w:ilvl="0" w:tplc="6DBAF65E">
      <w:start w:val="1"/>
      <w:numFmt w:val="decimal"/>
      <w:pStyle w:val="Numberedlist"/>
      <w:lvlText w:val="%1."/>
      <w:lvlJc w:val="left"/>
      <w:pPr>
        <w:ind w:left="360" w:hanging="360"/>
      </w:pPr>
      <w:rPr>
        <w:sz w:val="24"/>
        <w:szCs w:val="24"/>
      </w:rPr>
    </w:lvl>
    <w:lvl w:ilvl="1" w:tplc="0C090019">
      <w:start w:val="1"/>
      <w:numFmt w:val="lowerLetter"/>
      <w:lvlText w:val="%2."/>
      <w:lvlJc w:val="left"/>
      <w:pPr>
        <w:ind w:left="1070" w:hanging="360"/>
      </w:pPr>
    </w:lvl>
    <w:lvl w:ilvl="2" w:tplc="0C09001B">
      <w:start w:val="1"/>
      <w:numFmt w:val="lowerRoman"/>
      <w:lvlText w:val="%3."/>
      <w:lvlJc w:val="right"/>
      <w:pPr>
        <w:ind w:left="1031"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6241595"/>
    <w:multiLevelType w:val="hybridMultilevel"/>
    <w:tmpl w:val="0D5836A6"/>
    <w:lvl w:ilvl="0" w:tplc="FFFFFFFF">
      <w:start w:val="1"/>
      <w:numFmt w:val="decimal"/>
      <w:lvlText w:val="%1."/>
      <w:lvlJc w:val="left"/>
      <w:pPr>
        <w:tabs>
          <w:tab w:val="num" w:pos="567"/>
        </w:tabs>
        <w:ind w:left="0" w:firstLine="0"/>
      </w:pPr>
      <w:rPr>
        <w:rFonts w:hint="default"/>
        <w:b w:val="0"/>
        <w:bCs/>
        <w:i w:val="0"/>
        <w:iCs/>
      </w:rPr>
    </w:lvl>
    <w:lvl w:ilvl="1" w:tplc="FFFFFFFF">
      <w:start w:val="1"/>
      <w:numFmt w:val="lowerLetter"/>
      <w:lvlText w:val="%2."/>
      <w:lvlJc w:val="left"/>
      <w:pPr>
        <w:tabs>
          <w:tab w:val="num" w:pos="1277"/>
        </w:tabs>
        <w:ind w:left="710" w:firstLine="0"/>
      </w:pPr>
      <w:rPr>
        <w:rFonts w:hint="default"/>
      </w:rPr>
    </w:lvl>
    <w:lvl w:ilvl="2" w:tplc="FFFFFFFF">
      <w:start w:val="1"/>
      <w:numFmt w:val="lowerRoman"/>
      <w:lvlText w:val="%3."/>
      <w:lvlJc w:val="right"/>
      <w:pPr>
        <w:tabs>
          <w:tab w:val="num" w:pos="1701"/>
        </w:tabs>
        <w:ind w:left="1276" w:firstLine="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77456361"/>
    <w:multiLevelType w:val="hybridMultilevel"/>
    <w:tmpl w:val="83B88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680201534">
    <w:abstractNumId w:val="2"/>
  </w:num>
  <w:num w:numId="3" w16cid:durableId="750345641">
    <w:abstractNumId w:val="3"/>
  </w:num>
  <w:num w:numId="4" w16cid:durableId="1431395187">
    <w:abstractNumId w:val="1"/>
  </w:num>
  <w:num w:numId="5" w16cid:durableId="1577132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223D"/>
    <w:rsid w:val="00037040"/>
    <w:rsid w:val="0004643E"/>
    <w:rsid w:val="000869E4"/>
    <w:rsid w:val="000870FC"/>
    <w:rsid w:val="00090B9B"/>
    <w:rsid w:val="00094B3C"/>
    <w:rsid w:val="000B57CF"/>
    <w:rsid w:val="000C4E55"/>
    <w:rsid w:val="000C72F3"/>
    <w:rsid w:val="000E11BB"/>
    <w:rsid w:val="000F4FE2"/>
    <w:rsid w:val="001127A5"/>
    <w:rsid w:val="00115F4B"/>
    <w:rsid w:val="00117DF0"/>
    <w:rsid w:val="00122BF6"/>
    <w:rsid w:val="00131036"/>
    <w:rsid w:val="0013622C"/>
    <w:rsid w:val="00136CB0"/>
    <w:rsid w:val="00155641"/>
    <w:rsid w:val="00156650"/>
    <w:rsid w:val="00162D56"/>
    <w:rsid w:val="0016621C"/>
    <w:rsid w:val="00181D9D"/>
    <w:rsid w:val="00195A9C"/>
    <w:rsid w:val="00196BF0"/>
    <w:rsid w:val="001A4F8D"/>
    <w:rsid w:val="001C4EBF"/>
    <w:rsid w:val="001F5C05"/>
    <w:rsid w:val="00205A79"/>
    <w:rsid w:val="00212A84"/>
    <w:rsid w:val="0021306F"/>
    <w:rsid w:val="002162F4"/>
    <w:rsid w:val="00242B78"/>
    <w:rsid w:val="00254F1C"/>
    <w:rsid w:val="002605B8"/>
    <w:rsid w:val="002611D5"/>
    <w:rsid w:val="00290A24"/>
    <w:rsid w:val="00293DF0"/>
    <w:rsid w:val="002C7509"/>
    <w:rsid w:val="002D2D07"/>
    <w:rsid w:val="002D66C6"/>
    <w:rsid w:val="002E0235"/>
    <w:rsid w:val="00311354"/>
    <w:rsid w:val="00325EF6"/>
    <w:rsid w:val="00327C54"/>
    <w:rsid w:val="00332D18"/>
    <w:rsid w:val="00344DBD"/>
    <w:rsid w:val="00356A1B"/>
    <w:rsid w:val="00360279"/>
    <w:rsid w:val="00376695"/>
    <w:rsid w:val="00380D5F"/>
    <w:rsid w:val="003812E1"/>
    <w:rsid w:val="0038444C"/>
    <w:rsid w:val="0038776F"/>
    <w:rsid w:val="003A3854"/>
    <w:rsid w:val="003A7163"/>
    <w:rsid w:val="003A795E"/>
    <w:rsid w:val="003B1115"/>
    <w:rsid w:val="003B1F59"/>
    <w:rsid w:val="003C44A6"/>
    <w:rsid w:val="003C5508"/>
    <w:rsid w:val="003D4EF1"/>
    <w:rsid w:val="003F1371"/>
    <w:rsid w:val="004061DE"/>
    <w:rsid w:val="0041744A"/>
    <w:rsid w:val="004401D0"/>
    <w:rsid w:val="0044188F"/>
    <w:rsid w:val="00452F44"/>
    <w:rsid w:val="004638F7"/>
    <w:rsid w:val="00466E44"/>
    <w:rsid w:val="004710EA"/>
    <w:rsid w:val="004802EF"/>
    <w:rsid w:val="00480E02"/>
    <w:rsid w:val="004956AD"/>
    <w:rsid w:val="004A53F6"/>
    <w:rsid w:val="004B031B"/>
    <w:rsid w:val="004B59DE"/>
    <w:rsid w:val="004D3D4E"/>
    <w:rsid w:val="00510E6E"/>
    <w:rsid w:val="00536F3E"/>
    <w:rsid w:val="00540C8C"/>
    <w:rsid w:val="005507C6"/>
    <w:rsid w:val="005541E8"/>
    <w:rsid w:val="00571019"/>
    <w:rsid w:val="00574990"/>
    <w:rsid w:val="00584D96"/>
    <w:rsid w:val="005904E9"/>
    <w:rsid w:val="00592656"/>
    <w:rsid w:val="005A0E08"/>
    <w:rsid w:val="005A22CA"/>
    <w:rsid w:val="005A6217"/>
    <w:rsid w:val="005B0897"/>
    <w:rsid w:val="005B4560"/>
    <w:rsid w:val="005B5E83"/>
    <w:rsid w:val="005D0EFD"/>
    <w:rsid w:val="005E015E"/>
    <w:rsid w:val="005E361B"/>
    <w:rsid w:val="005E74AF"/>
    <w:rsid w:val="005E7C46"/>
    <w:rsid w:val="005F60C4"/>
    <w:rsid w:val="00615C1D"/>
    <w:rsid w:val="00615FCE"/>
    <w:rsid w:val="00622350"/>
    <w:rsid w:val="006235BB"/>
    <w:rsid w:val="0063481C"/>
    <w:rsid w:val="0065170E"/>
    <w:rsid w:val="006718FA"/>
    <w:rsid w:val="00674AF7"/>
    <w:rsid w:val="00674D79"/>
    <w:rsid w:val="00677653"/>
    <w:rsid w:val="006B1D60"/>
    <w:rsid w:val="006C2DC5"/>
    <w:rsid w:val="006C44D3"/>
    <w:rsid w:val="006E1ED8"/>
    <w:rsid w:val="006E235F"/>
    <w:rsid w:val="006E3AB5"/>
    <w:rsid w:val="007039A7"/>
    <w:rsid w:val="0070696F"/>
    <w:rsid w:val="00724896"/>
    <w:rsid w:val="00725FC1"/>
    <w:rsid w:val="00727149"/>
    <w:rsid w:val="0073484F"/>
    <w:rsid w:val="00746C37"/>
    <w:rsid w:val="00781EFA"/>
    <w:rsid w:val="00791AC1"/>
    <w:rsid w:val="0079307D"/>
    <w:rsid w:val="007A3217"/>
    <w:rsid w:val="007A6056"/>
    <w:rsid w:val="007B2AE1"/>
    <w:rsid w:val="007D171F"/>
    <w:rsid w:val="007D35AE"/>
    <w:rsid w:val="007D680D"/>
    <w:rsid w:val="00801EC4"/>
    <w:rsid w:val="00804962"/>
    <w:rsid w:val="00810494"/>
    <w:rsid w:val="00822F9C"/>
    <w:rsid w:val="008241D6"/>
    <w:rsid w:val="0083422D"/>
    <w:rsid w:val="00865D6B"/>
    <w:rsid w:val="008723AB"/>
    <w:rsid w:val="008748B5"/>
    <w:rsid w:val="0089182C"/>
    <w:rsid w:val="00894F52"/>
    <w:rsid w:val="008B0A36"/>
    <w:rsid w:val="008C648A"/>
    <w:rsid w:val="008E03DE"/>
    <w:rsid w:val="008E11B5"/>
    <w:rsid w:val="008F3E71"/>
    <w:rsid w:val="008F4DF8"/>
    <w:rsid w:val="008F4FB6"/>
    <w:rsid w:val="00901CA7"/>
    <w:rsid w:val="00905704"/>
    <w:rsid w:val="00917D56"/>
    <w:rsid w:val="0092394C"/>
    <w:rsid w:val="00945FC3"/>
    <w:rsid w:val="00946611"/>
    <w:rsid w:val="0096300C"/>
    <w:rsid w:val="00992E01"/>
    <w:rsid w:val="009E0822"/>
    <w:rsid w:val="009E3965"/>
    <w:rsid w:val="009E5ECA"/>
    <w:rsid w:val="009F0D02"/>
    <w:rsid w:val="00A03CD6"/>
    <w:rsid w:val="00A06CF3"/>
    <w:rsid w:val="00A07436"/>
    <w:rsid w:val="00A166D9"/>
    <w:rsid w:val="00A265FE"/>
    <w:rsid w:val="00A4527F"/>
    <w:rsid w:val="00A53E70"/>
    <w:rsid w:val="00A568A2"/>
    <w:rsid w:val="00A84D50"/>
    <w:rsid w:val="00A87C49"/>
    <w:rsid w:val="00A925A3"/>
    <w:rsid w:val="00A9762A"/>
    <w:rsid w:val="00AA29C8"/>
    <w:rsid w:val="00AA3297"/>
    <w:rsid w:val="00AA3A89"/>
    <w:rsid w:val="00AC1D78"/>
    <w:rsid w:val="00AC4926"/>
    <w:rsid w:val="00AC7FF7"/>
    <w:rsid w:val="00AF14DB"/>
    <w:rsid w:val="00B01CF8"/>
    <w:rsid w:val="00B06DE2"/>
    <w:rsid w:val="00B107B5"/>
    <w:rsid w:val="00B10812"/>
    <w:rsid w:val="00B16B43"/>
    <w:rsid w:val="00B21AB8"/>
    <w:rsid w:val="00B32DFD"/>
    <w:rsid w:val="00B37488"/>
    <w:rsid w:val="00B75AF8"/>
    <w:rsid w:val="00B86808"/>
    <w:rsid w:val="00B9385E"/>
    <w:rsid w:val="00BA0A16"/>
    <w:rsid w:val="00BA396E"/>
    <w:rsid w:val="00BA5ACA"/>
    <w:rsid w:val="00BC0E10"/>
    <w:rsid w:val="00BC12D3"/>
    <w:rsid w:val="00BD3556"/>
    <w:rsid w:val="00BD543A"/>
    <w:rsid w:val="00BE0C71"/>
    <w:rsid w:val="00C02AE4"/>
    <w:rsid w:val="00C14349"/>
    <w:rsid w:val="00C1488F"/>
    <w:rsid w:val="00C24E5B"/>
    <w:rsid w:val="00C25298"/>
    <w:rsid w:val="00C5357F"/>
    <w:rsid w:val="00C647A6"/>
    <w:rsid w:val="00CB0845"/>
    <w:rsid w:val="00CB7CC1"/>
    <w:rsid w:val="00CD3D5C"/>
    <w:rsid w:val="00CD5B75"/>
    <w:rsid w:val="00CE767C"/>
    <w:rsid w:val="00CF76B1"/>
    <w:rsid w:val="00D05CF3"/>
    <w:rsid w:val="00D1060A"/>
    <w:rsid w:val="00D10C82"/>
    <w:rsid w:val="00D124B2"/>
    <w:rsid w:val="00D245C2"/>
    <w:rsid w:val="00D254D1"/>
    <w:rsid w:val="00D323E3"/>
    <w:rsid w:val="00D66685"/>
    <w:rsid w:val="00D77B4E"/>
    <w:rsid w:val="00D80AE7"/>
    <w:rsid w:val="00D847E5"/>
    <w:rsid w:val="00DB1445"/>
    <w:rsid w:val="00DB30C1"/>
    <w:rsid w:val="00DC33B0"/>
    <w:rsid w:val="00DC4B37"/>
    <w:rsid w:val="00DC5A0C"/>
    <w:rsid w:val="00DD2D3B"/>
    <w:rsid w:val="00E07B57"/>
    <w:rsid w:val="00E134DD"/>
    <w:rsid w:val="00E25024"/>
    <w:rsid w:val="00E44884"/>
    <w:rsid w:val="00E61EE9"/>
    <w:rsid w:val="00E61FD5"/>
    <w:rsid w:val="00E63C0B"/>
    <w:rsid w:val="00E73444"/>
    <w:rsid w:val="00E745F2"/>
    <w:rsid w:val="00E7624E"/>
    <w:rsid w:val="00E83C53"/>
    <w:rsid w:val="00E90DF9"/>
    <w:rsid w:val="00EB437E"/>
    <w:rsid w:val="00EC1561"/>
    <w:rsid w:val="00EC4D31"/>
    <w:rsid w:val="00ED0A2E"/>
    <w:rsid w:val="00ED0FC2"/>
    <w:rsid w:val="00ED1976"/>
    <w:rsid w:val="00ED22EC"/>
    <w:rsid w:val="00ED4E0D"/>
    <w:rsid w:val="00ED6CC4"/>
    <w:rsid w:val="00F04DC3"/>
    <w:rsid w:val="00F124D2"/>
    <w:rsid w:val="00F503CF"/>
    <w:rsid w:val="00F6450B"/>
    <w:rsid w:val="00F666F4"/>
    <w:rsid w:val="00F92610"/>
    <w:rsid w:val="00FA6DAF"/>
    <w:rsid w:val="00FD2FD5"/>
    <w:rsid w:val="00FE6C83"/>
    <w:rsid w:val="00FF0753"/>
    <w:rsid w:val="00FF6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paragraph" w:customStyle="1" w:styleId="Numberedlist">
    <w:name w:val="Numbered list"/>
    <w:basedOn w:val="Normal"/>
    <w:rsid w:val="00D847E5"/>
    <w:pPr>
      <w:numPr>
        <w:numId w:val="2"/>
      </w:numPr>
      <w:spacing w:before="100" w:after="120" w:line="280" w:lineRule="atLeast"/>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3.xml><?xml version="1.0" encoding="utf-8"?>
<ds:datastoreItem xmlns:ds="http://schemas.openxmlformats.org/officeDocument/2006/customXml" ds:itemID="{7CAC796F-3294-4BAA-B35D-B93603CC8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2245</Words>
  <Characters>11927</Characters>
  <Application>Microsoft Office Word</Application>
  <DocSecurity>0</DocSecurity>
  <Lines>256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2026-05-06T05:31:00Z</dcterms:created>
  <dcterms:modified xsi:type="dcterms:W3CDTF">2026-05-06T05:31:00Z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CHECKEDOUTFROMJMS">
    <vt:lpwstr/>
  </property>
  <property fmtid="{D5CDD505-2E9C-101B-9397-08002B2CF9AE}" pid="11" name="DMSID">
    <vt:lpwstr>15466640</vt:lpwstr>
  </property>
  <property fmtid="{D5CDD505-2E9C-101B-9397-08002B2CF9AE}" pid="12" name="JMSREQUIREDCHECKIN">
    <vt:lpwstr/>
  </property>
</Properties>
</file>