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8113B" w14:textId="77777777" w:rsidR="006815C9" w:rsidRDefault="006815C9">
      <w:pPr>
        <w:spacing w:before="120"/>
        <w:rPr>
          <w:rFonts w:ascii="Arial" w:hAnsi="Arial" w:cs="Arial"/>
        </w:rPr>
      </w:pPr>
      <w:bookmarkStart w:id="0" w:name="_Toc44738651"/>
      <w:r>
        <w:rPr>
          <w:rFonts w:ascii="Arial" w:hAnsi="Arial" w:cs="Arial"/>
        </w:rPr>
        <w:t>Australian Capital Territory</w:t>
      </w:r>
    </w:p>
    <w:p w14:paraId="78041945" w14:textId="4A855FC6" w:rsidR="006815C9" w:rsidRDefault="1F9CE097">
      <w:pPr>
        <w:pStyle w:val="Billname"/>
        <w:spacing w:before="700"/>
      </w:pPr>
      <w:r>
        <w:t xml:space="preserve">Leases </w:t>
      </w:r>
      <w:r w:rsidR="006815C9">
        <w:t>(</w:t>
      </w:r>
      <w:r w:rsidR="3BCB81E7">
        <w:t>Commercial and Retail</w:t>
      </w:r>
      <w:r w:rsidR="006815C9">
        <w:t>)</w:t>
      </w:r>
      <w:r w:rsidR="56CECA46">
        <w:t xml:space="preserve"> Amendment Regulation 2026</w:t>
      </w:r>
      <w:r w:rsidR="006815C9">
        <w:t xml:space="preserve"> (No</w:t>
      </w:r>
      <w:r w:rsidR="00C929B1">
        <w:t xml:space="preserve"> 1</w:t>
      </w:r>
      <w:r w:rsidR="006815C9">
        <w:t>)</w:t>
      </w:r>
    </w:p>
    <w:p w14:paraId="4D66B110" w14:textId="7D84D28C" w:rsidR="006815C9" w:rsidRDefault="00F5371D" w:rsidP="00091D34">
      <w:pPr>
        <w:spacing w:before="340"/>
        <w:rPr>
          <w:rFonts w:ascii="Arial" w:hAnsi="Arial" w:cs="Arial"/>
          <w:b/>
          <w:bCs/>
        </w:rPr>
      </w:pPr>
      <w:r w:rsidRPr="708B8757">
        <w:rPr>
          <w:rFonts w:ascii="Arial" w:hAnsi="Arial" w:cs="Arial"/>
          <w:b/>
          <w:bCs/>
        </w:rPr>
        <w:t>Subordinate law SL</w:t>
      </w:r>
      <w:r w:rsidR="66462A73" w:rsidRPr="708B8757">
        <w:rPr>
          <w:rFonts w:ascii="Arial" w:hAnsi="Arial" w:cs="Arial"/>
          <w:b/>
          <w:bCs/>
        </w:rPr>
        <w:t>2026</w:t>
      </w:r>
      <w:r w:rsidR="006815C9" w:rsidRPr="708B8757">
        <w:rPr>
          <w:rFonts w:ascii="Arial" w:hAnsi="Arial" w:cs="Arial"/>
          <w:b/>
          <w:bCs/>
        </w:rPr>
        <w:t>–</w:t>
      </w:r>
      <w:r w:rsidR="00D069C7">
        <w:rPr>
          <w:rFonts w:ascii="Arial" w:hAnsi="Arial" w:cs="Arial"/>
          <w:b/>
          <w:bCs/>
        </w:rPr>
        <w:t>5</w:t>
      </w:r>
    </w:p>
    <w:p w14:paraId="02E87E41" w14:textId="77777777" w:rsidR="006815C9" w:rsidRDefault="006815C9" w:rsidP="00091D34">
      <w:pPr>
        <w:pStyle w:val="madeunder"/>
        <w:spacing w:before="300" w:after="0"/>
      </w:pPr>
      <w:r>
        <w:t xml:space="preserve">made under the  </w:t>
      </w:r>
    </w:p>
    <w:p w14:paraId="2AA59073" w14:textId="711C4081" w:rsidR="006815C9" w:rsidRDefault="23C72A03" w:rsidP="708B8757">
      <w:pPr>
        <w:pStyle w:val="CoverActName"/>
        <w:spacing w:before="320" w:after="0"/>
        <w:rPr>
          <w:rFonts w:cs="Arial"/>
          <w:sz w:val="20"/>
        </w:rPr>
      </w:pPr>
      <w:r w:rsidRPr="708B8757">
        <w:rPr>
          <w:rFonts w:cs="Arial"/>
          <w:sz w:val="20"/>
        </w:rPr>
        <w:t>Leases (Commercial and Retail) Act 2001</w:t>
      </w:r>
    </w:p>
    <w:p w14:paraId="5246A84B" w14:textId="77777777" w:rsidR="006815C9" w:rsidRDefault="006815C9">
      <w:pPr>
        <w:spacing w:before="360"/>
        <w:ind w:right="565"/>
        <w:rPr>
          <w:rFonts w:ascii="Arial" w:hAnsi="Arial" w:cs="Arial"/>
          <w:b/>
          <w:bCs/>
          <w:sz w:val="28"/>
          <w:szCs w:val="28"/>
        </w:rPr>
      </w:pPr>
      <w:r>
        <w:rPr>
          <w:rFonts w:ascii="Arial" w:hAnsi="Arial" w:cs="Arial"/>
          <w:b/>
          <w:bCs/>
          <w:sz w:val="28"/>
          <w:szCs w:val="28"/>
        </w:rPr>
        <w:t>EXPLANATORY STATEMENT</w:t>
      </w:r>
    </w:p>
    <w:p w14:paraId="672A6659" w14:textId="77777777" w:rsidR="006815C9" w:rsidRDefault="006815C9">
      <w:pPr>
        <w:pStyle w:val="N-line3"/>
        <w:pBdr>
          <w:bottom w:val="none" w:sz="0" w:space="0" w:color="auto"/>
        </w:pBdr>
      </w:pPr>
    </w:p>
    <w:p w14:paraId="0A37501D" w14:textId="77777777" w:rsidR="006815C9" w:rsidRDefault="006815C9">
      <w:pPr>
        <w:pStyle w:val="N-line3"/>
        <w:pBdr>
          <w:top w:val="single" w:sz="12" w:space="1" w:color="auto"/>
          <w:bottom w:val="none" w:sz="0" w:space="0" w:color="auto"/>
        </w:pBdr>
      </w:pPr>
    </w:p>
    <w:bookmarkEnd w:id="0"/>
    <w:p w14:paraId="5EC3FDF0" w14:textId="77777777" w:rsidR="005145C2" w:rsidRDefault="005145C2" w:rsidP="708B8757">
      <w:pPr>
        <w:rPr>
          <w:rFonts w:ascii="Arial" w:eastAsia="Arial" w:hAnsi="Arial" w:cs="Arial"/>
          <w:b/>
          <w:bCs/>
          <w:szCs w:val="24"/>
        </w:rPr>
      </w:pPr>
      <w:r>
        <w:rPr>
          <w:rFonts w:ascii="Arial" w:eastAsia="Arial" w:hAnsi="Arial" w:cs="Arial"/>
          <w:b/>
          <w:bCs/>
          <w:szCs w:val="24"/>
        </w:rPr>
        <w:t>Overview</w:t>
      </w:r>
    </w:p>
    <w:p w14:paraId="19EA3427" w14:textId="77777777" w:rsidR="005145C2" w:rsidRDefault="005145C2" w:rsidP="708B8757">
      <w:pPr>
        <w:rPr>
          <w:rFonts w:ascii="Arial" w:eastAsia="Arial" w:hAnsi="Arial" w:cs="Arial"/>
          <w:b/>
          <w:bCs/>
          <w:szCs w:val="24"/>
        </w:rPr>
      </w:pPr>
    </w:p>
    <w:p w14:paraId="50E16F8C" w14:textId="79B8131B" w:rsidR="00B03DEB" w:rsidRDefault="00B03DEB" w:rsidP="708B8757">
      <w:pPr>
        <w:rPr>
          <w:rFonts w:eastAsia="Arial"/>
          <w:szCs w:val="24"/>
        </w:rPr>
      </w:pPr>
      <w:r>
        <w:rPr>
          <w:rFonts w:eastAsia="Arial"/>
          <w:szCs w:val="24"/>
        </w:rPr>
        <w:t xml:space="preserve">This explanatory statement relates to the </w:t>
      </w:r>
      <w:r w:rsidRPr="00B03DEB">
        <w:rPr>
          <w:rFonts w:eastAsia="Arial"/>
          <w:i/>
          <w:iCs/>
          <w:szCs w:val="24"/>
        </w:rPr>
        <w:t>Leases (Commercial and Retail) Amendment Regulation 2026 (No 1)</w:t>
      </w:r>
      <w:r>
        <w:rPr>
          <w:rFonts w:eastAsia="Arial"/>
          <w:szCs w:val="24"/>
        </w:rPr>
        <w:t xml:space="preserve"> (the Regulation).  It has been prepared to assist the reader of the </w:t>
      </w:r>
      <w:r w:rsidR="00A96F50">
        <w:rPr>
          <w:rFonts w:eastAsia="Arial"/>
          <w:szCs w:val="24"/>
        </w:rPr>
        <w:t>R</w:t>
      </w:r>
      <w:r>
        <w:rPr>
          <w:rFonts w:eastAsia="Arial"/>
          <w:szCs w:val="24"/>
        </w:rPr>
        <w:t>egulation.</w:t>
      </w:r>
    </w:p>
    <w:p w14:paraId="3C2D7797" w14:textId="77777777" w:rsidR="00B03DEB" w:rsidRDefault="00B03DEB" w:rsidP="708B8757">
      <w:pPr>
        <w:rPr>
          <w:rFonts w:eastAsia="Arial"/>
          <w:szCs w:val="24"/>
        </w:rPr>
      </w:pPr>
    </w:p>
    <w:p w14:paraId="32BBA533" w14:textId="5D1A04F6" w:rsidR="000068E1" w:rsidRDefault="000766F7" w:rsidP="708B8757">
      <w:pPr>
        <w:rPr>
          <w:rFonts w:eastAsia="Arial"/>
          <w:szCs w:val="24"/>
        </w:rPr>
      </w:pPr>
      <w:r w:rsidRPr="000766F7">
        <w:rPr>
          <w:rFonts w:eastAsia="Arial"/>
          <w:szCs w:val="24"/>
        </w:rPr>
        <w:t xml:space="preserve">The </w:t>
      </w:r>
      <w:r w:rsidR="00B03DEB">
        <w:rPr>
          <w:rFonts w:eastAsia="Arial"/>
          <w:szCs w:val="24"/>
        </w:rPr>
        <w:t xml:space="preserve">purpose of the </w:t>
      </w:r>
      <w:r w:rsidR="0092723D">
        <w:rPr>
          <w:rFonts w:eastAsia="Arial"/>
          <w:szCs w:val="24"/>
        </w:rPr>
        <w:t>R</w:t>
      </w:r>
      <w:r w:rsidRPr="000766F7">
        <w:rPr>
          <w:rFonts w:eastAsia="Arial"/>
          <w:szCs w:val="24"/>
        </w:rPr>
        <w:t xml:space="preserve">egulation </w:t>
      </w:r>
      <w:r w:rsidR="00B03DEB">
        <w:rPr>
          <w:rFonts w:eastAsia="Arial"/>
          <w:szCs w:val="24"/>
        </w:rPr>
        <w:t xml:space="preserve">is to prescribe exempt leases for the purposes of the </w:t>
      </w:r>
      <w:r w:rsidR="00B03DEB" w:rsidRPr="00B03DEB">
        <w:rPr>
          <w:rFonts w:eastAsia="Arial"/>
          <w:i/>
          <w:iCs/>
          <w:szCs w:val="24"/>
        </w:rPr>
        <w:t>Leases (Commercial and Retail) Act 2001</w:t>
      </w:r>
      <w:r w:rsidR="0092723D">
        <w:rPr>
          <w:rFonts w:eastAsia="Arial"/>
          <w:szCs w:val="24"/>
        </w:rPr>
        <w:t xml:space="preserve"> (the Leases Act)</w:t>
      </w:r>
      <w:r w:rsidR="00B03DEB">
        <w:rPr>
          <w:rFonts w:eastAsia="Arial"/>
          <w:szCs w:val="24"/>
        </w:rPr>
        <w:t>. The Regulation prescribes the lease of the premises known as GIO Stadium between the Australian Sports Commission</w:t>
      </w:r>
      <w:r w:rsidR="000068E1">
        <w:rPr>
          <w:rFonts w:eastAsia="Arial"/>
          <w:szCs w:val="24"/>
        </w:rPr>
        <w:t xml:space="preserve"> (ASC)</w:t>
      </w:r>
      <w:r w:rsidR="00B03DEB">
        <w:rPr>
          <w:rFonts w:eastAsia="Arial"/>
          <w:szCs w:val="24"/>
        </w:rPr>
        <w:t xml:space="preserve"> and the Territory; the licence granted by the </w:t>
      </w:r>
      <w:r w:rsidR="000068E1">
        <w:rPr>
          <w:rFonts w:eastAsia="Arial"/>
          <w:szCs w:val="24"/>
        </w:rPr>
        <w:t>ASC</w:t>
      </w:r>
      <w:r w:rsidR="00B03DEB">
        <w:rPr>
          <w:rFonts w:eastAsia="Arial"/>
          <w:szCs w:val="24"/>
        </w:rPr>
        <w:t xml:space="preserve"> to the Territory to use any of the land identified as “car parks”; and for </w:t>
      </w:r>
      <w:r w:rsidR="000068E1">
        <w:rPr>
          <w:rFonts w:eastAsia="Arial"/>
          <w:szCs w:val="24"/>
        </w:rPr>
        <w:t>leases between the Territory and a tenant for the purposes of providing services to the Territory at the premises known as Exhibition Park I Canberra, GIO Stadium and Manuka Oval.</w:t>
      </w:r>
    </w:p>
    <w:p w14:paraId="4EDD8A73" w14:textId="11B047B5" w:rsidR="000766F7" w:rsidRPr="000766F7" w:rsidRDefault="000068E1" w:rsidP="708B8757">
      <w:pPr>
        <w:rPr>
          <w:rFonts w:eastAsia="Arial"/>
          <w:szCs w:val="24"/>
        </w:rPr>
      </w:pPr>
      <w:r>
        <w:rPr>
          <w:rFonts w:eastAsia="Arial"/>
          <w:szCs w:val="24"/>
        </w:rPr>
        <w:t xml:space="preserve"> </w:t>
      </w:r>
    </w:p>
    <w:p w14:paraId="42B051BD" w14:textId="77777777" w:rsidR="005145C2" w:rsidRDefault="005145C2" w:rsidP="708B8757">
      <w:pPr>
        <w:rPr>
          <w:rFonts w:ascii="Arial" w:eastAsia="Arial" w:hAnsi="Arial" w:cs="Arial"/>
          <w:b/>
          <w:bCs/>
          <w:szCs w:val="24"/>
        </w:rPr>
      </w:pPr>
    </w:p>
    <w:p w14:paraId="3A86295F" w14:textId="48DF89A5" w:rsidR="68625FEF" w:rsidRDefault="68625FEF" w:rsidP="708B8757">
      <w:pPr>
        <w:rPr>
          <w:rFonts w:ascii="Arial" w:eastAsia="Arial" w:hAnsi="Arial" w:cs="Arial"/>
          <w:b/>
          <w:bCs/>
          <w:szCs w:val="24"/>
        </w:rPr>
      </w:pPr>
      <w:r w:rsidRPr="708B8757">
        <w:rPr>
          <w:rFonts w:ascii="Arial" w:eastAsia="Arial" w:hAnsi="Arial" w:cs="Arial"/>
          <w:b/>
          <w:bCs/>
          <w:szCs w:val="24"/>
        </w:rPr>
        <w:t>Background</w:t>
      </w:r>
    </w:p>
    <w:p w14:paraId="0B330830" w14:textId="77777777" w:rsidR="005145C2" w:rsidRPr="00B81AE7" w:rsidRDefault="005145C2" w:rsidP="708B8757">
      <w:pPr>
        <w:rPr>
          <w:rFonts w:eastAsia="Arial"/>
          <w:szCs w:val="24"/>
        </w:rPr>
      </w:pPr>
    </w:p>
    <w:p w14:paraId="5E0D87C1" w14:textId="627915F3" w:rsidR="00892616" w:rsidRDefault="00C7451B" w:rsidP="708B8757">
      <w:pPr>
        <w:rPr>
          <w:rFonts w:eastAsia="Arial"/>
          <w:szCs w:val="24"/>
        </w:rPr>
      </w:pPr>
      <w:r w:rsidRPr="00B81AE7">
        <w:rPr>
          <w:rFonts w:eastAsia="Arial"/>
          <w:szCs w:val="24"/>
        </w:rPr>
        <w:t>The application of the</w:t>
      </w:r>
      <w:r w:rsidR="0092723D">
        <w:rPr>
          <w:rFonts w:eastAsia="Arial"/>
          <w:szCs w:val="24"/>
        </w:rPr>
        <w:t xml:space="preserve"> Leases Act </w:t>
      </w:r>
      <w:r w:rsidRPr="00B81AE7">
        <w:rPr>
          <w:rFonts w:eastAsia="Arial"/>
          <w:szCs w:val="24"/>
        </w:rPr>
        <w:t xml:space="preserve">to the lease of the premises known as GIO Stadium </w:t>
      </w:r>
      <w:r w:rsidR="00B81AE7" w:rsidRPr="00B81AE7">
        <w:rPr>
          <w:rFonts w:eastAsia="Arial"/>
          <w:szCs w:val="24"/>
        </w:rPr>
        <w:t xml:space="preserve">and to the land identified as “car parks” </w:t>
      </w:r>
      <w:r w:rsidRPr="00B81AE7">
        <w:rPr>
          <w:rFonts w:eastAsia="Arial"/>
          <w:szCs w:val="24"/>
        </w:rPr>
        <w:t>is inappropriate</w:t>
      </w:r>
      <w:r w:rsidR="00892616">
        <w:rPr>
          <w:rFonts w:eastAsia="Arial"/>
          <w:szCs w:val="24"/>
        </w:rPr>
        <w:t xml:space="preserve"> to the nature of the relationship between </w:t>
      </w:r>
      <w:r w:rsidR="00C9040E">
        <w:rPr>
          <w:rFonts w:eastAsia="Arial"/>
          <w:szCs w:val="24"/>
        </w:rPr>
        <w:t xml:space="preserve">the </w:t>
      </w:r>
      <w:r w:rsidR="00892616">
        <w:rPr>
          <w:rFonts w:eastAsia="Arial"/>
          <w:szCs w:val="24"/>
        </w:rPr>
        <w:t xml:space="preserve">ASC and the Territory as Landlord and Tenant, respectively, and any </w:t>
      </w:r>
      <w:r w:rsidR="0086376C">
        <w:rPr>
          <w:rFonts w:eastAsia="Arial"/>
          <w:szCs w:val="24"/>
        </w:rPr>
        <w:t>service provider</w:t>
      </w:r>
      <w:r w:rsidR="00892616">
        <w:rPr>
          <w:rFonts w:eastAsia="Arial"/>
          <w:szCs w:val="24"/>
        </w:rPr>
        <w:t xml:space="preserve"> the Territory might engage</w:t>
      </w:r>
      <w:r w:rsidR="0086376C">
        <w:rPr>
          <w:rFonts w:eastAsia="Arial"/>
          <w:szCs w:val="24"/>
        </w:rPr>
        <w:t xml:space="preserve"> at the prescribed premises.</w:t>
      </w:r>
    </w:p>
    <w:p w14:paraId="3684EA5E" w14:textId="77777777" w:rsidR="00892616" w:rsidRDefault="00892616" w:rsidP="708B8757">
      <w:pPr>
        <w:rPr>
          <w:rFonts w:eastAsia="Arial"/>
          <w:szCs w:val="24"/>
        </w:rPr>
      </w:pPr>
    </w:p>
    <w:p w14:paraId="4012BA9C" w14:textId="2B8395D4" w:rsidR="00B81AE7" w:rsidRDefault="00B81AE7" w:rsidP="708B8757">
      <w:pPr>
        <w:rPr>
          <w:rFonts w:eastAsia="Arial"/>
          <w:szCs w:val="24"/>
        </w:rPr>
      </w:pPr>
      <w:r>
        <w:rPr>
          <w:rFonts w:eastAsia="Arial"/>
          <w:szCs w:val="24"/>
        </w:rPr>
        <w:t>The key principles of the lease and licence are inconsistent with the rights and obligations imposed by the Leases Act</w:t>
      </w:r>
      <w:r w:rsidR="00892616">
        <w:rPr>
          <w:rFonts w:eastAsia="Arial"/>
          <w:szCs w:val="24"/>
        </w:rPr>
        <w:t>. Specifically, the Leases Act creates conflict between ASC and the Territory over responsibility for the maintenance of GIO Stadium.</w:t>
      </w:r>
      <w:r w:rsidR="00BE5C7B">
        <w:rPr>
          <w:rFonts w:eastAsia="Arial"/>
          <w:szCs w:val="24"/>
        </w:rPr>
        <w:t xml:space="preserve"> </w:t>
      </w:r>
      <w:r w:rsidR="00892616">
        <w:rPr>
          <w:rFonts w:eastAsia="Arial"/>
          <w:szCs w:val="24"/>
        </w:rPr>
        <w:t xml:space="preserve">Under existing arrangements, the Territory is responsible for </w:t>
      </w:r>
      <w:r w:rsidR="00F27EBB">
        <w:rPr>
          <w:rFonts w:eastAsia="Arial"/>
          <w:szCs w:val="24"/>
        </w:rPr>
        <w:t xml:space="preserve">keeping GIO </w:t>
      </w:r>
      <w:r w:rsidR="00C9040E">
        <w:rPr>
          <w:rFonts w:eastAsia="Arial"/>
          <w:szCs w:val="24"/>
        </w:rPr>
        <w:t>S</w:t>
      </w:r>
      <w:r w:rsidR="00F27EBB">
        <w:rPr>
          <w:rFonts w:eastAsia="Arial"/>
          <w:szCs w:val="24"/>
        </w:rPr>
        <w:t xml:space="preserve">tadium in a safe and useable condition; however, if the Leases Act were applied, then </w:t>
      </w:r>
      <w:r w:rsidR="00C9040E">
        <w:rPr>
          <w:rFonts w:eastAsia="Arial"/>
          <w:szCs w:val="24"/>
        </w:rPr>
        <w:t xml:space="preserve">the </w:t>
      </w:r>
      <w:r w:rsidR="00F27EBB">
        <w:rPr>
          <w:rFonts w:eastAsia="Arial"/>
          <w:szCs w:val="24"/>
        </w:rPr>
        <w:t xml:space="preserve">ASC may be obligated for this maintenance as the Landlord. </w:t>
      </w:r>
      <w:r w:rsidR="00892616">
        <w:rPr>
          <w:rFonts w:eastAsia="Arial"/>
          <w:szCs w:val="24"/>
        </w:rPr>
        <w:t>I</w:t>
      </w:r>
      <w:r>
        <w:rPr>
          <w:rFonts w:eastAsia="Arial"/>
          <w:szCs w:val="24"/>
        </w:rPr>
        <w:t>t is the preference of both the Territory and the ASC that these</w:t>
      </w:r>
      <w:r w:rsidR="00892616">
        <w:rPr>
          <w:rFonts w:eastAsia="Arial"/>
          <w:szCs w:val="24"/>
        </w:rPr>
        <w:t xml:space="preserve"> obligations</w:t>
      </w:r>
      <w:r>
        <w:rPr>
          <w:rFonts w:eastAsia="Arial"/>
          <w:szCs w:val="24"/>
        </w:rPr>
        <w:t xml:space="preserve"> are not imposed</w:t>
      </w:r>
      <w:r w:rsidR="00892616">
        <w:rPr>
          <w:rFonts w:eastAsia="Arial"/>
          <w:szCs w:val="24"/>
        </w:rPr>
        <w:t>.</w:t>
      </w:r>
    </w:p>
    <w:p w14:paraId="3F89D3A9" w14:textId="77777777" w:rsidR="00B81AE7" w:rsidRDefault="00B81AE7" w:rsidP="708B8757">
      <w:pPr>
        <w:rPr>
          <w:rFonts w:eastAsia="Arial"/>
          <w:szCs w:val="24"/>
        </w:rPr>
      </w:pPr>
    </w:p>
    <w:p w14:paraId="3EEDE9C3" w14:textId="107650C8" w:rsidR="005145C2" w:rsidRDefault="00B81AE7" w:rsidP="708B8757">
      <w:pPr>
        <w:rPr>
          <w:rFonts w:eastAsia="Arial"/>
          <w:szCs w:val="24"/>
        </w:rPr>
      </w:pPr>
      <w:r>
        <w:rPr>
          <w:rFonts w:eastAsia="Arial"/>
          <w:szCs w:val="24"/>
        </w:rPr>
        <w:t xml:space="preserve">Service agreements between the Territory and a </w:t>
      </w:r>
      <w:r w:rsidR="0086376C">
        <w:rPr>
          <w:rFonts w:eastAsia="Arial"/>
          <w:szCs w:val="24"/>
        </w:rPr>
        <w:t xml:space="preserve">service provider </w:t>
      </w:r>
      <w:r>
        <w:rPr>
          <w:rFonts w:eastAsia="Arial"/>
          <w:szCs w:val="24"/>
        </w:rPr>
        <w:t xml:space="preserve">often </w:t>
      </w:r>
      <w:r w:rsidR="0086376C">
        <w:rPr>
          <w:rFonts w:eastAsia="Arial"/>
          <w:szCs w:val="24"/>
        </w:rPr>
        <w:t xml:space="preserve">permits </w:t>
      </w:r>
      <w:r>
        <w:rPr>
          <w:rFonts w:eastAsia="Arial"/>
          <w:szCs w:val="24"/>
        </w:rPr>
        <w:t xml:space="preserve">access to office spaces, outlets, kitchens and such. The application of the Leases Act to these </w:t>
      </w:r>
      <w:r>
        <w:rPr>
          <w:rFonts w:eastAsia="Arial"/>
          <w:szCs w:val="24"/>
        </w:rPr>
        <w:lastRenderedPageBreak/>
        <w:t xml:space="preserve">contracts has a series of obligations and restrictions </w:t>
      </w:r>
      <w:r w:rsidR="00BC1F00">
        <w:rPr>
          <w:rFonts w:eastAsia="Arial"/>
          <w:szCs w:val="24"/>
        </w:rPr>
        <w:t>that are inconsistent with the negotiated terms on the contracts.</w:t>
      </w:r>
      <w:r w:rsidR="00F27EBB">
        <w:rPr>
          <w:rFonts w:eastAsia="Arial"/>
          <w:szCs w:val="24"/>
        </w:rPr>
        <w:t xml:space="preserve"> The Regulation</w:t>
      </w:r>
      <w:r w:rsidR="00BE5C7B">
        <w:rPr>
          <w:rFonts w:eastAsia="Arial"/>
          <w:szCs w:val="24"/>
        </w:rPr>
        <w:t xml:space="preserve"> obviates </w:t>
      </w:r>
      <w:r w:rsidR="00F27EBB">
        <w:rPr>
          <w:rFonts w:eastAsia="Arial"/>
          <w:szCs w:val="24"/>
        </w:rPr>
        <w:t xml:space="preserve">these </w:t>
      </w:r>
      <w:r w:rsidR="00BE5C7B">
        <w:rPr>
          <w:rFonts w:eastAsia="Arial"/>
          <w:szCs w:val="24"/>
        </w:rPr>
        <w:t xml:space="preserve">potential </w:t>
      </w:r>
      <w:r w:rsidR="00F27EBB">
        <w:rPr>
          <w:rFonts w:eastAsia="Arial"/>
          <w:szCs w:val="24"/>
        </w:rPr>
        <w:t xml:space="preserve">inconsistencies </w:t>
      </w:r>
      <w:r w:rsidR="0086376C">
        <w:rPr>
          <w:rFonts w:eastAsia="Arial"/>
          <w:szCs w:val="24"/>
        </w:rPr>
        <w:t>across the prescribed premises</w:t>
      </w:r>
      <w:r w:rsidR="00BE5C7B">
        <w:rPr>
          <w:rFonts w:eastAsia="Arial"/>
          <w:szCs w:val="24"/>
        </w:rPr>
        <w:t xml:space="preserve"> to allow the Territory to enter int</w:t>
      </w:r>
      <w:r w:rsidR="0086376C">
        <w:rPr>
          <w:rFonts w:eastAsia="Arial"/>
          <w:szCs w:val="24"/>
        </w:rPr>
        <w:t>o</w:t>
      </w:r>
      <w:r w:rsidR="00BE5C7B">
        <w:rPr>
          <w:rFonts w:eastAsia="Arial"/>
          <w:szCs w:val="24"/>
        </w:rPr>
        <w:t xml:space="preserve"> service agreements with </w:t>
      </w:r>
      <w:r w:rsidR="0086376C">
        <w:rPr>
          <w:rFonts w:eastAsia="Arial"/>
          <w:szCs w:val="24"/>
        </w:rPr>
        <w:t>service providers</w:t>
      </w:r>
      <w:r w:rsidR="00F27EBB">
        <w:rPr>
          <w:rFonts w:eastAsia="Arial"/>
          <w:szCs w:val="24"/>
        </w:rPr>
        <w:t>.</w:t>
      </w:r>
    </w:p>
    <w:p w14:paraId="5E10C2C2" w14:textId="77777777" w:rsidR="00F27EBB" w:rsidRPr="00F27EBB" w:rsidRDefault="00F27EBB" w:rsidP="708B8757">
      <w:pPr>
        <w:rPr>
          <w:rFonts w:eastAsia="Arial"/>
          <w:szCs w:val="24"/>
        </w:rPr>
      </w:pPr>
    </w:p>
    <w:p w14:paraId="1CCC4751" w14:textId="2605C8DF" w:rsidR="00B81AE7" w:rsidRPr="00BD5060" w:rsidRDefault="00F27EBB" w:rsidP="708B8757">
      <w:pPr>
        <w:rPr>
          <w:rFonts w:eastAsia="Arial"/>
          <w:szCs w:val="24"/>
        </w:rPr>
      </w:pPr>
      <w:r>
        <w:rPr>
          <w:rFonts w:eastAsia="Arial"/>
          <w:szCs w:val="24"/>
        </w:rPr>
        <w:t xml:space="preserve">The Leases Act is ambiguous about the nature of “car parks” as commercial, retail, or vacant spaces, and how the legislation applies obligations, protections, and restrictions for “car parks” if not otherwise specified in a lease. The Regulation resolves the uncertainties for the car park </w:t>
      </w:r>
      <w:r w:rsidR="0086376C">
        <w:rPr>
          <w:rFonts w:eastAsia="Arial"/>
          <w:szCs w:val="24"/>
        </w:rPr>
        <w:t xml:space="preserve">and the lease </w:t>
      </w:r>
      <w:r>
        <w:rPr>
          <w:rFonts w:eastAsia="Arial"/>
          <w:szCs w:val="24"/>
        </w:rPr>
        <w:t>at GIO Stadium</w:t>
      </w:r>
      <w:r w:rsidR="0086376C">
        <w:rPr>
          <w:rFonts w:eastAsia="Arial"/>
          <w:szCs w:val="24"/>
        </w:rPr>
        <w:t xml:space="preserve"> and service agreements at all prescribed premises.</w:t>
      </w:r>
    </w:p>
    <w:p w14:paraId="53BA910B" w14:textId="77777777" w:rsidR="005145C2" w:rsidRPr="00F27EBB" w:rsidRDefault="005145C2" w:rsidP="708B8757"/>
    <w:p w14:paraId="4130B69B" w14:textId="77777777" w:rsidR="005145C2" w:rsidRPr="00F27EBB" w:rsidRDefault="005145C2" w:rsidP="708B8757"/>
    <w:p w14:paraId="55CEA224" w14:textId="0E4CD8B8" w:rsidR="000766F7" w:rsidRDefault="000766F7" w:rsidP="000766F7">
      <w:pPr>
        <w:rPr>
          <w:rFonts w:ascii="Arial" w:eastAsia="Arial" w:hAnsi="Arial" w:cs="Arial"/>
          <w:b/>
          <w:bCs/>
          <w:szCs w:val="24"/>
        </w:rPr>
      </w:pPr>
      <w:r>
        <w:rPr>
          <w:rFonts w:ascii="Arial" w:eastAsia="Arial" w:hAnsi="Arial" w:cs="Arial"/>
          <w:b/>
          <w:bCs/>
          <w:szCs w:val="24"/>
        </w:rPr>
        <w:t>Outline</w:t>
      </w:r>
    </w:p>
    <w:p w14:paraId="102E6A00" w14:textId="77777777" w:rsidR="000766F7" w:rsidRDefault="000766F7" w:rsidP="000766F7">
      <w:pPr>
        <w:rPr>
          <w:rFonts w:ascii="Arial" w:eastAsia="Arial" w:hAnsi="Arial" w:cs="Arial"/>
          <w:b/>
          <w:bCs/>
          <w:szCs w:val="24"/>
        </w:rPr>
      </w:pPr>
    </w:p>
    <w:p w14:paraId="7F9EF01E" w14:textId="1EEDC5B7" w:rsidR="000766F7" w:rsidRDefault="000766F7" w:rsidP="000766F7">
      <w:pPr>
        <w:rPr>
          <w:b/>
          <w:bCs/>
        </w:rPr>
      </w:pPr>
      <w:r>
        <w:rPr>
          <w:b/>
          <w:bCs/>
        </w:rPr>
        <w:t>Regulatory impact statement</w:t>
      </w:r>
    </w:p>
    <w:p w14:paraId="3C5FAE97" w14:textId="77777777" w:rsidR="000766F7" w:rsidRDefault="000766F7" w:rsidP="000766F7">
      <w:pPr>
        <w:rPr>
          <w:b/>
          <w:bCs/>
        </w:rPr>
      </w:pPr>
    </w:p>
    <w:p w14:paraId="157D8834" w14:textId="0F81DA02" w:rsidR="000766F7" w:rsidRDefault="000766F7" w:rsidP="000766F7">
      <w:r>
        <w:t>A regulatory impact statement is not required for this regulation as it does not impose any appreciable costs on the community, or part of the community.</w:t>
      </w:r>
    </w:p>
    <w:p w14:paraId="1082F7AD" w14:textId="77777777" w:rsidR="000766F7" w:rsidRDefault="000766F7" w:rsidP="000766F7"/>
    <w:p w14:paraId="38E22DB9" w14:textId="5A598728" w:rsidR="000766F7" w:rsidRDefault="000766F7" w:rsidP="000766F7">
      <w:pPr>
        <w:rPr>
          <w:b/>
          <w:bCs/>
        </w:rPr>
      </w:pPr>
      <w:r>
        <w:rPr>
          <w:b/>
          <w:bCs/>
        </w:rPr>
        <w:t>Human Rights Implications</w:t>
      </w:r>
    </w:p>
    <w:p w14:paraId="7E97C994" w14:textId="77777777" w:rsidR="000766F7" w:rsidRDefault="000766F7" w:rsidP="000766F7">
      <w:pPr>
        <w:rPr>
          <w:b/>
          <w:bCs/>
        </w:rPr>
      </w:pPr>
    </w:p>
    <w:p w14:paraId="19283DA4" w14:textId="17F11A0D" w:rsidR="000766F7" w:rsidRPr="000766F7" w:rsidRDefault="000766F7" w:rsidP="000766F7">
      <w:r>
        <w:t xml:space="preserve">The regulation does not engage the </w:t>
      </w:r>
      <w:r w:rsidRPr="000766F7">
        <w:rPr>
          <w:i/>
          <w:iCs/>
        </w:rPr>
        <w:t>Human Rights Act 2004</w:t>
      </w:r>
      <w:r>
        <w:t>.</w:t>
      </w:r>
    </w:p>
    <w:p w14:paraId="37D7FD3A" w14:textId="77777777" w:rsidR="006633EE" w:rsidRDefault="006633EE" w:rsidP="006633EE">
      <w:pPr>
        <w:rPr>
          <w:rFonts w:ascii="Arial" w:eastAsia="Arial" w:hAnsi="Arial" w:cs="Arial"/>
          <w:b/>
          <w:bCs/>
          <w:szCs w:val="24"/>
        </w:rPr>
      </w:pPr>
    </w:p>
    <w:p w14:paraId="36843BD1" w14:textId="77777777" w:rsidR="006633EE" w:rsidRDefault="006633EE" w:rsidP="006633EE">
      <w:pPr>
        <w:rPr>
          <w:rFonts w:ascii="Arial" w:eastAsia="Arial" w:hAnsi="Arial" w:cs="Arial"/>
          <w:b/>
          <w:bCs/>
          <w:szCs w:val="24"/>
        </w:rPr>
      </w:pPr>
    </w:p>
    <w:p w14:paraId="584257D6" w14:textId="741A7841" w:rsidR="50A67836" w:rsidRPr="006633EE" w:rsidRDefault="006633EE" w:rsidP="006633EE">
      <w:pPr>
        <w:rPr>
          <w:rFonts w:ascii="Arial" w:eastAsia="Arial" w:hAnsi="Arial" w:cs="Arial"/>
          <w:b/>
          <w:bCs/>
          <w:szCs w:val="24"/>
        </w:rPr>
      </w:pPr>
      <w:r w:rsidRPr="006633EE">
        <w:rPr>
          <w:rFonts w:ascii="Arial" w:eastAsia="Arial" w:hAnsi="Arial" w:cs="Arial"/>
          <w:b/>
          <w:bCs/>
          <w:szCs w:val="24"/>
        </w:rPr>
        <w:t>Detail</w:t>
      </w:r>
    </w:p>
    <w:p w14:paraId="16FF9560" w14:textId="77777777" w:rsidR="006633EE" w:rsidRPr="00303BF1" w:rsidRDefault="006633EE" w:rsidP="00303BF1">
      <w:pPr>
        <w:pStyle w:val="Default"/>
        <w:numPr>
          <w:ilvl w:val="2"/>
          <w:numId w:val="11"/>
        </w:numPr>
        <w:rPr>
          <w:sz w:val="23"/>
          <w:szCs w:val="23"/>
        </w:rPr>
      </w:pPr>
    </w:p>
    <w:p w14:paraId="790ECCC1" w14:textId="17117EA0" w:rsidR="50A67836" w:rsidRDefault="50A67836" w:rsidP="50A67836">
      <w:pPr>
        <w:shd w:val="clear" w:color="auto" w:fill="FFFFFF" w:themeFill="background1"/>
        <w:spacing w:line="259" w:lineRule="auto"/>
        <w:rPr>
          <w:color w:val="000000" w:themeColor="text1"/>
          <w:szCs w:val="24"/>
        </w:rPr>
      </w:pPr>
    </w:p>
    <w:p w14:paraId="17995CF8" w14:textId="46F7E00A" w:rsidR="68625FEF" w:rsidRDefault="005145C2" w:rsidP="708B8757">
      <w:pPr>
        <w:shd w:val="clear" w:color="auto" w:fill="FFFFFF" w:themeFill="background1"/>
      </w:pPr>
      <w:r w:rsidRPr="005145C2">
        <w:rPr>
          <w:b/>
          <w:bCs/>
        </w:rPr>
        <w:t>Clause 1 (Name of Regulation)</w:t>
      </w:r>
      <w:r>
        <w:t xml:space="preserve"> names the Regulation - the </w:t>
      </w:r>
      <w:r w:rsidRPr="005145C2">
        <w:rPr>
          <w:i/>
          <w:iCs/>
        </w:rPr>
        <w:t>Leases (Commercial and Retail) Amendment Regulation 2026 (No 1)</w:t>
      </w:r>
      <w:r>
        <w:t>.</w:t>
      </w:r>
    </w:p>
    <w:p w14:paraId="13CF75B3" w14:textId="77777777" w:rsidR="005145C2" w:rsidRDefault="005145C2" w:rsidP="708B8757">
      <w:pPr>
        <w:shd w:val="clear" w:color="auto" w:fill="FFFFFF" w:themeFill="background1"/>
      </w:pPr>
    </w:p>
    <w:p w14:paraId="5958C963" w14:textId="7AD4D08D" w:rsidR="005145C2" w:rsidRDefault="005145C2" w:rsidP="708B8757">
      <w:pPr>
        <w:shd w:val="clear" w:color="auto" w:fill="FFFFFF" w:themeFill="background1"/>
      </w:pPr>
      <w:r w:rsidRPr="005145C2">
        <w:rPr>
          <w:b/>
          <w:bCs/>
        </w:rPr>
        <w:t>Clause 2 (Commencement)</w:t>
      </w:r>
      <w:r>
        <w:t xml:space="preserve"> provides that the regulation commences on the day after its notification day.</w:t>
      </w:r>
    </w:p>
    <w:p w14:paraId="44C8C316" w14:textId="77777777" w:rsidR="005145C2" w:rsidRDefault="005145C2" w:rsidP="708B8757">
      <w:pPr>
        <w:shd w:val="clear" w:color="auto" w:fill="FFFFFF" w:themeFill="background1"/>
      </w:pPr>
    </w:p>
    <w:p w14:paraId="0E848D82" w14:textId="67F7BABB" w:rsidR="005145C2" w:rsidRDefault="005145C2" w:rsidP="708B8757">
      <w:pPr>
        <w:shd w:val="clear" w:color="auto" w:fill="FFFFFF" w:themeFill="background1"/>
      </w:pPr>
      <w:r w:rsidRPr="005145C2">
        <w:rPr>
          <w:b/>
          <w:bCs/>
        </w:rPr>
        <w:t>Clause 3 (Legislation amended)</w:t>
      </w:r>
      <w:r>
        <w:t xml:space="preserve"> provides that the regulation amends the </w:t>
      </w:r>
      <w:r w:rsidRPr="005145C2">
        <w:rPr>
          <w:i/>
          <w:iCs/>
        </w:rPr>
        <w:t>Leases (Commercial and Retail) Regulation 2002</w:t>
      </w:r>
      <w:r>
        <w:t>.</w:t>
      </w:r>
    </w:p>
    <w:p w14:paraId="390511A1" w14:textId="77777777" w:rsidR="005145C2" w:rsidRDefault="005145C2" w:rsidP="708B8757">
      <w:pPr>
        <w:shd w:val="clear" w:color="auto" w:fill="FFFFFF" w:themeFill="background1"/>
      </w:pPr>
    </w:p>
    <w:p w14:paraId="274B0642" w14:textId="6B9F2A2D" w:rsidR="005145C2" w:rsidRDefault="005145C2" w:rsidP="708B8757">
      <w:pPr>
        <w:shd w:val="clear" w:color="auto" w:fill="FFFFFF" w:themeFill="background1"/>
      </w:pPr>
      <w:r w:rsidRPr="005145C2">
        <w:rPr>
          <w:b/>
          <w:bCs/>
        </w:rPr>
        <w:t>Clause 4 (New section 4 (1) (l) to (m))</w:t>
      </w:r>
      <w:r>
        <w:rPr>
          <w:b/>
          <w:bCs/>
        </w:rPr>
        <w:t xml:space="preserve"> </w:t>
      </w:r>
      <w:r>
        <w:t xml:space="preserve">inserts three new paragraphs into section 4 (1) that exempt the following leases and licenses from the operation of the </w:t>
      </w:r>
      <w:r w:rsidRPr="005145C2">
        <w:rPr>
          <w:i/>
          <w:iCs/>
        </w:rPr>
        <w:t>Leases (Commercial and Retail) Act 2001</w:t>
      </w:r>
      <w:r>
        <w:t xml:space="preserve">.  The </w:t>
      </w:r>
      <w:r w:rsidR="006633EE">
        <w:t>leases and licenses</w:t>
      </w:r>
      <w:r>
        <w:t xml:space="preserve"> are:</w:t>
      </w:r>
    </w:p>
    <w:p w14:paraId="21A4A737" w14:textId="5F75B266" w:rsidR="005145C2" w:rsidRDefault="006633EE" w:rsidP="000766F7">
      <w:pPr>
        <w:pStyle w:val="ListParagraph"/>
        <w:numPr>
          <w:ilvl w:val="0"/>
          <w:numId w:val="13"/>
        </w:numPr>
        <w:shd w:val="clear" w:color="auto" w:fill="FFFFFF" w:themeFill="background1"/>
      </w:pPr>
      <w:r>
        <w:t>A lease of the premises known as GIO Stadium between the Australian Sports Commission (lessor) and the Territory (as tenant);</w:t>
      </w:r>
    </w:p>
    <w:p w14:paraId="243ADECC" w14:textId="2B625147" w:rsidR="006633EE" w:rsidRPr="000766F7" w:rsidRDefault="006633EE" w:rsidP="000766F7">
      <w:pPr>
        <w:pStyle w:val="ListParagraph"/>
        <w:numPr>
          <w:ilvl w:val="0"/>
          <w:numId w:val="13"/>
        </w:numPr>
        <w:shd w:val="clear" w:color="auto" w:fill="FFFFFF" w:themeFill="background1"/>
        <w:rPr>
          <w:color w:val="000000" w:themeColor="text1"/>
          <w:szCs w:val="24"/>
        </w:rPr>
      </w:pPr>
      <w:r w:rsidRPr="000766F7">
        <w:rPr>
          <w:color w:val="000000" w:themeColor="text1"/>
          <w:szCs w:val="24"/>
        </w:rPr>
        <w:t>A licence granted by the Australian Sports Commission to the Territory to use any of the land identified as “car park”; and</w:t>
      </w:r>
    </w:p>
    <w:p w14:paraId="14B1E9FD" w14:textId="77777777" w:rsidR="000766F7" w:rsidRDefault="000766F7" w:rsidP="000766F7">
      <w:pPr>
        <w:pStyle w:val="ListParagraph"/>
        <w:numPr>
          <w:ilvl w:val="0"/>
          <w:numId w:val="13"/>
        </w:numPr>
        <w:shd w:val="clear" w:color="auto" w:fill="FFFFFF" w:themeFill="background1"/>
        <w:rPr>
          <w:color w:val="000000" w:themeColor="text1"/>
          <w:szCs w:val="24"/>
        </w:rPr>
      </w:pPr>
      <w:r w:rsidRPr="000766F7">
        <w:rPr>
          <w:color w:val="000000" w:themeColor="text1"/>
          <w:szCs w:val="24"/>
        </w:rPr>
        <w:t>A lease between the Territory (lessor) and a tenant if the lease provides for the tenant to use any part of the premises known as Exhibition Park in Canberra, the premises known at GIO Stadium and the premises known as Manuka Oval</w:t>
      </w:r>
      <w:r>
        <w:rPr>
          <w:color w:val="000000" w:themeColor="text1"/>
          <w:szCs w:val="24"/>
        </w:rPr>
        <w:t xml:space="preserve"> for the purpose of providing services to the Territory</w:t>
      </w:r>
    </w:p>
    <w:p w14:paraId="01A4F846" w14:textId="3AE0F842" w:rsidR="000766F7" w:rsidRDefault="000766F7" w:rsidP="000766F7">
      <w:pPr>
        <w:shd w:val="clear" w:color="auto" w:fill="FFFFFF" w:themeFill="background1"/>
        <w:rPr>
          <w:color w:val="000000" w:themeColor="text1"/>
          <w:szCs w:val="24"/>
        </w:rPr>
      </w:pPr>
    </w:p>
    <w:p w14:paraId="58174F66" w14:textId="13759EDC" w:rsidR="708B8757" w:rsidRPr="00744C40" w:rsidRDefault="000766F7" w:rsidP="00744C40">
      <w:pPr>
        <w:shd w:val="clear" w:color="auto" w:fill="FFFFFF" w:themeFill="background1"/>
        <w:rPr>
          <w:color w:val="000000" w:themeColor="text1"/>
          <w:szCs w:val="24"/>
        </w:rPr>
      </w:pPr>
      <w:r w:rsidRPr="000766F7">
        <w:rPr>
          <w:b/>
          <w:bCs/>
          <w:color w:val="000000" w:themeColor="text1"/>
          <w:szCs w:val="24"/>
        </w:rPr>
        <w:t>Clause 5 (New section 4 (2))</w:t>
      </w:r>
      <w:r>
        <w:rPr>
          <w:color w:val="000000" w:themeColor="text1"/>
          <w:szCs w:val="24"/>
        </w:rPr>
        <w:t xml:space="preserve"> inserts a new definition of Australian Sports Commission for the purpose of the new section 4 (1) (l) and (m) above</w:t>
      </w:r>
    </w:p>
    <w:sectPr w:rsidR="708B8757" w:rsidRPr="00744C40" w:rsidSect="00C1618B">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5DDCF" w14:textId="77777777" w:rsidR="008B1CDB" w:rsidRDefault="008B1CDB" w:rsidP="006815C9">
      <w:r>
        <w:separator/>
      </w:r>
    </w:p>
  </w:endnote>
  <w:endnote w:type="continuationSeparator" w:id="0">
    <w:p w14:paraId="7811FA77" w14:textId="77777777" w:rsidR="008B1CDB" w:rsidRDefault="008B1CDB" w:rsidP="0068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D5A5" w14:textId="77777777" w:rsidR="00091D34" w:rsidRDefault="00091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AFD9C" w14:textId="1DB8070B" w:rsidR="00091D34" w:rsidRPr="00BB3AD1" w:rsidRDefault="00BB3AD1" w:rsidP="00BB3AD1">
    <w:pPr>
      <w:pStyle w:val="Footer"/>
      <w:jc w:val="center"/>
      <w:rPr>
        <w:rFonts w:cs="Arial"/>
        <w:sz w:val="14"/>
      </w:rPr>
    </w:pPr>
    <w:r w:rsidRPr="00BB3AD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BBE3" w14:textId="77777777" w:rsidR="00091D34" w:rsidRDefault="00091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16445" w14:textId="77777777" w:rsidR="008B1CDB" w:rsidRDefault="008B1CDB" w:rsidP="006815C9">
      <w:r>
        <w:separator/>
      </w:r>
    </w:p>
  </w:footnote>
  <w:footnote w:type="continuationSeparator" w:id="0">
    <w:p w14:paraId="40484265" w14:textId="77777777" w:rsidR="008B1CDB" w:rsidRDefault="008B1CDB" w:rsidP="0068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A809" w14:textId="77777777" w:rsidR="00091D34" w:rsidRDefault="00091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378F" w14:textId="77777777" w:rsidR="00091D34" w:rsidRDefault="00091D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940D" w14:textId="77777777" w:rsidR="00091D34" w:rsidRDefault="00091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385D909"/>
    <w:multiLevelType w:val="hybridMultilevel"/>
    <w:tmpl w:val="FFFFFFFF"/>
    <w:lvl w:ilvl="0" w:tplc="FFFFFFFF">
      <w:start w:val="1"/>
      <w:numFmt w:val="upp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8E14580"/>
    <w:multiLevelType w:val="hybridMultilevel"/>
    <w:tmpl w:val="2418F1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5"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D30BC7B"/>
    <w:multiLevelType w:val="hybridMultilevel"/>
    <w:tmpl w:val="FFFFFFFF"/>
    <w:lvl w:ilvl="0" w:tplc="FFFFFFFF">
      <w:start w:val="1"/>
      <w:numFmt w:val="upp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B8E12B3"/>
    <w:multiLevelType w:val="hybridMultilevel"/>
    <w:tmpl w:val="9EDE24C6"/>
    <w:lvl w:ilvl="0" w:tplc="608C43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9"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0"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1" w15:restartNumberingAfterBreak="0">
    <w:nsid w:val="563454CF"/>
    <w:multiLevelType w:val="multilevel"/>
    <w:tmpl w:val="B3E87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2"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1201745608">
    <w:abstractNumId w:val="4"/>
  </w:num>
  <w:num w:numId="2" w16cid:durableId="898133956">
    <w:abstractNumId w:val="0"/>
  </w:num>
  <w:num w:numId="3" w16cid:durableId="1939874412">
    <w:abstractNumId w:val="5"/>
  </w:num>
  <w:num w:numId="4" w16cid:durableId="770860997">
    <w:abstractNumId w:val="10"/>
  </w:num>
  <w:num w:numId="5" w16cid:durableId="1562715774">
    <w:abstractNumId w:val="12"/>
  </w:num>
  <w:num w:numId="6" w16cid:durableId="1735618565">
    <w:abstractNumId w:val="2"/>
  </w:num>
  <w:num w:numId="7" w16cid:durableId="595599255">
    <w:abstractNumId w:val="8"/>
  </w:num>
  <w:num w:numId="8" w16cid:durableId="1931044900">
    <w:abstractNumId w:val="9"/>
  </w:num>
  <w:num w:numId="9" w16cid:durableId="1600675811">
    <w:abstractNumId w:val="11"/>
  </w:num>
  <w:num w:numId="10" w16cid:durableId="134108023">
    <w:abstractNumId w:val="1"/>
  </w:num>
  <w:num w:numId="11" w16cid:durableId="1467502030">
    <w:abstractNumId w:val="6"/>
  </w:num>
  <w:num w:numId="12" w16cid:durableId="863594176">
    <w:abstractNumId w:val="7"/>
  </w:num>
  <w:num w:numId="13" w16cid:durableId="516431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1D"/>
    <w:rsid w:val="000068E1"/>
    <w:rsid w:val="00023697"/>
    <w:rsid w:val="00040E22"/>
    <w:rsid w:val="000766F7"/>
    <w:rsid w:val="0008671C"/>
    <w:rsid w:val="00091D34"/>
    <w:rsid w:val="002560AE"/>
    <w:rsid w:val="002655A2"/>
    <w:rsid w:val="002E7CA8"/>
    <w:rsid w:val="00303BF1"/>
    <w:rsid w:val="0050300F"/>
    <w:rsid w:val="005136D6"/>
    <w:rsid w:val="005145C2"/>
    <w:rsid w:val="00586EF3"/>
    <w:rsid w:val="005D2F8F"/>
    <w:rsid w:val="006330E8"/>
    <w:rsid w:val="006633EE"/>
    <w:rsid w:val="006815C9"/>
    <w:rsid w:val="00683693"/>
    <w:rsid w:val="006A0343"/>
    <w:rsid w:val="006E7046"/>
    <w:rsid w:val="006F7D30"/>
    <w:rsid w:val="00744C40"/>
    <w:rsid w:val="0077102E"/>
    <w:rsid w:val="00783ECF"/>
    <w:rsid w:val="008511EC"/>
    <w:rsid w:val="0086376C"/>
    <w:rsid w:val="00892616"/>
    <w:rsid w:val="008B1CDB"/>
    <w:rsid w:val="008C58F8"/>
    <w:rsid w:val="00914722"/>
    <w:rsid w:val="0092723D"/>
    <w:rsid w:val="009B0E4D"/>
    <w:rsid w:val="009D6F82"/>
    <w:rsid w:val="00A96F50"/>
    <w:rsid w:val="00B03DEB"/>
    <w:rsid w:val="00B629C8"/>
    <w:rsid w:val="00B81AE7"/>
    <w:rsid w:val="00BB3AD1"/>
    <w:rsid w:val="00BC1F00"/>
    <w:rsid w:val="00BD5060"/>
    <w:rsid w:val="00BE5C7B"/>
    <w:rsid w:val="00BE723E"/>
    <w:rsid w:val="00C1618B"/>
    <w:rsid w:val="00C72B4E"/>
    <w:rsid w:val="00C7451B"/>
    <w:rsid w:val="00C856C6"/>
    <w:rsid w:val="00C9040E"/>
    <w:rsid w:val="00C929B1"/>
    <w:rsid w:val="00CB0E7C"/>
    <w:rsid w:val="00CC4C2B"/>
    <w:rsid w:val="00CD540E"/>
    <w:rsid w:val="00D069C7"/>
    <w:rsid w:val="00E13C09"/>
    <w:rsid w:val="00EF4886"/>
    <w:rsid w:val="00F01BA5"/>
    <w:rsid w:val="00F27EBB"/>
    <w:rsid w:val="00F5371D"/>
    <w:rsid w:val="00F6388C"/>
    <w:rsid w:val="00F975EA"/>
    <w:rsid w:val="00FF5944"/>
    <w:rsid w:val="03BBBCCC"/>
    <w:rsid w:val="05443267"/>
    <w:rsid w:val="0599117C"/>
    <w:rsid w:val="073ED860"/>
    <w:rsid w:val="08FE4411"/>
    <w:rsid w:val="09814062"/>
    <w:rsid w:val="0C885A77"/>
    <w:rsid w:val="0D183721"/>
    <w:rsid w:val="0D42FA34"/>
    <w:rsid w:val="0FD2F7D2"/>
    <w:rsid w:val="10C0C247"/>
    <w:rsid w:val="1335BFF9"/>
    <w:rsid w:val="13D45283"/>
    <w:rsid w:val="146F0556"/>
    <w:rsid w:val="1C500BB6"/>
    <w:rsid w:val="1DA32667"/>
    <w:rsid w:val="1EF56EC3"/>
    <w:rsid w:val="1F9CE097"/>
    <w:rsid w:val="201427CE"/>
    <w:rsid w:val="2111ED9F"/>
    <w:rsid w:val="2372F4E9"/>
    <w:rsid w:val="23C72A03"/>
    <w:rsid w:val="26DA347D"/>
    <w:rsid w:val="271E427C"/>
    <w:rsid w:val="28C37BD8"/>
    <w:rsid w:val="2BAC2DAA"/>
    <w:rsid w:val="2D694E9A"/>
    <w:rsid w:val="3131DC41"/>
    <w:rsid w:val="316EA6BF"/>
    <w:rsid w:val="32ED08DC"/>
    <w:rsid w:val="36BA3A39"/>
    <w:rsid w:val="38564D66"/>
    <w:rsid w:val="38FD09EC"/>
    <w:rsid w:val="3963177C"/>
    <w:rsid w:val="3AE327A6"/>
    <w:rsid w:val="3BCB81E7"/>
    <w:rsid w:val="4045FDA6"/>
    <w:rsid w:val="40AC9B9D"/>
    <w:rsid w:val="40C8E43D"/>
    <w:rsid w:val="42CD3683"/>
    <w:rsid w:val="432427B9"/>
    <w:rsid w:val="4336EBAB"/>
    <w:rsid w:val="49D949B1"/>
    <w:rsid w:val="4ADB7495"/>
    <w:rsid w:val="4B8A5DF2"/>
    <w:rsid w:val="4BA2106D"/>
    <w:rsid w:val="4BD369C8"/>
    <w:rsid w:val="4EFB8930"/>
    <w:rsid w:val="5028685D"/>
    <w:rsid w:val="50A67836"/>
    <w:rsid w:val="50A926A3"/>
    <w:rsid w:val="51A4F1E9"/>
    <w:rsid w:val="56CECA46"/>
    <w:rsid w:val="582F19E6"/>
    <w:rsid w:val="5894B0A1"/>
    <w:rsid w:val="598F503A"/>
    <w:rsid w:val="5A283F08"/>
    <w:rsid w:val="5C37ACD1"/>
    <w:rsid w:val="5E361135"/>
    <w:rsid w:val="5EE9DBE1"/>
    <w:rsid w:val="5FB7030D"/>
    <w:rsid w:val="612BAF9A"/>
    <w:rsid w:val="615EBB56"/>
    <w:rsid w:val="62888AA5"/>
    <w:rsid w:val="64566AEE"/>
    <w:rsid w:val="66462A73"/>
    <w:rsid w:val="66970695"/>
    <w:rsid w:val="67887047"/>
    <w:rsid w:val="68181C21"/>
    <w:rsid w:val="6829F48F"/>
    <w:rsid w:val="68625FEF"/>
    <w:rsid w:val="6C6C7841"/>
    <w:rsid w:val="6FB14733"/>
    <w:rsid w:val="708B8757"/>
    <w:rsid w:val="7188A185"/>
    <w:rsid w:val="7249E67B"/>
    <w:rsid w:val="74FFAD47"/>
    <w:rsid w:val="761A06F6"/>
    <w:rsid w:val="7661F324"/>
    <w:rsid w:val="79FF1350"/>
    <w:rsid w:val="7ECF50FC"/>
    <w:rsid w:val="7FD2A54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CC01F"/>
  <w15:docId w15:val="{44EDC86D-0069-4582-B49A-2BADA6F7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18B"/>
    <w:rPr>
      <w:sz w:val="24"/>
      <w:lang w:eastAsia="en-US"/>
    </w:rPr>
  </w:style>
  <w:style w:type="paragraph" w:styleId="Heading1">
    <w:name w:val="heading 1"/>
    <w:basedOn w:val="Normal"/>
    <w:next w:val="Normal"/>
    <w:qFormat/>
    <w:rsid w:val="00C1618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C1618B"/>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C1618B"/>
    <w:pPr>
      <w:keepNext/>
      <w:pBdr>
        <w:right w:val="single" w:sz="4" w:space="4" w:color="auto"/>
      </w:pBdr>
      <w:outlineLvl w:val="2"/>
    </w:pPr>
    <w:rPr>
      <w:i/>
      <w:iCs/>
      <w:sz w:val="22"/>
      <w:szCs w:val="22"/>
    </w:rPr>
  </w:style>
  <w:style w:type="paragraph" w:styleId="Heading4">
    <w:name w:val="heading 4"/>
    <w:basedOn w:val="Normal"/>
    <w:next w:val="Normal"/>
    <w:qFormat/>
    <w:rsid w:val="00C1618B"/>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618B"/>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C1618B"/>
    <w:pPr>
      <w:tabs>
        <w:tab w:val="left" w:pos="2880"/>
      </w:tabs>
      <w:spacing w:before="120" w:after="60" w:line="240" w:lineRule="exact"/>
    </w:pPr>
    <w:rPr>
      <w:rFonts w:ascii="Arial" w:hAnsi="Arial"/>
      <w:sz w:val="18"/>
    </w:rPr>
  </w:style>
  <w:style w:type="paragraph" w:customStyle="1" w:styleId="Billname">
    <w:name w:val="Billname"/>
    <w:basedOn w:val="Normal"/>
    <w:rsid w:val="00C1618B"/>
    <w:pPr>
      <w:tabs>
        <w:tab w:val="left" w:pos="2400"/>
        <w:tab w:val="left" w:pos="2880"/>
      </w:tabs>
      <w:spacing w:before="1220" w:after="100"/>
    </w:pPr>
    <w:rPr>
      <w:rFonts w:ascii="Arial" w:hAnsi="Arial"/>
      <w:b/>
      <w:sz w:val="40"/>
    </w:rPr>
  </w:style>
  <w:style w:type="paragraph" w:customStyle="1" w:styleId="Amain">
    <w:name w:val="A main"/>
    <w:basedOn w:val="Normal"/>
    <w:rsid w:val="00C1618B"/>
    <w:pPr>
      <w:tabs>
        <w:tab w:val="right" w:pos="500"/>
        <w:tab w:val="left" w:pos="700"/>
      </w:tabs>
      <w:spacing w:before="80" w:after="60"/>
      <w:ind w:left="700" w:hanging="700"/>
      <w:jc w:val="both"/>
      <w:outlineLvl w:val="5"/>
    </w:pPr>
  </w:style>
  <w:style w:type="paragraph" w:customStyle="1" w:styleId="N-line3">
    <w:name w:val="N-line3"/>
    <w:basedOn w:val="Normal"/>
    <w:next w:val="Normal"/>
    <w:rsid w:val="00C1618B"/>
    <w:pPr>
      <w:pBdr>
        <w:bottom w:val="single" w:sz="12" w:space="1" w:color="auto"/>
      </w:pBdr>
      <w:jc w:val="both"/>
    </w:pPr>
  </w:style>
  <w:style w:type="paragraph" w:customStyle="1" w:styleId="madeunder">
    <w:name w:val="made under"/>
    <w:basedOn w:val="Normal"/>
    <w:rsid w:val="00C1618B"/>
    <w:pPr>
      <w:spacing w:before="180" w:after="60"/>
      <w:jc w:val="both"/>
    </w:pPr>
  </w:style>
  <w:style w:type="paragraph" w:customStyle="1" w:styleId="CoverActName">
    <w:name w:val="CoverActName"/>
    <w:basedOn w:val="Normal"/>
    <w:rsid w:val="00C1618B"/>
    <w:pPr>
      <w:tabs>
        <w:tab w:val="left" w:pos="2600"/>
      </w:tabs>
      <w:spacing w:before="200" w:after="60"/>
      <w:jc w:val="both"/>
    </w:pPr>
    <w:rPr>
      <w:rFonts w:ascii="Arial" w:hAnsi="Arial"/>
      <w:b/>
    </w:rPr>
  </w:style>
  <w:style w:type="paragraph" w:customStyle="1" w:styleId="06Copyright">
    <w:name w:val="06Copyright"/>
    <w:basedOn w:val="Normal"/>
    <w:rsid w:val="00C1618B"/>
    <w:pPr>
      <w:tabs>
        <w:tab w:val="left" w:pos="2880"/>
      </w:tabs>
    </w:pPr>
  </w:style>
  <w:style w:type="paragraph" w:customStyle="1" w:styleId="Apara">
    <w:name w:val="A para"/>
    <w:basedOn w:val="Normal"/>
    <w:rsid w:val="00C1618B"/>
    <w:pPr>
      <w:numPr>
        <w:ilvl w:val="6"/>
        <w:numId w:val="9"/>
      </w:numPr>
      <w:spacing w:before="80" w:after="60"/>
      <w:jc w:val="both"/>
      <w:outlineLvl w:val="6"/>
    </w:pPr>
  </w:style>
  <w:style w:type="paragraph" w:customStyle="1" w:styleId="Asubpara">
    <w:name w:val="A subpara"/>
    <w:basedOn w:val="Normal"/>
    <w:rsid w:val="00C1618B"/>
    <w:pPr>
      <w:numPr>
        <w:ilvl w:val="7"/>
        <w:numId w:val="9"/>
      </w:numPr>
      <w:spacing w:before="80" w:after="60"/>
      <w:jc w:val="both"/>
      <w:outlineLvl w:val="7"/>
    </w:pPr>
  </w:style>
  <w:style w:type="paragraph" w:customStyle="1" w:styleId="Asubsubpara">
    <w:name w:val="A subsubpara"/>
    <w:basedOn w:val="Normal"/>
    <w:rsid w:val="00C1618B"/>
    <w:pPr>
      <w:numPr>
        <w:ilvl w:val="8"/>
        <w:numId w:val="9"/>
      </w:numPr>
      <w:spacing w:before="80" w:after="60"/>
      <w:jc w:val="both"/>
      <w:outlineLvl w:val="8"/>
    </w:pPr>
  </w:style>
  <w:style w:type="paragraph" w:customStyle="1" w:styleId="AH5Sec">
    <w:name w:val="A H5 Sec"/>
    <w:basedOn w:val="Normal"/>
    <w:next w:val="Amain"/>
    <w:rsid w:val="00C1618B"/>
    <w:pPr>
      <w:keepNext/>
      <w:numPr>
        <w:ilvl w:val="4"/>
        <w:numId w:val="1"/>
      </w:numPr>
      <w:spacing w:before="180" w:after="60"/>
      <w:outlineLvl w:val="4"/>
    </w:pPr>
    <w:rPr>
      <w:rFonts w:ascii="Arial" w:hAnsi="Arial"/>
      <w:b/>
    </w:rPr>
  </w:style>
  <w:style w:type="paragraph" w:styleId="Header">
    <w:name w:val="header"/>
    <w:basedOn w:val="Normal"/>
    <w:semiHidden/>
    <w:rsid w:val="00C1618B"/>
    <w:pPr>
      <w:tabs>
        <w:tab w:val="left" w:pos="2880"/>
        <w:tab w:val="center" w:pos="4153"/>
        <w:tab w:val="right" w:pos="8306"/>
      </w:tabs>
    </w:pPr>
  </w:style>
  <w:style w:type="paragraph" w:customStyle="1" w:styleId="ref">
    <w:name w:val="ref"/>
    <w:basedOn w:val="Normal"/>
    <w:next w:val="Normal"/>
    <w:rsid w:val="00C1618B"/>
    <w:pPr>
      <w:spacing w:after="60"/>
      <w:jc w:val="both"/>
    </w:pPr>
    <w:rPr>
      <w:sz w:val="18"/>
    </w:rPr>
  </w:style>
  <w:style w:type="character" w:customStyle="1" w:styleId="CharDivText">
    <w:name w:val="CharDivText"/>
    <w:basedOn w:val="DefaultParagraphFont"/>
    <w:rsid w:val="00C1618B"/>
  </w:style>
  <w:style w:type="paragraph" w:customStyle="1" w:styleId="CoverInForce">
    <w:name w:val="CoverInForce"/>
    <w:basedOn w:val="Normal"/>
    <w:rsid w:val="00C1618B"/>
    <w:pPr>
      <w:tabs>
        <w:tab w:val="left" w:pos="2600"/>
      </w:tabs>
      <w:spacing w:before="200" w:after="60"/>
      <w:jc w:val="both"/>
    </w:pPr>
    <w:rPr>
      <w:rFonts w:ascii="Arial" w:hAnsi="Arial"/>
    </w:rPr>
  </w:style>
  <w:style w:type="paragraph" w:customStyle="1" w:styleId="AFHdg">
    <w:name w:val="AFHdg"/>
    <w:basedOn w:val="Normal"/>
    <w:rsid w:val="00C1618B"/>
    <w:pPr>
      <w:tabs>
        <w:tab w:val="left" w:pos="2600"/>
      </w:tabs>
      <w:spacing w:before="80" w:after="60"/>
      <w:jc w:val="both"/>
    </w:pPr>
    <w:rPr>
      <w:rFonts w:ascii="Arial" w:hAnsi="Arial"/>
      <w:b/>
      <w:sz w:val="32"/>
    </w:rPr>
  </w:style>
  <w:style w:type="paragraph" w:customStyle="1" w:styleId="ApprFormHd">
    <w:name w:val="ApprFormHd"/>
    <w:basedOn w:val="Normal"/>
    <w:rsid w:val="00C1618B"/>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C1618B"/>
  </w:style>
  <w:style w:type="paragraph" w:customStyle="1" w:styleId="Aparabullet">
    <w:name w:val="A para bullet"/>
    <w:basedOn w:val="Normal"/>
    <w:rsid w:val="00C1618B"/>
    <w:pPr>
      <w:numPr>
        <w:numId w:val="4"/>
      </w:numPr>
    </w:pPr>
  </w:style>
  <w:style w:type="paragraph" w:styleId="TOC1">
    <w:name w:val="toc 1"/>
    <w:basedOn w:val="Normal"/>
    <w:next w:val="Normal"/>
    <w:autoRedefine/>
    <w:semiHidden/>
    <w:rsid w:val="00C1618B"/>
  </w:style>
  <w:style w:type="paragraph" w:styleId="TOC2">
    <w:name w:val="toc 2"/>
    <w:basedOn w:val="Normal"/>
    <w:next w:val="Normal"/>
    <w:autoRedefine/>
    <w:semiHidden/>
    <w:rsid w:val="00C1618B"/>
    <w:pPr>
      <w:ind w:left="240"/>
    </w:pPr>
  </w:style>
  <w:style w:type="paragraph" w:styleId="TOC3">
    <w:name w:val="toc 3"/>
    <w:basedOn w:val="Normal"/>
    <w:next w:val="Normal"/>
    <w:autoRedefine/>
    <w:semiHidden/>
    <w:rsid w:val="00C1618B"/>
    <w:pPr>
      <w:ind w:left="480"/>
    </w:pPr>
  </w:style>
  <w:style w:type="paragraph" w:styleId="TOC4">
    <w:name w:val="toc 4"/>
    <w:basedOn w:val="Normal"/>
    <w:next w:val="Normal"/>
    <w:autoRedefine/>
    <w:semiHidden/>
    <w:rsid w:val="00C1618B"/>
    <w:pPr>
      <w:ind w:left="720"/>
    </w:pPr>
  </w:style>
  <w:style w:type="paragraph" w:styleId="TOC5">
    <w:name w:val="toc 5"/>
    <w:basedOn w:val="Normal"/>
    <w:next w:val="Normal"/>
    <w:autoRedefine/>
    <w:semiHidden/>
    <w:rsid w:val="00C1618B"/>
    <w:pPr>
      <w:ind w:left="960"/>
    </w:pPr>
  </w:style>
  <w:style w:type="paragraph" w:styleId="TOC6">
    <w:name w:val="toc 6"/>
    <w:basedOn w:val="Normal"/>
    <w:next w:val="Normal"/>
    <w:autoRedefine/>
    <w:semiHidden/>
    <w:rsid w:val="00C1618B"/>
    <w:pPr>
      <w:ind w:left="1200"/>
    </w:pPr>
  </w:style>
  <w:style w:type="paragraph" w:styleId="TOC7">
    <w:name w:val="toc 7"/>
    <w:basedOn w:val="Normal"/>
    <w:next w:val="Normal"/>
    <w:autoRedefine/>
    <w:semiHidden/>
    <w:rsid w:val="00C1618B"/>
    <w:pPr>
      <w:ind w:left="1440"/>
    </w:pPr>
  </w:style>
  <w:style w:type="paragraph" w:styleId="TOC8">
    <w:name w:val="toc 8"/>
    <w:basedOn w:val="Normal"/>
    <w:next w:val="Normal"/>
    <w:autoRedefine/>
    <w:semiHidden/>
    <w:rsid w:val="00C1618B"/>
    <w:pPr>
      <w:ind w:left="1680"/>
    </w:pPr>
  </w:style>
  <w:style w:type="paragraph" w:styleId="TOC9">
    <w:name w:val="toc 9"/>
    <w:basedOn w:val="Normal"/>
    <w:next w:val="Normal"/>
    <w:autoRedefine/>
    <w:semiHidden/>
    <w:rsid w:val="00C1618B"/>
    <w:pPr>
      <w:ind w:left="1920"/>
    </w:pPr>
  </w:style>
  <w:style w:type="character" w:styleId="Hyperlink">
    <w:name w:val="Hyperlink"/>
    <w:basedOn w:val="DefaultParagraphFont"/>
    <w:semiHidden/>
    <w:rsid w:val="00C1618B"/>
    <w:rPr>
      <w:color w:val="0000FF"/>
      <w:u w:val="single"/>
    </w:rPr>
  </w:style>
  <w:style w:type="paragraph" w:styleId="BodyTextIndent">
    <w:name w:val="Body Text Indent"/>
    <w:basedOn w:val="Normal"/>
    <w:semiHidden/>
    <w:rsid w:val="00C1618B"/>
    <w:pPr>
      <w:spacing w:before="120" w:after="60"/>
      <w:ind w:left="709"/>
    </w:pPr>
  </w:style>
  <w:style w:type="paragraph" w:customStyle="1" w:styleId="Minister">
    <w:name w:val="Minister"/>
    <w:basedOn w:val="Normal"/>
    <w:rsid w:val="00C1618B"/>
    <w:pPr>
      <w:spacing w:before="880" w:after="60"/>
      <w:jc w:val="right"/>
    </w:pPr>
    <w:rPr>
      <w:caps/>
      <w:szCs w:val="24"/>
    </w:rPr>
  </w:style>
  <w:style w:type="paragraph" w:customStyle="1" w:styleId="DateLine">
    <w:name w:val="DateLine"/>
    <w:basedOn w:val="Normal"/>
    <w:rsid w:val="00C1618B"/>
    <w:pPr>
      <w:tabs>
        <w:tab w:val="left" w:pos="4320"/>
      </w:tabs>
      <w:spacing w:before="80" w:after="60"/>
      <w:jc w:val="both"/>
    </w:pPr>
    <w:rPr>
      <w:szCs w:val="24"/>
    </w:rPr>
  </w:style>
  <w:style w:type="paragraph" w:customStyle="1" w:styleId="MinisterWord">
    <w:name w:val="MinisterWord"/>
    <w:basedOn w:val="Normal"/>
    <w:rsid w:val="00C1618B"/>
    <w:pPr>
      <w:tabs>
        <w:tab w:val="left" w:pos="2880"/>
      </w:tabs>
      <w:jc w:val="right"/>
    </w:pPr>
    <w:rPr>
      <w:szCs w:val="24"/>
    </w:rPr>
  </w:style>
  <w:style w:type="character" w:styleId="FollowedHyperlink">
    <w:name w:val="FollowedHyperlink"/>
    <w:basedOn w:val="DefaultParagraphFont"/>
    <w:semiHidden/>
    <w:rsid w:val="00C1618B"/>
    <w:rPr>
      <w:color w:val="800080"/>
      <w:u w:val="single"/>
    </w:rPr>
  </w:style>
  <w:style w:type="character" w:styleId="FootnoteReference">
    <w:name w:val="footnote reference"/>
    <w:basedOn w:val="DefaultParagraphFont"/>
    <w:semiHidden/>
    <w:rsid w:val="00C1618B"/>
    <w:rPr>
      <w:rFonts w:ascii="Times New Roman" w:hAnsi="Times New Roman" w:cs="Times New Roman"/>
      <w:sz w:val="24"/>
      <w:szCs w:val="24"/>
      <w:vertAlign w:val="superscript"/>
    </w:rPr>
  </w:style>
  <w:style w:type="paragraph" w:styleId="FootnoteText">
    <w:name w:val="footnote text"/>
    <w:basedOn w:val="Normal"/>
    <w:semiHidden/>
    <w:rsid w:val="00C1618B"/>
    <w:pPr>
      <w:spacing w:before="80" w:after="60"/>
      <w:jc w:val="both"/>
    </w:pPr>
    <w:rPr>
      <w:szCs w:val="24"/>
    </w:rPr>
  </w:style>
  <w:style w:type="paragraph" w:customStyle="1" w:styleId="ShadedSchClause">
    <w:name w:val="Shaded Sch Clause"/>
    <w:basedOn w:val="Normal"/>
    <w:next w:val="Normal"/>
    <w:rsid w:val="00C1618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C1618B"/>
  </w:style>
  <w:style w:type="paragraph" w:customStyle="1" w:styleId="Default">
    <w:name w:val="Default"/>
    <w:rsid w:val="00F6388C"/>
    <w:pPr>
      <w:autoSpaceDE w:val="0"/>
      <w:autoSpaceDN w:val="0"/>
      <w:adjustRightInd w:val="0"/>
    </w:pPr>
    <w:rPr>
      <w:color w:val="000000"/>
      <w:sz w:val="24"/>
      <w:szCs w:val="24"/>
    </w:rPr>
  </w:style>
  <w:style w:type="paragraph" w:styleId="ListParagraph">
    <w:name w:val="List Paragraph"/>
    <w:basedOn w:val="Normal"/>
    <w:uiPriority w:val="34"/>
    <w:qFormat/>
    <w:rsid w:val="00F6388C"/>
    <w:pPr>
      <w:ind w:left="720"/>
      <w:contextualSpacing/>
    </w:pPr>
  </w:style>
  <w:style w:type="paragraph" w:styleId="Revision">
    <w:name w:val="Revision"/>
    <w:hidden/>
    <w:uiPriority w:val="99"/>
    <w:semiHidden/>
    <w:rsid w:val="0092723D"/>
    <w:rPr>
      <w:sz w:val="24"/>
      <w:lang w:eastAsia="en-US"/>
    </w:rPr>
  </w:style>
  <w:style w:type="character" w:styleId="CommentReference">
    <w:name w:val="annotation reference"/>
    <w:basedOn w:val="DefaultParagraphFont"/>
    <w:uiPriority w:val="99"/>
    <w:semiHidden/>
    <w:unhideWhenUsed/>
    <w:rsid w:val="0050300F"/>
    <w:rPr>
      <w:sz w:val="16"/>
      <w:szCs w:val="16"/>
    </w:rPr>
  </w:style>
  <w:style w:type="paragraph" w:styleId="CommentText">
    <w:name w:val="annotation text"/>
    <w:basedOn w:val="Normal"/>
    <w:link w:val="CommentTextChar"/>
    <w:uiPriority w:val="99"/>
    <w:unhideWhenUsed/>
    <w:rsid w:val="0050300F"/>
    <w:rPr>
      <w:sz w:val="20"/>
    </w:rPr>
  </w:style>
  <w:style w:type="character" w:customStyle="1" w:styleId="CommentTextChar">
    <w:name w:val="Comment Text Char"/>
    <w:basedOn w:val="DefaultParagraphFont"/>
    <w:link w:val="CommentText"/>
    <w:uiPriority w:val="99"/>
    <w:rsid w:val="0050300F"/>
    <w:rPr>
      <w:lang w:eastAsia="en-US"/>
    </w:rPr>
  </w:style>
  <w:style w:type="paragraph" w:styleId="CommentSubject">
    <w:name w:val="annotation subject"/>
    <w:basedOn w:val="CommentText"/>
    <w:next w:val="CommentText"/>
    <w:link w:val="CommentSubjectChar"/>
    <w:uiPriority w:val="99"/>
    <w:semiHidden/>
    <w:unhideWhenUsed/>
    <w:rsid w:val="0050300F"/>
    <w:rPr>
      <w:b/>
      <w:bCs/>
    </w:rPr>
  </w:style>
  <w:style w:type="character" w:customStyle="1" w:styleId="CommentSubjectChar">
    <w:name w:val="Comment Subject Char"/>
    <w:basedOn w:val="CommentTextChar"/>
    <w:link w:val="CommentSubject"/>
    <w:uiPriority w:val="99"/>
    <w:semiHidden/>
    <w:rsid w:val="0050300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A1B19-7055-4CE9-A88A-C3720ADCA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3562</Characters>
  <Application>Microsoft Office Word</Application>
  <DocSecurity>0</DocSecurity>
  <Lines>91</Lines>
  <Paragraphs>28</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2026-05-20T07:21:00Z</dcterms:created>
  <dcterms:modified xsi:type="dcterms:W3CDTF">2026-05-20T07:21:00Z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2026-02-04T00:27:47Z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6f271ec1-5f73-484f-901c-5891854f55fe</vt:lpwstr>
  </property>
  <property fmtid="{D5CDD505-2E9C-101B-9397-08002B2CF9AE}" pid="8" name="MSIP_Label_69af8531-eb46-4968-8cb3-105d2f5ea87e_ContentBits">
    <vt:lpwstr>0</vt:lpwstr>
  </property>
  <property fmtid="{D5CDD505-2E9C-101B-9397-08002B2CF9AE}" pid="9" name="MSIP_Label_69af8531-eb46-4968-8cb3-105d2f5ea87e_Tag">
    <vt:lpwstr>10, 3, 0, 2</vt:lpwstr>
  </property>
  <property fmtid="{D5CDD505-2E9C-101B-9397-08002B2CF9AE}" pid="10" name="CHECKEDOUTFROMJMS">
    <vt:lpwstr/>
  </property>
  <property fmtid="{D5CDD505-2E9C-101B-9397-08002B2CF9AE}" pid="11" name="DMSID">
    <vt:lpwstr>15512368</vt:lpwstr>
  </property>
  <property fmtid="{D5CDD505-2E9C-101B-9397-08002B2CF9AE}" pid="12" name="JMSREQUIREDCHECKIN">
    <vt:lpwstr/>
  </property>
</Properties>
</file>