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381C7"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0B695AB3" w14:textId="60D9AF03" w:rsidR="005A2368" w:rsidRDefault="005A2368" w:rsidP="005A2368">
      <w:pPr>
        <w:pStyle w:val="Billname"/>
        <w:spacing w:before="700"/>
      </w:pPr>
      <w:bookmarkStart w:id="1" w:name="_Hlk212197080"/>
      <w:r>
        <w:t>Blood Donation (Transmittable Diseases) Blood Donor Form 202</w:t>
      </w:r>
      <w:r w:rsidR="001C7926">
        <w:t>6</w:t>
      </w:r>
      <w:r>
        <w:t xml:space="preserve"> (No 1)</w:t>
      </w:r>
    </w:p>
    <w:bookmarkEnd w:id="1"/>
    <w:p w14:paraId="055F6680" w14:textId="3C7AA4A1" w:rsidR="005A2368" w:rsidRDefault="005A2368" w:rsidP="005A2368">
      <w:pPr>
        <w:spacing w:before="240" w:after="60"/>
        <w:rPr>
          <w:rFonts w:ascii="Arial" w:hAnsi="Arial" w:cs="Arial"/>
          <w:b/>
          <w:bCs/>
        </w:rPr>
      </w:pPr>
      <w:r>
        <w:rPr>
          <w:rFonts w:ascii="Arial" w:hAnsi="Arial" w:cs="Arial"/>
          <w:b/>
          <w:bCs/>
        </w:rPr>
        <w:t>Disallowable instrument DI202</w:t>
      </w:r>
      <w:r w:rsidR="001C7926">
        <w:rPr>
          <w:rFonts w:ascii="Arial" w:hAnsi="Arial" w:cs="Arial"/>
          <w:b/>
          <w:bCs/>
        </w:rPr>
        <w:t>6</w:t>
      </w:r>
      <w:r>
        <w:rPr>
          <w:rFonts w:ascii="Arial" w:hAnsi="Arial" w:cs="Arial"/>
          <w:b/>
          <w:bCs/>
        </w:rPr>
        <w:t>–</w:t>
      </w:r>
      <w:r w:rsidR="00C0245D">
        <w:rPr>
          <w:rFonts w:ascii="Arial" w:hAnsi="Arial" w:cs="Arial"/>
          <w:b/>
          <w:bCs/>
        </w:rPr>
        <w:t>84</w:t>
      </w:r>
      <w:r>
        <w:rPr>
          <w:rFonts w:ascii="Arial" w:hAnsi="Arial" w:cs="Arial"/>
          <w:b/>
          <w:bCs/>
        </w:rPr>
        <w:t xml:space="preserve">    </w:t>
      </w:r>
    </w:p>
    <w:p w14:paraId="37EBE0EA" w14:textId="39289910" w:rsidR="005A2368" w:rsidRDefault="005A2368" w:rsidP="005A2368">
      <w:pPr>
        <w:spacing w:before="240" w:after="60"/>
        <w:rPr>
          <w:rFonts w:ascii="Arial" w:hAnsi="Arial" w:cs="Arial"/>
          <w:b/>
          <w:bCs/>
        </w:rPr>
      </w:pPr>
      <w:r>
        <w:rPr>
          <w:rFonts w:ascii="Arial" w:hAnsi="Arial" w:cs="Arial"/>
          <w:b/>
          <w:bCs/>
        </w:rPr>
        <w:t>Approved form AF202</w:t>
      </w:r>
      <w:r w:rsidR="001C7926">
        <w:rPr>
          <w:rFonts w:ascii="Arial" w:hAnsi="Arial" w:cs="Arial"/>
          <w:b/>
          <w:bCs/>
        </w:rPr>
        <w:t>6</w:t>
      </w:r>
      <w:r>
        <w:rPr>
          <w:rFonts w:ascii="Arial" w:hAnsi="Arial" w:cs="Arial"/>
          <w:b/>
          <w:bCs/>
        </w:rPr>
        <w:t>–</w:t>
      </w:r>
      <w:r w:rsidR="00C0245D">
        <w:rPr>
          <w:rFonts w:ascii="Arial" w:hAnsi="Arial" w:cs="Arial"/>
          <w:b/>
          <w:bCs/>
        </w:rPr>
        <w:t>73</w:t>
      </w:r>
    </w:p>
    <w:p w14:paraId="6F20557C" w14:textId="77777777" w:rsidR="005A2368" w:rsidRDefault="005A2368" w:rsidP="005A2368">
      <w:pPr>
        <w:pStyle w:val="madeunder"/>
        <w:spacing w:before="240" w:after="120"/>
      </w:pPr>
      <w:r>
        <w:t xml:space="preserve">made under the  </w:t>
      </w:r>
    </w:p>
    <w:p w14:paraId="7453B7BB" w14:textId="12C7B8E6" w:rsidR="00C17FAB" w:rsidRPr="005A2368" w:rsidRDefault="005A2368" w:rsidP="005A2368">
      <w:pPr>
        <w:pStyle w:val="CoverActName"/>
        <w:rPr>
          <w:sz w:val="20"/>
          <w:vertAlign w:val="superscript"/>
        </w:rPr>
      </w:pPr>
      <w:r>
        <w:rPr>
          <w:sz w:val="20"/>
        </w:rPr>
        <w:t>Blood Donation (Transmittable Diseases) Act 1985, s 10(3) Approved Forms</w:t>
      </w:r>
    </w:p>
    <w:p w14:paraId="4ABC8542"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3D51066D" w14:textId="77777777" w:rsidR="00C17FAB" w:rsidRDefault="00C17FAB">
      <w:pPr>
        <w:pStyle w:val="N-line3"/>
        <w:pBdr>
          <w:bottom w:val="none" w:sz="0" w:space="0" w:color="auto"/>
        </w:pBdr>
      </w:pPr>
    </w:p>
    <w:p w14:paraId="68704814" w14:textId="77777777" w:rsidR="00C17FAB" w:rsidRDefault="00C17FAB">
      <w:pPr>
        <w:pStyle w:val="N-line3"/>
        <w:pBdr>
          <w:top w:val="single" w:sz="12" w:space="1" w:color="auto"/>
          <w:bottom w:val="none" w:sz="0" w:space="0" w:color="auto"/>
        </w:pBdr>
      </w:pPr>
    </w:p>
    <w:bookmarkEnd w:id="0"/>
    <w:p w14:paraId="1D8DE55A" w14:textId="77777777" w:rsidR="005A2368" w:rsidRPr="00AD1681" w:rsidRDefault="005A2368" w:rsidP="005A2368">
      <w:pPr>
        <w:rPr>
          <w:b/>
          <w:bCs/>
        </w:rPr>
      </w:pPr>
      <w:r>
        <w:rPr>
          <w:b/>
          <w:bCs/>
        </w:rPr>
        <w:t>OVERVIEW</w:t>
      </w:r>
    </w:p>
    <w:p w14:paraId="67A46A9C" w14:textId="77777777" w:rsidR="005A2368" w:rsidRPr="007715CC" w:rsidRDefault="005A2368" w:rsidP="005A2368"/>
    <w:p w14:paraId="299AD65D" w14:textId="77777777" w:rsidR="005A2368" w:rsidRPr="00593488" w:rsidRDefault="005A2368" w:rsidP="005A2368">
      <w:r w:rsidRPr="00593488">
        <w:t xml:space="preserve">The Disallowable Instrument and Approved Form </w:t>
      </w:r>
      <w:r>
        <w:t xml:space="preserve">(together ‘the Instrument’) </w:t>
      </w:r>
      <w:r w:rsidRPr="00593488">
        <w:t xml:space="preserve">have been prepared in accordance with section 10(3) of the </w:t>
      </w:r>
      <w:r w:rsidRPr="00593488">
        <w:rPr>
          <w:i/>
        </w:rPr>
        <w:t>Blood Donation (Transmittable Diseases) Act 1985</w:t>
      </w:r>
      <w:r>
        <w:t xml:space="preserve"> (the Act)</w:t>
      </w:r>
      <w:r w:rsidRPr="00593488">
        <w:rPr>
          <w:i/>
        </w:rPr>
        <w:t>.</w:t>
      </w:r>
      <w:r w:rsidRPr="00593488">
        <w:t xml:space="preserve"> </w:t>
      </w:r>
    </w:p>
    <w:p w14:paraId="341E72A5" w14:textId="77777777" w:rsidR="005A2368" w:rsidRPr="00593488" w:rsidRDefault="005A2368" w:rsidP="005A2368"/>
    <w:p w14:paraId="0F20FB03" w14:textId="1E8FC5EA" w:rsidR="005A2368" w:rsidRPr="00593488" w:rsidRDefault="005A2368" w:rsidP="005A2368">
      <w:r w:rsidRPr="00593488">
        <w:t>On commencement th</w:t>
      </w:r>
      <w:r>
        <w:t>e</w:t>
      </w:r>
      <w:r w:rsidRPr="00593488">
        <w:t xml:space="preserve"> </w:t>
      </w:r>
      <w:r>
        <w:t>I</w:t>
      </w:r>
      <w:r w:rsidRPr="00593488">
        <w:t>nstrument revokes the Disallowable Instrument DI</w:t>
      </w:r>
      <w:r>
        <w:t>202</w:t>
      </w:r>
      <w:r w:rsidR="00D4146A">
        <w:t>5</w:t>
      </w:r>
      <w:r w:rsidRPr="00733E6C">
        <w:noBreakHyphen/>
      </w:r>
      <w:r w:rsidR="00D4146A">
        <w:t>320</w:t>
      </w:r>
      <w:r w:rsidRPr="00593488">
        <w:t xml:space="preserve"> and Approved Form AF2</w:t>
      </w:r>
      <w:r>
        <w:t>02</w:t>
      </w:r>
      <w:r w:rsidR="00D4146A">
        <w:t>5</w:t>
      </w:r>
      <w:r w:rsidRPr="00733E6C">
        <w:noBreakHyphen/>
      </w:r>
      <w:r w:rsidR="00D4146A">
        <w:t>27</w:t>
      </w:r>
      <w:r w:rsidRPr="00593488">
        <w:rPr>
          <w:color w:val="FF0000"/>
        </w:rPr>
        <w:t xml:space="preserve"> </w:t>
      </w:r>
      <w:r w:rsidRPr="00593488">
        <w:t xml:space="preserve">notified on the ACT Legislation Register dated </w:t>
      </w:r>
      <w:r w:rsidR="009F701B">
        <w:t>22</w:t>
      </w:r>
      <w:r>
        <w:t xml:space="preserve"> </w:t>
      </w:r>
      <w:r w:rsidR="009F701B">
        <w:t>December 2025.</w:t>
      </w:r>
    </w:p>
    <w:p w14:paraId="7F4A581C" w14:textId="77777777" w:rsidR="005A2368" w:rsidRPr="00593488" w:rsidRDefault="005A2368" w:rsidP="005A2368"/>
    <w:p w14:paraId="622328F3" w14:textId="77777777" w:rsidR="005A2368" w:rsidRPr="00593488" w:rsidRDefault="005A2368" w:rsidP="005A2368">
      <w:pPr>
        <w:pStyle w:val="BodyText"/>
      </w:pPr>
      <w:r w:rsidRPr="00593488">
        <w:t>Section 5</w:t>
      </w:r>
      <w:r>
        <w:t xml:space="preserve"> </w:t>
      </w:r>
      <w:r w:rsidRPr="00593488">
        <w:t xml:space="preserve">of the Act specifies </w:t>
      </w:r>
      <w:r>
        <w:t>prescribed requirements in relation to the taking of blood, which trigger the application of the protections from liability at sections 3 and 4 of the Act. At section 5(a) these requirements include that</w:t>
      </w:r>
      <w:r w:rsidRPr="00593488">
        <w:t xml:space="preserve"> before taking blood from the donor, the society gets from the donor a written declaration.</w:t>
      </w:r>
    </w:p>
    <w:p w14:paraId="79E6D900" w14:textId="77777777" w:rsidR="005A2368" w:rsidRPr="00593488" w:rsidRDefault="005A2368" w:rsidP="005A2368">
      <w:pPr>
        <w:ind w:left="720"/>
      </w:pPr>
    </w:p>
    <w:p w14:paraId="281FD654" w14:textId="77777777" w:rsidR="005A2368" w:rsidRPr="00593488" w:rsidRDefault="005A2368" w:rsidP="005A2368">
      <w:pPr>
        <w:pStyle w:val="madeunder"/>
        <w:spacing w:before="0" w:after="0"/>
        <w:jc w:val="left"/>
      </w:pPr>
      <w:r w:rsidRPr="00593488">
        <w:t>Under section</w:t>
      </w:r>
      <w:r>
        <w:t xml:space="preserve"> </w:t>
      </w:r>
      <w:r w:rsidRPr="00593488">
        <w:t xml:space="preserve">10 of the Act the Minister may approve a form for a particular purpose under the Act, such as for section 5(a), and where a form is </w:t>
      </w:r>
      <w:r>
        <w:t>approved,</w:t>
      </w:r>
      <w:r w:rsidRPr="00593488">
        <w:t xml:space="preserve"> only that form is to be used for that purpose.</w:t>
      </w:r>
      <w:r>
        <w:t xml:space="preserve"> Consistently with section 10(3) of the Act, as t</w:t>
      </w:r>
      <w:r w:rsidRPr="003275EF">
        <w:t>h</w:t>
      </w:r>
      <w:r>
        <w:t>e form approved by the Minister relates to section 5(a) of the Act, it is a Disallowable Instrument.</w:t>
      </w:r>
    </w:p>
    <w:p w14:paraId="686E1BC5" w14:textId="77777777" w:rsidR="005A2368" w:rsidRPr="00593488" w:rsidRDefault="005A2368" w:rsidP="005A2368">
      <w:pPr>
        <w:pStyle w:val="madeunder"/>
        <w:spacing w:before="0" w:after="0"/>
        <w:jc w:val="left"/>
      </w:pPr>
    </w:p>
    <w:p w14:paraId="632C4ACD" w14:textId="77777777" w:rsidR="005A2368" w:rsidRPr="00593488" w:rsidRDefault="005A2368" w:rsidP="005A2368">
      <w:pPr>
        <w:spacing w:after="240"/>
      </w:pPr>
      <w:r w:rsidRPr="00593488">
        <w:t>The</w:t>
      </w:r>
      <w:r>
        <w:t xml:space="preserve"> Instrument approves a revised </w:t>
      </w:r>
      <w:r w:rsidRPr="00593488">
        <w:t>declaration</w:t>
      </w:r>
      <w:r>
        <w:t xml:space="preserve"> for the purposes of section 5(a)</w:t>
      </w:r>
      <w:r w:rsidRPr="00593488">
        <w:t xml:space="preserve">. The </w:t>
      </w:r>
      <w:r>
        <w:t>revised declaration</w:t>
      </w:r>
      <w:r w:rsidRPr="00593488">
        <w:t xml:space="preserve"> reflect</w:t>
      </w:r>
      <w:r>
        <w:t>s</w:t>
      </w:r>
      <w:r w:rsidRPr="00593488">
        <w:t xml:space="preserve"> changes made to the </w:t>
      </w:r>
      <w:r>
        <w:t xml:space="preserve">Blood </w:t>
      </w:r>
      <w:r w:rsidRPr="00593488">
        <w:t xml:space="preserve">Donor </w:t>
      </w:r>
      <w:r>
        <w:t>Questionnaire</w:t>
      </w:r>
      <w:r w:rsidRPr="00593488">
        <w:t xml:space="preserve"> </w:t>
      </w:r>
      <w:r>
        <w:t xml:space="preserve">and </w:t>
      </w:r>
      <w:r w:rsidRPr="00593488">
        <w:t xml:space="preserve">Declaration Form by </w:t>
      </w:r>
      <w:bookmarkStart w:id="2" w:name="_Hlk51076168"/>
      <w:r w:rsidRPr="00593488">
        <w:t xml:space="preserve">the Australian Red Cross </w:t>
      </w:r>
      <w:bookmarkEnd w:id="2"/>
      <w:r>
        <w:t xml:space="preserve">Lifeblood (a part of the Society, and formerly known as the </w:t>
      </w:r>
      <w:r w:rsidRPr="00E602F6">
        <w:t xml:space="preserve">Australian Red Cross </w:t>
      </w:r>
      <w:r w:rsidRPr="00593488">
        <w:t>Blood Service</w:t>
      </w:r>
      <w:r>
        <w:t>)</w:t>
      </w:r>
      <w:r w:rsidRPr="00593488">
        <w:t xml:space="preserve"> which are intended to ensure that the questions are appropriate for the safety of donors and recipients and that donors are not excluded unnecessarily. </w:t>
      </w:r>
    </w:p>
    <w:p w14:paraId="32A0FA13" w14:textId="1A3B67EA" w:rsidR="009F701B" w:rsidRDefault="005A2368" w:rsidP="005A2368">
      <w:pPr>
        <w:spacing w:after="240"/>
      </w:pPr>
      <w:r>
        <w:t xml:space="preserve">The </w:t>
      </w:r>
      <w:r w:rsidRPr="00593488">
        <w:t xml:space="preserve">substantive change to the new </w:t>
      </w:r>
      <w:r>
        <w:t xml:space="preserve">Blood </w:t>
      </w:r>
      <w:r w:rsidRPr="00593488">
        <w:t xml:space="preserve">Donor </w:t>
      </w:r>
      <w:r>
        <w:t xml:space="preserve">Questionnaire and </w:t>
      </w:r>
      <w:r w:rsidRPr="00593488">
        <w:t>Declaration Form</w:t>
      </w:r>
      <w:r>
        <w:t xml:space="preserve">, which </w:t>
      </w:r>
      <w:r w:rsidRPr="00593488">
        <w:t>ha</w:t>
      </w:r>
      <w:r>
        <w:t>s</w:t>
      </w:r>
      <w:r w:rsidRPr="00593488">
        <w:t xml:space="preserve"> the approval of the Therapeutic Goods Administration (TGA)</w:t>
      </w:r>
      <w:r>
        <w:t xml:space="preserve">, relates to </w:t>
      </w:r>
      <w:r w:rsidR="009F701B" w:rsidRPr="00B56C2B">
        <w:t>changes to malaria assessment and testing</w:t>
      </w:r>
      <w:r w:rsidR="009F701B">
        <w:t xml:space="preserve">. </w:t>
      </w:r>
      <w:r w:rsidR="000A58A4">
        <w:t>Blood D</w:t>
      </w:r>
      <w:r w:rsidR="000A58A4" w:rsidRPr="00B56C2B">
        <w:t xml:space="preserve">onors who have visited a malaria </w:t>
      </w:r>
      <w:r w:rsidR="000A58A4" w:rsidRPr="00B56C2B">
        <w:lastRenderedPageBreak/>
        <w:t xml:space="preserve">affected country in the past three years </w:t>
      </w:r>
      <w:r w:rsidR="000A58A4">
        <w:t xml:space="preserve">have been </w:t>
      </w:r>
      <w:r w:rsidR="000A58A4" w:rsidRPr="00B56C2B">
        <w:t>restricted from donating fresh blood components for 120 days after leaving the risk area</w:t>
      </w:r>
      <w:r w:rsidR="00DA5784">
        <w:t xml:space="preserve"> and malarial testing is applied on the subsequent donation.</w:t>
      </w:r>
    </w:p>
    <w:p w14:paraId="06335702" w14:textId="2DDC23D7" w:rsidR="00DA5784" w:rsidRPr="00DA5784" w:rsidRDefault="00DA5784" w:rsidP="00DA5784">
      <w:pPr>
        <w:spacing w:after="240"/>
        <w:rPr>
          <w:lang w:val="en-US"/>
        </w:rPr>
      </w:pPr>
      <w:r>
        <w:t>The m</w:t>
      </w:r>
      <w:r w:rsidRPr="00DA5784">
        <w:t>alarial assessment changes</w:t>
      </w:r>
      <w:r>
        <w:t xml:space="preserve"> will mean that even though </w:t>
      </w:r>
      <w:r w:rsidRPr="00DA5784">
        <w:t xml:space="preserve">donors who have visited a malaria affected area in the previous four months will still be restricted from donating fresh blood components for 120 days from the </w:t>
      </w:r>
      <w:r w:rsidRPr="00DA5784">
        <w:rPr>
          <w:lang w:val="en-US"/>
        </w:rPr>
        <w:t>date of leaving the risk area</w:t>
      </w:r>
      <w:r>
        <w:rPr>
          <w:lang w:val="en-US"/>
        </w:rPr>
        <w:t xml:space="preserve">, following </w:t>
      </w:r>
      <w:r w:rsidRPr="00DA5784">
        <w:rPr>
          <w:lang w:val="en-US"/>
        </w:rPr>
        <w:t>this period of restriction, donors will be accepted for all donation types, with no requirement for follow up malaria antibody testing.</w:t>
      </w:r>
    </w:p>
    <w:p w14:paraId="75EFBC26" w14:textId="333AA735" w:rsidR="000A58A4" w:rsidRDefault="00DA5784" w:rsidP="005A2368">
      <w:pPr>
        <w:spacing w:after="240"/>
      </w:pPr>
      <w:r w:rsidRPr="00B56C2B">
        <w:t xml:space="preserve">Donors with longer term continuous periods of time of 6 months or more in a malaria affected country will continue to be managed </w:t>
      </w:r>
      <w:r>
        <w:t xml:space="preserve">with follow up malarial testing following the </w:t>
      </w:r>
      <w:r w:rsidRPr="00B56C2B">
        <w:t>120 day</w:t>
      </w:r>
      <w:r>
        <w:t xml:space="preserve"> deferral period to fully assess the malarial </w:t>
      </w:r>
      <w:r w:rsidR="00D14C82">
        <w:t xml:space="preserve">risk </w:t>
      </w:r>
      <w:r>
        <w:t>status of the don</w:t>
      </w:r>
      <w:r w:rsidR="00D14C82">
        <w:t>ation</w:t>
      </w:r>
      <w:r>
        <w:t>.</w:t>
      </w:r>
    </w:p>
    <w:p w14:paraId="416C58D4" w14:textId="77777777" w:rsidR="005A2368" w:rsidRDefault="005A2368" w:rsidP="005A2368">
      <w:pPr>
        <w:spacing w:before="240" w:after="240"/>
      </w:pPr>
      <w:r w:rsidRPr="00593488">
        <w:t>The form may be completed electronically or in a hard copy, printed format.</w:t>
      </w:r>
    </w:p>
    <w:p w14:paraId="74988B03" w14:textId="77777777" w:rsidR="005A2368" w:rsidRDefault="005A2368" w:rsidP="005A2368">
      <w:pPr>
        <w:spacing w:after="240"/>
      </w:pPr>
      <w:r w:rsidRPr="00593488">
        <w:t xml:space="preserve">It is an offence under Part 3.4 of the Criminal Code to make a false or misleading statement, or to give false or misleading information. Accordingly, a donor that completes the </w:t>
      </w:r>
      <w:r>
        <w:t xml:space="preserve">Blood </w:t>
      </w:r>
      <w:r w:rsidRPr="00593488">
        <w:t xml:space="preserve">Donor Declaration Form and in doing so knowingly </w:t>
      </w:r>
      <w:r>
        <w:t xml:space="preserve">or recklessly </w:t>
      </w:r>
      <w:r w:rsidRPr="00593488">
        <w:t>provides false, misleading or incorrect information, or that omits information the absence of which makes the information false or misleading, is likely to have committed an offence.</w:t>
      </w:r>
    </w:p>
    <w:p w14:paraId="1B19F5AB" w14:textId="3397DD67" w:rsidR="005A2368" w:rsidRDefault="005A2368" w:rsidP="005A2368">
      <w:pPr>
        <w:spacing w:after="240"/>
      </w:pPr>
      <w:r>
        <w:t xml:space="preserve">The Instrument will commence </w:t>
      </w:r>
      <w:r w:rsidRPr="00593488">
        <w:t xml:space="preserve">on </w:t>
      </w:r>
      <w:r w:rsidR="009F701B">
        <w:t>26 July</w:t>
      </w:r>
      <w:r>
        <w:t> 2026 to align with the national implementation of</w:t>
      </w:r>
      <w:r w:rsidRPr="00593488">
        <w:t xml:space="preserve"> the use of the revised </w:t>
      </w:r>
      <w:r>
        <w:t xml:space="preserve">Blood </w:t>
      </w:r>
      <w:r w:rsidRPr="00593488">
        <w:t xml:space="preserve">Donor </w:t>
      </w:r>
      <w:r>
        <w:t>Questionnaire</w:t>
      </w:r>
      <w:r w:rsidRPr="00593488">
        <w:t xml:space="preserve"> </w:t>
      </w:r>
      <w:r>
        <w:t xml:space="preserve">and </w:t>
      </w:r>
      <w:r w:rsidRPr="00593488">
        <w:t>Declaration Form</w:t>
      </w:r>
      <w:r>
        <w:t xml:space="preserve"> by </w:t>
      </w:r>
      <w:r w:rsidRPr="00593488">
        <w:t xml:space="preserve">Australian Red Cross </w:t>
      </w:r>
      <w:r>
        <w:t xml:space="preserve">Lifeblood as part of the Society. </w:t>
      </w:r>
    </w:p>
    <w:p w14:paraId="4DF25319" w14:textId="77777777" w:rsidR="005A2368" w:rsidRPr="00F4420C" w:rsidRDefault="005A2368" w:rsidP="005A2368">
      <w:pPr>
        <w:contextualSpacing/>
        <w:rPr>
          <w:b/>
          <w:bCs/>
        </w:rPr>
      </w:pPr>
      <w:r>
        <w:rPr>
          <w:b/>
          <w:bCs/>
        </w:rPr>
        <w:t>CONSISTENCY WITH HUMAN RIGHTS</w:t>
      </w:r>
    </w:p>
    <w:p w14:paraId="6F34A830" w14:textId="11CFCF0C" w:rsidR="005A2368" w:rsidRPr="007715CC" w:rsidRDefault="005A2368" w:rsidP="009F701B">
      <w:pPr>
        <w:spacing w:before="240" w:after="240"/>
      </w:pPr>
      <w:r w:rsidRPr="007715CC">
        <w:t>The</w:t>
      </w:r>
      <w:r>
        <w:t xml:space="preserve"> Instrument </w:t>
      </w:r>
      <w:r w:rsidRPr="007715CC">
        <w:t xml:space="preserve">engages the following sections of the </w:t>
      </w:r>
      <w:r w:rsidRPr="00F4420C">
        <w:rPr>
          <w:i/>
          <w:iCs/>
        </w:rPr>
        <w:t>Human Rights Act 2004</w:t>
      </w:r>
      <w:r>
        <w:t xml:space="preserve"> (Human Rights Act)</w:t>
      </w:r>
      <w:r w:rsidRPr="007715CC">
        <w:t>:</w:t>
      </w:r>
    </w:p>
    <w:p w14:paraId="52252688" w14:textId="77777777" w:rsidR="005A2368" w:rsidRPr="007715CC" w:rsidRDefault="005A2368" w:rsidP="005A2368">
      <w:pPr>
        <w:numPr>
          <w:ilvl w:val="0"/>
          <w:numId w:val="11"/>
        </w:numPr>
        <w:spacing w:after="240"/>
      </w:pPr>
      <w:r w:rsidRPr="007715CC">
        <w:t>Section 12 – Right to privacy (</w:t>
      </w:r>
      <w:r w:rsidRPr="007715CC">
        <w:rPr>
          <w:i/>
          <w:iCs/>
        </w:rPr>
        <w:t>limited</w:t>
      </w:r>
      <w:r w:rsidRPr="007715CC">
        <w:t>)</w:t>
      </w:r>
    </w:p>
    <w:p w14:paraId="2DD56886" w14:textId="77777777" w:rsidR="005A2368" w:rsidRPr="00561B6B" w:rsidRDefault="005A2368" w:rsidP="005A2368">
      <w:pPr>
        <w:spacing w:after="240"/>
      </w:pPr>
      <w:r>
        <w:t xml:space="preserve">The </w:t>
      </w:r>
      <w:r w:rsidRPr="00593488">
        <w:t>Instrument</w:t>
      </w:r>
      <w:r>
        <w:t xml:space="preserve"> limits</w:t>
      </w:r>
      <w:r w:rsidRPr="00561B6B">
        <w:rPr>
          <w:rFonts w:ascii="Calibri" w:hAnsi="Calibri"/>
        </w:rPr>
        <w:t xml:space="preserve"> </w:t>
      </w:r>
      <w:r w:rsidRPr="00561B6B">
        <w:t>the right to privacy under s</w:t>
      </w:r>
      <w:r>
        <w:t>ection 1</w:t>
      </w:r>
      <w:r w:rsidRPr="00561B6B">
        <w:t xml:space="preserve">2 of the </w:t>
      </w:r>
      <w:r>
        <w:t>Human Rights Act</w:t>
      </w:r>
      <w:r w:rsidRPr="00561B6B">
        <w:t xml:space="preserve"> as it </w:t>
      </w:r>
      <w:r>
        <w:t>approves a form requiring</w:t>
      </w:r>
      <w:r w:rsidRPr="00561B6B">
        <w:t xml:space="preserve"> the collection, storage and use of personal information</w:t>
      </w:r>
      <w:r>
        <w:t xml:space="preserve"> for a person to become a blood donor</w:t>
      </w:r>
      <w:r w:rsidRPr="00561B6B">
        <w:t xml:space="preserve">. The collection of this information </w:t>
      </w:r>
      <w:r>
        <w:t>serves the legitimate purposes of, and is rationally connected to,</w:t>
      </w:r>
      <w:r w:rsidRPr="00561B6B">
        <w:t xml:space="preserve"> ensuring blood donations are safe and suitable</w:t>
      </w:r>
      <w:r>
        <w:t>, as well as promoting sustainable blood supply</w:t>
      </w:r>
      <w:r w:rsidRPr="00561B6B">
        <w:t>.</w:t>
      </w:r>
    </w:p>
    <w:p w14:paraId="1B5F1A42" w14:textId="50AC09E8" w:rsidR="00207A86" w:rsidRDefault="005A2368" w:rsidP="005A2368">
      <w:pPr>
        <w:spacing w:after="240"/>
      </w:pPr>
      <w:r w:rsidRPr="00561B6B">
        <w:t>The</w:t>
      </w:r>
      <w:r>
        <w:t xml:space="preserve"> </w:t>
      </w:r>
      <w:r w:rsidRPr="00561B6B">
        <w:t>right</w:t>
      </w:r>
      <w:r>
        <w:t xml:space="preserve"> to privacy</w:t>
      </w:r>
      <w:r w:rsidRPr="00561B6B">
        <w:t xml:space="preserve"> </w:t>
      </w:r>
      <w:r>
        <w:t xml:space="preserve">is only limited by the Instrument to the extent necessary </w:t>
      </w:r>
      <w:r w:rsidRPr="00561B6B">
        <w:t>to achieve the legitimate purpose</w:t>
      </w:r>
      <w:r>
        <w:t>s</w:t>
      </w:r>
      <w:r w:rsidRPr="00561B6B">
        <w:t xml:space="preserve"> of enabling safe blood donation</w:t>
      </w:r>
      <w:r>
        <w:t xml:space="preserve"> and promoting sustainable blood supply</w:t>
      </w:r>
      <w:r w:rsidRPr="00561B6B">
        <w:t>.</w:t>
      </w:r>
      <w:r>
        <w:t xml:space="preserve"> The information collected is limited to what is necessary to determine a person’s eligibility to donate blood, ensure the safety of both donors and recipients, to contact the donor for future donations, and assist with research including improving the safety of transfusion and donation; as outlined in the form. </w:t>
      </w:r>
      <w:r w:rsidR="00207A86">
        <w:t>For example, by o</w:t>
      </w:r>
      <w:r w:rsidR="00DD4D08">
        <w:t>nly requiring the disclosure of travel to malaria affected areas in the previous four months</w:t>
      </w:r>
      <w:r w:rsidR="00207A86">
        <w:t>, the Instrument</w:t>
      </w:r>
      <w:r w:rsidR="00DD4D08">
        <w:t xml:space="preserve"> </w:t>
      </w:r>
      <w:r w:rsidR="00207A86">
        <w:t>ensures only relevant information is collected for the purposes of safe blood donation</w:t>
      </w:r>
      <w:r w:rsidR="00DD4D08">
        <w:t xml:space="preserve">. </w:t>
      </w:r>
    </w:p>
    <w:p w14:paraId="6F17983F" w14:textId="1BAFA346" w:rsidR="005A2368" w:rsidRDefault="006C2B83" w:rsidP="005A2368">
      <w:pPr>
        <w:spacing w:after="240"/>
      </w:pPr>
      <w:r>
        <w:lastRenderedPageBreak/>
        <w:t>Further, t</w:t>
      </w:r>
      <w:r w:rsidR="005A2368">
        <w:t xml:space="preserve">he donation of blood is on an entirely voluntary basis, and a person’s private information </w:t>
      </w:r>
      <w:r>
        <w:t>is only</w:t>
      </w:r>
      <w:r w:rsidR="005A2368">
        <w:t xml:space="preserve"> shared by that person if they choose to donate blood. The information shared must also be handled in </w:t>
      </w:r>
      <w:r w:rsidR="005A2368" w:rsidRPr="00561B6B">
        <w:t xml:space="preserve">accordance with </w:t>
      </w:r>
      <w:r w:rsidR="005A2368">
        <w:t xml:space="preserve">protections under </w:t>
      </w:r>
      <w:r w:rsidR="005A2368" w:rsidRPr="00F85A69">
        <w:t xml:space="preserve">the </w:t>
      </w:r>
      <w:r w:rsidR="005A2368" w:rsidRPr="00F4420C">
        <w:rPr>
          <w:i/>
          <w:iCs/>
        </w:rPr>
        <w:t>Privacy</w:t>
      </w:r>
      <w:r w:rsidR="005A2368" w:rsidRPr="00C92BA5">
        <w:rPr>
          <w:i/>
          <w:iCs/>
        </w:rPr>
        <w:t> </w:t>
      </w:r>
      <w:r w:rsidR="005A2368" w:rsidRPr="00F4420C">
        <w:rPr>
          <w:i/>
          <w:iCs/>
        </w:rPr>
        <w:t>Act 1988</w:t>
      </w:r>
      <w:r w:rsidR="005A2368" w:rsidRPr="00F4420C">
        <w:t xml:space="preserve"> (</w:t>
      </w:r>
      <w:proofErr w:type="spellStart"/>
      <w:r w:rsidR="005A2368" w:rsidRPr="00F4420C">
        <w:t>Cth</w:t>
      </w:r>
      <w:proofErr w:type="spellEnd"/>
      <w:r w:rsidR="005A2368" w:rsidRPr="00F85A69">
        <w:t xml:space="preserve">) and </w:t>
      </w:r>
      <w:r w:rsidR="005A2368" w:rsidRPr="00F85A69">
        <w:rPr>
          <w:i/>
          <w:iCs/>
        </w:rPr>
        <w:t xml:space="preserve">Health Records (Privacy and Access) Act </w:t>
      </w:r>
      <w:r w:rsidR="005A2368">
        <w:rPr>
          <w:i/>
          <w:iCs/>
        </w:rPr>
        <w:t xml:space="preserve">1997, </w:t>
      </w:r>
      <w:r w:rsidR="005A2368">
        <w:t xml:space="preserve">which provides a range of further protections to ensure the privacy of blood donors is protected. For these reasons the limitation on privacy is reasonable and proportionate to achieving the purposes of a safe and sustainable blood supply. </w:t>
      </w:r>
    </w:p>
    <w:p w14:paraId="368A2838" w14:textId="77777777" w:rsidR="00C17FAB" w:rsidRDefault="00C17FAB"/>
    <w:sectPr w:rsidR="00C17FAB" w:rsidSect="007346AC">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CB87E" w14:textId="77777777" w:rsidR="0029050B" w:rsidRDefault="0029050B" w:rsidP="00C17FAB">
      <w:r>
        <w:separator/>
      </w:r>
    </w:p>
  </w:endnote>
  <w:endnote w:type="continuationSeparator" w:id="0">
    <w:p w14:paraId="41833F3F" w14:textId="77777777" w:rsidR="0029050B" w:rsidRDefault="0029050B"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6003E"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417E" w14:textId="732A8361" w:rsidR="00DA3B00" w:rsidRPr="00B725FC" w:rsidRDefault="00B725FC" w:rsidP="00B725FC">
    <w:pPr>
      <w:pStyle w:val="Footer"/>
      <w:jc w:val="center"/>
      <w:rPr>
        <w:rFonts w:cs="Arial"/>
        <w:sz w:val="14"/>
      </w:rPr>
    </w:pPr>
    <w:r w:rsidRPr="00B725F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53D6A"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34DFF" w14:textId="77777777" w:rsidR="0029050B" w:rsidRDefault="0029050B" w:rsidP="00C17FAB">
      <w:r>
        <w:separator/>
      </w:r>
    </w:p>
  </w:footnote>
  <w:footnote w:type="continuationSeparator" w:id="0">
    <w:p w14:paraId="7D209F31" w14:textId="77777777" w:rsidR="0029050B" w:rsidRDefault="0029050B"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8A0A"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A9636"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38EC8"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8D53F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0" w15:restartNumberingAfterBreak="0">
    <w:nsid w:val="7F5411DC"/>
    <w:multiLevelType w:val="hybridMultilevel"/>
    <w:tmpl w:val="FFFFFFFF"/>
    <w:lvl w:ilvl="0" w:tplc="FFFFFFFF">
      <w:start w:val="1"/>
      <w:numFmt w:val="decimal"/>
      <w:lvlText w:val="%1."/>
      <w:lvlJc w:val="left"/>
      <w:pPr>
        <w:ind w:left="720" w:hanging="360"/>
      </w:pPr>
      <w:rPr>
        <w:rFonts w:cs="Times New Roman"/>
        <w:sz w:val="24"/>
        <w:szCs w:val="24"/>
      </w:r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39671293">
    <w:abstractNumId w:val="2"/>
  </w:num>
  <w:num w:numId="2" w16cid:durableId="854735080">
    <w:abstractNumId w:val="0"/>
  </w:num>
  <w:num w:numId="3" w16cid:durableId="973214755">
    <w:abstractNumId w:val="3"/>
  </w:num>
  <w:num w:numId="4" w16cid:durableId="1510439906">
    <w:abstractNumId w:val="7"/>
  </w:num>
  <w:num w:numId="5" w16cid:durableId="1836725486">
    <w:abstractNumId w:val="8"/>
  </w:num>
  <w:num w:numId="6" w16cid:durableId="142310061">
    <w:abstractNumId w:val="1"/>
  </w:num>
  <w:num w:numId="7" w16cid:durableId="722947847">
    <w:abstractNumId w:val="5"/>
  </w:num>
  <w:num w:numId="8" w16cid:durableId="2021883324">
    <w:abstractNumId w:val="6"/>
  </w:num>
  <w:num w:numId="9" w16cid:durableId="1257863992">
    <w:abstractNumId w:val="9"/>
  </w:num>
  <w:num w:numId="10" w16cid:durableId="247809391">
    <w:abstractNumId w:val="10"/>
  </w:num>
  <w:num w:numId="11" w16cid:durableId="19767181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A58A4"/>
    <w:rsid w:val="001C7926"/>
    <w:rsid w:val="00207A86"/>
    <w:rsid w:val="00211573"/>
    <w:rsid w:val="00241B57"/>
    <w:rsid w:val="0029050B"/>
    <w:rsid w:val="002D7C60"/>
    <w:rsid w:val="004C43B7"/>
    <w:rsid w:val="005304FD"/>
    <w:rsid w:val="00576ABD"/>
    <w:rsid w:val="005945BE"/>
    <w:rsid w:val="005A2368"/>
    <w:rsid w:val="005E762B"/>
    <w:rsid w:val="006124A0"/>
    <w:rsid w:val="00630FDD"/>
    <w:rsid w:val="006C2B83"/>
    <w:rsid w:val="007346AC"/>
    <w:rsid w:val="00736F9C"/>
    <w:rsid w:val="007E27E0"/>
    <w:rsid w:val="00830EA2"/>
    <w:rsid w:val="009508A5"/>
    <w:rsid w:val="00962B4B"/>
    <w:rsid w:val="009A516E"/>
    <w:rsid w:val="009F701B"/>
    <w:rsid w:val="00B40059"/>
    <w:rsid w:val="00B725FC"/>
    <w:rsid w:val="00C0245D"/>
    <w:rsid w:val="00C17FAB"/>
    <w:rsid w:val="00CE599C"/>
    <w:rsid w:val="00D14C82"/>
    <w:rsid w:val="00D4146A"/>
    <w:rsid w:val="00DA3B00"/>
    <w:rsid w:val="00DA5784"/>
    <w:rsid w:val="00DD4D08"/>
    <w:rsid w:val="00EE0EC2"/>
    <w:rsid w:val="00F109E2"/>
    <w:rsid w:val="00F75BFF"/>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778191"/>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uiPriority w:val="99"/>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uiPriority w:val="99"/>
    <w:rsid w:val="007346AC"/>
    <w:pPr>
      <w:spacing w:before="180" w:after="60"/>
      <w:jc w:val="both"/>
    </w:pPr>
  </w:style>
  <w:style w:type="paragraph" w:customStyle="1" w:styleId="CoverActName">
    <w:name w:val="CoverActName"/>
    <w:basedOn w:val="Normal"/>
    <w:uiPriority w:val="99"/>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uiPriority w:val="99"/>
    <w:rsid w:val="007346AC"/>
    <w:pPr>
      <w:numPr>
        <w:ilvl w:val="6"/>
        <w:numId w:val="9"/>
      </w:numPr>
      <w:spacing w:before="80" w:after="60"/>
      <w:jc w:val="both"/>
      <w:outlineLvl w:val="6"/>
    </w:pPr>
  </w:style>
  <w:style w:type="paragraph" w:customStyle="1" w:styleId="Asubpara">
    <w:name w:val="A subpara"/>
    <w:basedOn w:val="Normal"/>
    <w:uiPriority w:val="99"/>
    <w:rsid w:val="007346AC"/>
    <w:pPr>
      <w:numPr>
        <w:ilvl w:val="7"/>
        <w:numId w:val="9"/>
      </w:numPr>
      <w:spacing w:before="80" w:after="60"/>
      <w:jc w:val="both"/>
      <w:outlineLvl w:val="7"/>
    </w:pPr>
  </w:style>
  <w:style w:type="paragraph" w:customStyle="1" w:styleId="Asubsubpara">
    <w:name w:val="A subsubpara"/>
    <w:basedOn w:val="Normal"/>
    <w:uiPriority w:val="99"/>
    <w:rsid w:val="007346AC"/>
    <w:pPr>
      <w:numPr>
        <w:ilvl w:val="8"/>
        <w:numId w:val="9"/>
      </w:numPr>
      <w:spacing w:before="80" w:after="60"/>
      <w:jc w:val="both"/>
      <w:outlineLvl w:val="8"/>
    </w:pPr>
  </w:style>
  <w:style w:type="paragraph" w:customStyle="1" w:styleId="AH5Sec">
    <w:name w:val="A H5 Sec"/>
    <w:basedOn w:val="Normal"/>
    <w:next w:val="Amain"/>
    <w:uiPriority w:val="99"/>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BodyText">
    <w:name w:val="Body Text"/>
    <w:basedOn w:val="Normal"/>
    <w:link w:val="BodyTextChar"/>
    <w:uiPriority w:val="99"/>
    <w:rsid w:val="005A2368"/>
    <w:pPr>
      <w:spacing w:after="120"/>
    </w:pPr>
    <w:rPr>
      <w:szCs w:val="24"/>
    </w:rPr>
  </w:style>
  <w:style w:type="character" w:customStyle="1" w:styleId="BodyTextChar">
    <w:name w:val="Body Text Char"/>
    <w:basedOn w:val="DefaultParagraphFont"/>
    <w:link w:val="BodyText"/>
    <w:uiPriority w:val="99"/>
    <w:rsid w:val="005A2368"/>
    <w:rPr>
      <w:sz w:val="24"/>
      <w:szCs w:val="24"/>
      <w:lang w:eastAsia="en-US"/>
    </w:rPr>
  </w:style>
  <w:style w:type="character" w:styleId="CommentReference">
    <w:name w:val="annotation reference"/>
    <w:basedOn w:val="DefaultParagraphFont"/>
    <w:uiPriority w:val="99"/>
    <w:rsid w:val="005A2368"/>
    <w:rPr>
      <w:rFonts w:cs="Times New Roman"/>
      <w:sz w:val="16"/>
      <w:szCs w:val="16"/>
    </w:rPr>
  </w:style>
  <w:style w:type="paragraph" w:styleId="CommentText">
    <w:name w:val="annotation text"/>
    <w:basedOn w:val="Normal"/>
    <w:link w:val="CommentTextChar"/>
    <w:uiPriority w:val="99"/>
    <w:rsid w:val="005A2368"/>
    <w:rPr>
      <w:sz w:val="20"/>
    </w:rPr>
  </w:style>
  <w:style w:type="character" w:customStyle="1" w:styleId="CommentTextChar">
    <w:name w:val="Comment Text Char"/>
    <w:basedOn w:val="DefaultParagraphFont"/>
    <w:link w:val="CommentText"/>
    <w:uiPriority w:val="99"/>
    <w:rsid w:val="005A2368"/>
    <w:rPr>
      <w:lang w:eastAsia="en-US"/>
    </w:rPr>
  </w:style>
  <w:style w:type="paragraph" w:styleId="Revision">
    <w:name w:val="Revision"/>
    <w:hidden/>
    <w:uiPriority w:val="99"/>
    <w:semiHidden/>
    <w:rsid w:val="00EE0EC2"/>
    <w:rPr>
      <w:sz w:val="24"/>
      <w:lang w:eastAsia="en-US"/>
    </w:rPr>
  </w:style>
  <w:style w:type="paragraph" w:styleId="CommentSubject">
    <w:name w:val="annotation subject"/>
    <w:basedOn w:val="CommentText"/>
    <w:next w:val="CommentText"/>
    <w:link w:val="CommentSubjectChar"/>
    <w:uiPriority w:val="99"/>
    <w:semiHidden/>
    <w:unhideWhenUsed/>
    <w:rsid w:val="00DD4D08"/>
    <w:rPr>
      <w:b/>
      <w:bCs/>
    </w:rPr>
  </w:style>
  <w:style w:type="character" w:customStyle="1" w:styleId="CommentSubjectChar">
    <w:name w:val="Comment Subject Char"/>
    <w:basedOn w:val="CommentTextChar"/>
    <w:link w:val="CommentSubject"/>
    <w:uiPriority w:val="99"/>
    <w:semiHidden/>
    <w:rsid w:val="00DD4D0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A62220960</value>
    </field>
    <field name="Objective-Title">
      <value order="0">Attachment C - Blood Donor Declaration - Explanatory Statement</value>
    </field>
    <field name="Objective-Description">
      <value order="0"/>
    </field>
    <field name="Objective-CreationStamp">
      <value order="0">2026-05-28T02:12:57Z</value>
    </field>
    <field name="Objective-IsApproved">
      <value order="0">false</value>
    </field>
    <field name="Objective-IsPublished">
      <value order="0">true</value>
    </field>
    <field name="Objective-DatePublished">
      <value order="0">2026-05-28T02:12:57Z</value>
    </field>
    <field name="Objective-ModificationStamp">
      <value order="0">2026-05-28T02:35:04Z</value>
    </field>
    <field name="Objective-Owner">
      <value order="0">Tracey Docherty</value>
    </field>
    <field name="Objective-Path">
      <value order="0">Whole of ACT Government:ACTHD - ACT Health:GROUP: Population Health GROUP (PH):02. Governance:00. Population Health Division Files:Internal PHD minutes/ letter/ other approvals (Type Divisional) - 2025 to 2026 - PH:z. Completed:PHD2026/0001173 - CMO Brief to CHO - Amendment to Lifeblood Donor Declaration Form - for implementation 26 July 2026</value>
    </field>
    <field name="Objective-Parent">
      <value order="0">PHD2026/0001173 - CMO Brief to CHO - Amendment to Lifeblood Donor Declaration Form - for implementation 26 July 2026</value>
    </field>
    <field name="Objective-State">
      <value order="0">Published</value>
    </field>
    <field name="Objective-VersionId">
      <value order="0">vA78879706</value>
    </field>
    <field name="Objective-Version">
      <value order="0">1.0</value>
    </field>
    <field name="Objective-VersionNumber">
      <value order="0">1</value>
    </field>
    <field name="Objective-VersionComment">
      <value order="0">First version</value>
    </field>
    <field name="Objective-FileNumber">
      <value order="0">1-2026/0071651</value>
    </field>
    <field name="Objective-Classification">
      <value order="0"/>
    </field>
    <field name="Objective-Caveats">
      <value order="0"/>
    </field>
  </systemFields>
  <catalogues>
    <catalogue name="Document Type Catalogue" type="type" ori="id:cA11">
      <field name="Objective-Owner Agency">
        <value order="0">ACTHD - ACT Health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B51B1D5B-1CC9-4477-AB32-19A115966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866</Words>
  <Characters>4579</Characters>
  <Application>Microsoft Office Word</Application>
  <DocSecurity>0</DocSecurity>
  <Lines>87</Lines>
  <Paragraphs>25</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2026-06-12T03:59:00Z</dcterms:created>
  <dcterms:modified xsi:type="dcterms:W3CDTF">2026-06-12T03:59:00Z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2025-11-24T22:36:58Z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d49a8dae-0d50-4df4-a175-a16bf1c4315a</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Customer-Id">
    <vt:lpwstr>4FEB93B0D38B3BDFE05400144FFB2061</vt:lpwstr>
  </property>
  <property fmtid="{D5CDD505-2E9C-101B-9397-08002B2CF9AE}" pid="11" name="Objective-Id">
    <vt:lpwstr>A62220960</vt:lpwstr>
  </property>
  <property fmtid="{D5CDD505-2E9C-101B-9397-08002B2CF9AE}" pid="12" name="Objective-Title">
    <vt:lpwstr>Attachment C - Blood Donor Declaration - Explanatory Statement</vt:lpwstr>
  </property>
  <property fmtid="{D5CDD505-2E9C-101B-9397-08002B2CF9AE}" pid="13" name="Objective-Description">
    <vt:lpwstr/>
  </property>
  <property fmtid="{D5CDD505-2E9C-101B-9397-08002B2CF9AE}" pid="14" name="Objective-CreationStamp">
    <vt:filetime>2026-05-28T02:12:57Z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2026-05-28T02:12:57Z</vt:filetime>
  </property>
  <property fmtid="{D5CDD505-2E9C-101B-9397-08002B2CF9AE}" pid="18" name="Objective-ModificationStamp">
    <vt:filetime>2026-05-28T02:35:04Z</vt:filetime>
  </property>
  <property fmtid="{D5CDD505-2E9C-101B-9397-08002B2CF9AE}" pid="19" name="Objective-Owner">
    <vt:lpwstr>Tracey Docherty</vt:lpwstr>
  </property>
  <property fmtid="{D5CDD505-2E9C-101B-9397-08002B2CF9AE}" pid="20" name="Objective-Path">
    <vt:lpwstr>Whole of ACT Government:ACTHD - ACT Health:GROUP: Population Health GROUP (PH):02. Governance:00. Population Health Division Files:Internal PHD minutes/ letter/ other approvals (Type Divisional) - 2025 to 2026 - PH:z. Completed:PHD2026/0001173 - CMO Brief to CHO - Amendment to Lifeblood Donor Declaration Form - for implementation 26 July 2026</vt:lpwstr>
  </property>
  <property fmtid="{D5CDD505-2E9C-101B-9397-08002B2CF9AE}" pid="21" name="Objective-Parent">
    <vt:lpwstr>PHD2026/0001173 - CMO Brief to CHO - Amendment to Lifeblood Donor Declaration Form - for implementation 26 July 2026</vt:lpwstr>
  </property>
  <property fmtid="{D5CDD505-2E9C-101B-9397-08002B2CF9AE}" pid="22" name="Objective-State">
    <vt:lpwstr>Published</vt:lpwstr>
  </property>
  <property fmtid="{D5CDD505-2E9C-101B-9397-08002B2CF9AE}" pid="23" name="Objective-VersionId">
    <vt:lpwstr>vA78879706</vt:lpwstr>
  </property>
  <property fmtid="{D5CDD505-2E9C-101B-9397-08002B2CF9AE}" pid="24" name="Objective-Version">
    <vt:lpwstr>1.0</vt:lpwstr>
  </property>
  <property fmtid="{D5CDD505-2E9C-101B-9397-08002B2CF9AE}" pid="25" name="Objective-VersionNumber">
    <vt:r8>1</vt:r8>
  </property>
  <property fmtid="{D5CDD505-2E9C-101B-9397-08002B2CF9AE}" pid="26" name="Objective-VersionComment">
    <vt:lpwstr>First version</vt:lpwstr>
  </property>
  <property fmtid="{D5CDD505-2E9C-101B-9397-08002B2CF9AE}" pid="27" name="Objective-FileNumber">
    <vt:lpwstr>1-2026/0071651</vt:lpwstr>
  </property>
  <property fmtid="{D5CDD505-2E9C-101B-9397-08002B2CF9AE}" pid="28" name="Objective-Classification">
    <vt:lpwstr/>
  </property>
  <property fmtid="{D5CDD505-2E9C-101B-9397-08002B2CF9AE}" pid="29" name="Objective-Caveats">
    <vt:lpwstr/>
  </property>
  <property fmtid="{D5CDD505-2E9C-101B-9397-08002B2CF9AE}" pid="30" name="Objective-Owner Agency">
    <vt:lpwstr>ACTHD - ACT Health Directorate</vt:lpwstr>
  </property>
  <property fmtid="{D5CDD505-2E9C-101B-9397-08002B2CF9AE}" pid="31" name="Objective-Document Type">
    <vt:lpwstr>0-Document</vt:lpwstr>
  </property>
  <property fmtid="{D5CDD505-2E9C-101B-9397-08002B2CF9AE}" pid="32" name="Objective-Language">
    <vt:lpwstr>English (en)</vt:lpwstr>
  </property>
  <property fmtid="{D5CDD505-2E9C-101B-9397-08002B2CF9AE}" pid="33" name="Objective-Jurisdiction">
    <vt:lpwstr>ACT</vt:lpwstr>
  </property>
  <property fmtid="{D5CDD505-2E9C-101B-9397-08002B2CF9AE}" pid="34" name="Objective-Customers">
    <vt:lpwstr/>
  </property>
  <property fmtid="{D5CDD505-2E9C-101B-9397-08002B2CF9AE}" pid="35" name="Objective-Places">
    <vt:lpwstr/>
  </property>
  <property fmtid="{D5CDD505-2E9C-101B-9397-08002B2CF9AE}" pid="36" name="Objective-Transaction Reference">
    <vt:lpwstr/>
  </property>
  <property fmtid="{D5CDD505-2E9C-101B-9397-08002B2CF9AE}" pid="37" name="Objective-Document Created By">
    <vt:lpwstr/>
  </property>
  <property fmtid="{D5CDD505-2E9C-101B-9397-08002B2CF9AE}" pid="38" name="Objective-Document Created On">
    <vt:lpwstr/>
  </property>
  <property fmtid="{D5CDD505-2E9C-101B-9397-08002B2CF9AE}" pid="39" name="Objective-Covers Period From">
    <vt:lpwstr/>
  </property>
  <property fmtid="{D5CDD505-2E9C-101B-9397-08002B2CF9AE}" pid="40" name="Objective-Covers Period To">
    <vt:lpwstr/>
  </property>
  <property fmtid="{D5CDD505-2E9C-101B-9397-08002B2CF9AE}" pid="41" name="Objective-Status">
    <vt:lpwstr/>
  </property>
  <property fmtid="{D5CDD505-2E9C-101B-9397-08002B2CF9AE}" pid="42" name="Objective-S28 Exemption Number">
    <vt:lpwstr/>
  </property>
  <property fmtid="{D5CDD505-2E9C-101B-9397-08002B2CF9AE}" pid="43" name="Objective-S28 Exemption">
    <vt:lpwstr/>
  </property>
  <property fmtid="{D5CDD505-2E9C-101B-9397-08002B2CF9AE}" pid="44" name="Objective-S28 Exemption Reason">
    <vt:lpwstr/>
  </property>
  <property fmtid="{D5CDD505-2E9C-101B-9397-08002B2CF9AE}" pid="45" name="Objective-S28 Comments if partial exemption">
    <vt:lpwstr/>
  </property>
  <property fmtid="{D5CDD505-2E9C-101B-9397-08002B2CF9AE}" pid="46" name="Objective-S28 Date Approved">
    <vt:lpwstr/>
  </property>
</Properties>
</file>