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2EF8" w14:textId="77777777" w:rsidR="009D1CBE" w:rsidRDefault="009D1CBE" w:rsidP="009D1CBE">
      <w:pPr>
        <w:pageBreakBefore/>
        <w:pBdr>
          <w:top w:val="nil"/>
          <w:left w:val="nil"/>
          <w:bottom w:val="nil"/>
          <w:right w:val="nil"/>
          <w:between w:val="nil"/>
          <w:bar w:val="nil"/>
        </w:pBdr>
        <w:spacing w:before="120"/>
        <w:rPr>
          <w:rFonts w:eastAsia="Times New Roman"/>
          <w:szCs w:val="20"/>
          <w:bdr w:val="nil"/>
        </w:rPr>
      </w:pPr>
      <w:bookmarkStart w:id="0" w:name="_Toc44738651_6"/>
      <w:r>
        <w:rPr>
          <w:rFonts w:eastAsia="Times New Roman"/>
          <w:szCs w:val="20"/>
          <w:bdr w:val="nil"/>
        </w:rPr>
        <w:t>Australian Capital Territory</w:t>
      </w:r>
    </w:p>
    <w:p w14:paraId="76D9D01C" w14:textId="40426327" w:rsidR="009D1CBE" w:rsidRDefault="009D1CBE" w:rsidP="009D1CBE">
      <w:pPr>
        <w:pStyle w:val="Billname"/>
        <w:pBdr>
          <w:top w:val="nil"/>
          <w:left w:val="nil"/>
          <w:bottom w:val="nil"/>
          <w:right w:val="nil"/>
          <w:between w:val="nil"/>
          <w:bar w:val="nil"/>
        </w:pBdr>
        <w:spacing w:before="700"/>
        <w:rPr>
          <w:rFonts w:eastAsia="Times New Roman" w:cs="Times New Roman"/>
          <w:bCs w:val="0"/>
          <w:szCs w:val="20"/>
          <w:bdr w:val="nil"/>
        </w:rPr>
      </w:pPr>
      <w:r>
        <w:rPr>
          <w:rFonts w:eastAsia="Times New Roman" w:cs="Times New Roman"/>
          <w:bCs w:val="0"/>
          <w:szCs w:val="20"/>
          <w:bdr w:val="nil"/>
        </w:rPr>
        <w:t xml:space="preserve">Unlawful Gambling (Charitable Gaming Application Fees) Determination </w:t>
      </w:r>
      <w:r w:rsidR="000B2CC8">
        <w:rPr>
          <w:rFonts w:eastAsia="Times New Roman" w:cs="Times New Roman"/>
          <w:bCs w:val="0"/>
          <w:szCs w:val="20"/>
          <w:bdr w:val="nil"/>
        </w:rPr>
        <w:t>2026</w:t>
      </w:r>
    </w:p>
    <w:p w14:paraId="1D11B14B" w14:textId="74CC16D8" w:rsidR="009D1CBE" w:rsidRDefault="009D1CBE" w:rsidP="009D1CBE">
      <w:pPr>
        <w:pBdr>
          <w:top w:val="nil"/>
          <w:left w:val="nil"/>
          <w:bottom w:val="nil"/>
          <w:right w:val="nil"/>
          <w:between w:val="nil"/>
          <w:bar w:val="nil"/>
        </w:pBdr>
        <w:tabs>
          <w:tab w:val="left" w:pos="4270"/>
        </w:tabs>
        <w:spacing w:before="240" w:after="60"/>
        <w:rPr>
          <w:rFonts w:eastAsia="Times New Roman"/>
          <w:b/>
          <w:bCs/>
          <w:szCs w:val="20"/>
          <w:bdr w:val="nil"/>
          <w:vertAlign w:val="superscript"/>
        </w:rPr>
      </w:pPr>
      <w:r w:rsidRPr="00F4553A">
        <w:rPr>
          <w:rFonts w:eastAsia="Times New Roman"/>
          <w:b/>
          <w:bCs/>
          <w:szCs w:val="20"/>
          <w:bdr w:val="nil"/>
        </w:rPr>
        <w:t>Disallowable Instrument</w:t>
      </w:r>
      <w:r w:rsidRPr="00817315">
        <w:rPr>
          <w:rFonts w:eastAsia="Times New Roman"/>
          <w:b/>
          <w:bCs/>
          <w:szCs w:val="20"/>
          <w:bdr w:val="nil"/>
        </w:rPr>
        <w:t xml:space="preserve"> </w:t>
      </w:r>
      <w:r>
        <w:rPr>
          <w:rFonts w:eastAsia="Times New Roman"/>
          <w:b/>
          <w:bCs/>
          <w:szCs w:val="20"/>
          <w:bdr w:val="nil"/>
        </w:rPr>
        <w:t>DI</w:t>
      </w:r>
      <w:r w:rsidR="000B2CC8">
        <w:rPr>
          <w:rFonts w:eastAsia="Times New Roman"/>
          <w:b/>
          <w:bCs/>
          <w:szCs w:val="20"/>
          <w:bdr w:val="nil"/>
        </w:rPr>
        <w:t>2026</w:t>
      </w:r>
      <w:r>
        <w:rPr>
          <w:rFonts w:eastAsia="Times New Roman"/>
          <w:b/>
          <w:bCs/>
          <w:szCs w:val="20"/>
          <w:bdr w:val="nil"/>
        </w:rPr>
        <w:t>-</w:t>
      </w:r>
      <w:r w:rsidR="009A0666">
        <w:rPr>
          <w:rFonts w:eastAsia="Times New Roman"/>
          <w:b/>
          <w:bCs/>
          <w:szCs w:val="20"/>
          <w:bdr w:val="nil"/>
        </w:rPr>
        <w:t>92</w:t>
      </w:r>
    </w:p>
    <w:p w14:paraId="4ACB4C1C" w14:textId="77777777" w:rsidR="009D1CBE" w:rsidRDefault="009D1CBE" w:rsidP="009D1CBE">
      <w:pPr>
        <w:pStyle w:val="madeunder"/>
        <w:pBdr>
          <w:top w:val="nil"/>
          <w:left w:val="nil"/>
          <w:bottom w:val="nil"/>
          <w:right w:val="nil"/>
          <w:between w:val="nil"/>
          <w:bar w:val="nil"/>
        </w:pBdr>
        <w:spacing w:before="240" w:after="120"/>
        <w:rPr>
          <w:rFonts w:ascii="Times New Roman" w:eastAsia="Times New Roman" w:hAnsi="Times New Roman" w:cs="Times New Roman"/>
          <w:szCs w:val="20"/>
          <w:bdr w:val="nil"/>
        </w:rPr>
      </w:pPr>
      <w:r>
        <w:rPr>
          <w:rFonts w:ascii="Times New Roman" w:eastAsia="Times New Roman" w:hAnsi="Times New Roman" w:cs="Times New Roman"/>
          <w:szCs w:val="20"/>
          <w:bdr w:val="nil"/>
        </w:rPr>
        <w:t>made under the</w:t>
      </w:r>
    </w:p>
    <w:p w14:paraId="74339B0C" w14:textId="77777777" w:rsidR="009D1CBE" w:rsidRDefault="009D1CBE" w:rsidP="009D1CBE">
      <w:pPr>
        <w:pStyle w:val="CoverActName"/>
        <w:pBdr>
          <w:top w:val="nil"/>
          <w:left w:val="nil"/>
          <w:bottom w:val="nil"/>
          <w:right w:val="nil"/>
          <w:between w:val="nil"/>
          <w:bar w:val="nil"/>
        </w:pBdr>
        <w:rPr>
          <w:rFonts w:eastAsia="Times New Roman" w:cs="Times New Roman"/>
          <w:bCs w:val="0"/>
          <w:szCs w:val="20"/>
          <w:bdr w:val="nil"/>
        </w:rPr>
      </w:pPr>
      <w:r>
        <w:rPr>
          <w:rFonts w:eastAsia="Times New Roman"/>
          <w:bCs w:val="0"/>
          <w:sz w:val="20"/>
          <w:szCs w:val="20"/>
          <w:bdr w:val="nil"/>
        </w:rPr>
        <w:t>Unlawful Gambling Act 2009, section 48 (Determination of fees)</w:t>
      </w:r>
    </w:p>
    <w:p w14:paraId="7AD00322" w14:textId="77777777" w:rsidR="009D1CBE" w:rsidRDefault="009D1CBE" w:rsidP="009D1CBE">
      <w:pPr>
        <w:pStyle w:val="N-line3"/>
        <w:pBdr>
          <w:top w:val="nil"/>
          <w:left w:val="nil"/>
          <w:bottom w:val="nil"/>
          <w:right w:val="nil"/>
          <w:between w:val="nil"/>
          <w:bar w:val="nil"/>
        </w:pBdr>
        <w:rPr>
          <w:rFonts w:ascii="Times New Roman" w:eastAsia="Times New Roman" w:hAnsi="Times New Roman" w:cs="Times New Roman"/>
          <w:sz w:val="22"/>
          <w:szCs w:val="20"/>
          <w:bdr w:val="nil"/>
        </w:rPr>
      </w:pPr>
    </w:p>
    <w:p w14:paraId="19151F39" w14:textId="77777777" w:rsidR="009D1CBE" w:rsidRDefault="009D1CBE" w:rsidP="009D1CBE">
      <w:pPr>
        <w:pBdr>
          <w:top w:val="nil"/>
          <w:left w:val="nil"/>
          <w:bottom w:val="nil"/>
          <w:right w:val="nil"/>
          <w:between w:val="nil"/>
          <w:bar w:val="nil"/>
        </w:pBdr>
        <w:rPr>
          <w:rFonts w:ascii="Times New Roman" w:eastAsia="Times New Roman" w:hAnsi="Times New Roman" w:cs="Times New Roman"/>
          <w:sz w:val="22"/>
          <w:szCs w:val="20"/>
          <w:bdr w:val="nil"/>
        </w:rPr>
      </w:pPr>
    </w:p>
    <w:p w14:paraId="5A5B8886" w14:textId="77777777" w:rsidR="009D1CBE" w:rsidRPr="009D1CBE" w:rsidRDefault="009D1CBE" w:rsidP="009D1CBE">
      <w:pPr>
        <w:pStyle w:val="Heading3"/>
        <w:pBdr>
          <w:top w:val="nil"/>
          <w:left w:val="nil"/>
          <w:bottom w:val="nil"/>
          <w:right w:val="nil"/>
          <w:between w:val="nil"/>
          <w:bar w:val="nil"/>
        </w:pBdr>
        <w:rPr>
          <w:rFonts w:eastAsia="Times New Roman" w:cs="Arial"/>
          <w:b/>
          <w:bCs/>
          <w:color w:val="auto"/>
          <w:szCs w:val="20"/>
          <w:bdr w:val="nil"/>
        </w:rPr>
      </w:pPr>
      <w:r w:rsidRPr="009D1CBE">
        <w:rPr>
          <w:rFonts w:eastAsia="Times New Roman" w:cs="Arial"/>
          <w:b/>
          <w:bCs/>
          <w:color w:val="auto"/>
          <w:szCs w:val="20"/>
          <w:bdr w:val="nil"/>
        </w:rPr>
        <w:t>EXPLANATORY STATEMENT</w:t>
      </w:r>
    </w:p>
    <w:p w14:paraId="04916D13" w14:textId="77777777" w:rsidR="009D1CBE" w:rsidRDefault="009D1CBE" w:rsidP="009D1CBE">
      <w:pPr>
        <w:pBdr>
          <w:top w:val="nil"/>
          <w:left w:val="nil"/>
          <w:bottom w:val="nil"/>
          <w:right w:val="nil"/>
          <w:between w:val="nil"/>
          <w:bar w:val="nil"/>
        </w:pBdr>
        <w:rPr>
          <w:rFonts w:ascii="Times New Roman" w:eastAsia="Times New Roman" w:hAnsi="Times New Roman" w:cs="Times New Roman"/>
          <w:szCs w:val="20"/>
          <w:bdr w:val="nil"/>
        </w:rPr>
      </w:pPr>
    </w:p>
    <w:p w14:paraId="5A12370F" w14:textId="77777777" w:rsidR="009D1CBE" w:rsidRDefault="009D1CBE" w:rsidP="009D1CBE">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07D72D65" w14:textId="77777777" w:rsidR="009D1CBE" w:rsidRDefault="009D1CBE" w:rsidP="009D1CBE">
      <w:pPr>
        <w:pBdr>
          <w:top w:val="nil"/>
          <w:left w:val="nil"/>
          <w:bottom w:val="nil"/>
          <w:right w:val="nil"/>
          <w:between w:val="nil"/>
          <w:bar w:val="nil"/>
        </w:pBdr>
        <w:jc w:val="both"/>
        <w:rPr>
          <w:rFonts w:ascii="Times New Roman" w:eastAsia="Times New Roman" w:hAnsi="Times New Roman" w:cs="Times New Roman"/>
          <w:bCs/>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cs="Times New Roman"/>
          <w:i/>
          <w:iCs/>
          <w:szCs w:val="20"/>
          <w:bdr w:val="nil"/>
        </w:rPr>
        <w:t xml:space="preserve">Unlawful Gambling Act 2009 </w:t>
      </w:r>
      <w:r>
        <w:rPr>
          <w:rFonts w:ascii="Times New Roman" w:eastAsia="Times New Roman" w:hAnsi="Times New Roman" w:cs="Times New Roman"/>
          <w:szCs w:val="20"/>
          <w:bdr w:val="nil"/>
        </w:rPr>
        <w:t>(the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bCs/>
          <w:szCs w:val="20"/>
          <w:bdr w:val="nil"/>
        </w:rPr>
        <w:t>prohibits gambling activity unless it is expressly authorised or exempt from authorisation through gaming laws.</w:t>
      </w:r>
      <w:r w:rsidRPr="00FC6D18">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Section 48 of the Act provides that the Minister may determine fees for the Act.</w:t>
      </w:r>
    </w:p>
    <w:p w14:paraId="64F5213B" w14:textId="77777777" w:rsidR="009D1CBE" w:rsidRDefault="009D1CBE" w:rsidP="009D1CBE">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2B08AE59" w14:textId="1BF4EFB7" w:rsidR="009D1CBE" w:rsidRDefault="009D1CBE" w:rsidP="009D1CBE">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This instrument revokes DI</w:t>
      </w:r>
      <w:r w:rsidR="000B2CC8">
        <w:rPr>
          <w:rFonts w:ascii="Times New Roman" w:eastAsia="Times New Roman" w:hAnsi="Times New Roman" w:cs="Times New Roman"/>
          <w:szCs w:val="20"/>
          <w:bdr w:val="nil"/>
        </w:rPr>
        <w:t>2025-108</w:t>
      </w:r>
      <w:r>
        <w:rPr>
          <w:rFonts w:ascii="Times New Roman" w:eastAsia="Times New Roman" w:hAnsi="Times New Roman" w:cs="Times New Roman"/>
          <w:szCs w:val="20"/>
          <w:bdr w:val="nil"/>
        </w:rPr>
        <w:t xml:space="preserve">, the </w:t>
      </w:r>
      <w:r>
        <w:rPr>
          <w:rFonts w:ascii="Times New Roman" w:eastAsia="Times New Roman" w:hAnsi="Times New Roman" w:cs="Times New Roman"/>
          <w:i/>
          <w:szCs w:val="20"/>
          <w:bdr w:val="nil"/>
        </w:rPr>
        <w:t>Unlawful Gambling (Charitable Gaming Application Fees) Determination 202</w:t>
      </w:r>
      <w:r w:rsidR="00DD5142">
        <w:rPr>
          <w:rFonts w:ascii="Times New Roman" w:eastAsia="Times New Roman" w:hAnsi="Times New Roman" w:cs="Times New Roman"/>
          <w:i/>
          <w:szCs w:val="20"/>
          <w:bdr w:val="nil"/>
        </w:rPr>
        <w:t>5</w:t>
      </w:r>
      <w:r>
        <w:rPr>
          <w:rFonts w:ascii="Times New Roman" w:eastAsia="Times New Roman" w:hAnsi="Times New Roman" w:cs="Times New Roman"/>
          <w:szCs w:val="20"/>
          <w:bdr w:val="nil"/>
        </w:rPr>
        <w:t>, and sets out the fee to accompany an application by a charitable organisation to conduct charitable gaming under section 11 of the Act.</w:t>
      </w:r>
    </w:p>
    <w:p w14:paraId="071564FA" w14:textId="77777777" w:rsidR="009D1CBE" w:rsidRDefault="009D1CBE" w:rsidP="009D1CBE">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p>
    <w:p w14:paraId="5ACF79B9" w14:textId="00916D94" w:rsidR="009D1CBE" w:rsidRDefault="009D1CBE" w:rsidP="009D1CBE">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 xml:space="preserve">1 July </w:t>
      </w:r>
      <w:r w:rsidR="000B2CC8">
        <w:rPr>
          <w:rFonts w:ascii="Times New Roman" w:eastAsia="Times New Roman" w:hAnsi="Times New Roman" w:cs="Times New Roman"/>
          <w:szCs w:val="20"/>
          <w:bdr w:val="nil"/>
        </w:rPr>
        <w:t>2026</w:t>
      </w:r>
      <w:r w:rsidRPr="00C96D5F">
        <w:rPr>
          <w:rFonts w:ascii="Times New Roman" w:eastAsia="Times New Roman" w:hAnsi="Times New Roman" w:cs="Times New Roman"/>
          <w:szCs w:val="20"/>
          <w:bdr w:val="nil"/>
        </w:rPr>
        <w:t xml:space="preserve"> and repeals the </w:t>
      </w:r>
      <w:r w:rsidRPr="007D1AE9">
        <w:rPr>
          <w:rFonts w:ascii="Times New Roman" w:eastAsia="Times New Roman" w:hAnsi="Times New Roman" w:cs="Times New Roman"/>
          <w:i/>
          <w:iCs/>
          <w:szCs w:val="20"/>
          <w:bdr w:val="nil"/>
        </w:rPr>
        <w:t>Unlawful Gambling (Charitable Gaming Application Fees) Determination</w:t>
      </w:r>
      <w:r>
        <w:rPr>
          <w:rFonts w:ascii="Times New Roman" w:eastAsia="Times New Roman" w:hAnsi="Times New Roman" w:cs="Times New Roman"/>
          <w:i/>
          <w:iCs/>
          <w:szCs w:val="20"/>
          <w:bdr w:val="nil"/>
        </w:rPr>
        <w:t xml:space="preserve"> </w:t>
      </w:r>
      <w:r w:rsidR="000B2CC8">
        <w:rPr>
          <w:rFonts w:ascii="Times New Roman" w:eastAsia="Times New Roman" w:hAnsi="Times New Roman" w:cs="Times New Roman"/>
          <w:i/>
          <w:iCs/>
          <w:szCs w:val="20"/>
          <w:bdr w:val="nil"/>
        </w:rPr>
        <w:t>2025</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DI</w:t>
      </w:r>
      <w:r w:rsidR="000B2CC8">
        <w:rPr>
          <w:rFonts w:ascii="Times New Roman" w:eastAsia="Times New Roman" w:hAnsi="Times New Roman" w:cs="Times New Roman"/>
          <w:szCs w:val="20"/>
          <w:bdr w:val="nil"/>
        </w:rPr>
        <w:t>2025-108</w:t>
      </w:r>
      <w:r w:rsidRPr="00C96D5F">
        <w:rPr>
          <w:rFonts w:ascii="Times New Roman" w:eastAsia="Times New Roman" w:hAnsi="Times New Roman" w:cs="Times New Roman"/>
          <w:szCs w:val="20"/>
          <w:bdr w:val="nil"/>
        </w:rPr>
        <w:t xml:space="preserve">. </w:t>
      </w:r>
      <w:bookmarkStart w:id="1" w:name="_Hlk161322878_2"/>
      <w:r>
        <w:rPr>
          <w:rFonts w:ascii="Times New Roman" w:eastAsia="SimSun" w:hAnsi="Times New Roman" w:cs="Times New Roman"/>
          <w:szCs w:val="20"/>
          <w:bdr w:val="nil"/>
        </w:rPr>
        <w:t xml:space="preserve">Fees in the </w:t>
      </w:r>
      <w:r w:rsidR="000B2CC8">
        <w:rPr>
          <w:rFonts w:ascii="Times New Roman" w:eastAsia="SimSun" w:hAnsi="Times New Roman" w:cs="Times New Roman"/>
          <w:szCs w:val="20"/>
          <w:bdr w:val="nil"/>
        </w:rPr>
        <w:t>2026 - 2027</w:t>
      </w:r>
      <w:r>
        <w:rPr>
          <w:rFonts w:ascii="Times New Roman" w:eastAsia="SimSun" w:hAnsi="Times New Roman" w:cs="Times New Roman"/>
          <w:szCs w:val="20"/>
          <w:bdr w:val="nil"/>
        </w:rPr>
        <w:t xml:space="preserve"> financial year have been generally increased from fees in the previous financial year by</w:t>
      </w:r>
      <w:bookmarkEnd w:id="1"/>
      <w:r>
        <w:rPr>
          <w:rFonts w:ascii="Times New Roman" w:eastAsia="SimSun" w:hAnsi="Times New Roman" w:cs="Times New Roman"/>
          <w:szCs w:val="20"/>
          <w:bdr w:val="nil"/>
        </w:rPr>
        <w:t xml:space="preserve"> </w:t>
      </w:r>
      <w:r>
        <w:rPr>
          <w:rFonts w:ascii="Times New Roman" w:eastAsia="Times New Roman" w:hAnsi="Times New Roman" w:cs="Times New Roman"/>
          <w:szCs w:val="20"/>
          <w:bdr w:val="nil"/>
        </w:rPr>
        <w:t xml:space="preserve">the Wages Price Index (WPI) </w:t>
      </w:r>
      <w:r w:rsidRPr="00DD5142">
        <w:rPr>
          <w:rFonts w:ascii="Times New Roman" w:eastAsia="Times New Roman" w:hAnsi="Times New Roman" w:cs="Times New Roman"/>
          <w:szCs w:val="20"/>
          <w:bdr w:val="nil"/>
        </w:rPr>
        <w:t xml:space="preserve">of 3.25% </w:t>
      </w:r>
      <w:bookmarkStart w:id="2" w:name="_Hlk161323232_1"/>
      <w:r w:rsidRPr="00DD5142">
        <w:rPr>
          <w:rFonts w:ascii="Times New Roman" w:eastAsia="SimSun" w:hAnsi="Times New Roman" w:cs="Times New Roman"/>
          <w:szCs w:val="20"/>
          <w:bdr w:val="nil"/>
        </w:rPr>
        <w:t>plus an</w:t>
      </w:r>
      <w:r>
        <w:rPr>
          <w:rFonts w:ascii="Times New Roman" w:eastAsia="SimSun" w:hAnsi="Times New Roman" w:cs="Times New Roman"/>
          <w:szCs w:val="20"/>
          <w:bdr w:val="nil"/>
        </w:rPr>
        <w:t xml:space="preserve"> additional 0.35% rounded down to the nearest dollar. Some smaller value fees may be rounded up to the nearest dollar. </w:t>
      </w:r>
      <w:bookmarkEnd w:id="2"/>
      <w:r w:rsidRPr="00DD5142">
        <w:rPr>
          <w:rFonts w:ascii="Times New Roman" w:eastAsia="SimSun" w:hAnsi="Times New Roman" w:cs="Times New Roman"/>
          <w:szCs w:val="20"/>
          <w:bdr w:val="nil"/>
        </w:rPr>
        <w:t>This approach also aligns with the</w:t>
      </w:r>
      <w:r w:rsidRPr="00CF714F">
        <w:rPr>
          <w:rFonts w:ascii="Times New Roman" w:eastAsia="SimSun" w:hAnsi="Times New Roman" w:cs="Times New Roman"/>
          <w:i/>
          <w:iCs/>
          <w:szCs w:val="20"/>
          <w:bdr w:val="nil"/>
        </w:rPr>
        <w:t xml:space="preserve"> Fees and Charges Policy and Guidelines </w:t>
      </w:r>
      <w:r w:rsidR="005C53C5" w:rsidRPr="00CF714F">
        <w:rPr>
          <w:rFonts w:ascii="Times New Roman" w:eastAsia="SimSun" w:hAnsi="Times New Roman" w:cs="Times New Roman"/>
          <w:i/>
          <w:iCs/>
          <w:szCs w:val="20"/>
          <w:bdr w:val="nil"/>
        </w:rPr>
        <w:t>202</w:t>
      </w:r>
      <w:r w:rsidR="005C53C5">
        <w:rPr>
          <w:rFonts w:ascii="Times New Roman" w:eastAsia="SimSun" w:hAnsi="Times New Roman" w:cs="Times New Roman"/>
          <w:i/>
          <w:iCs/>
          <w:szCs w:val="20"/>
          <w:bdr w:val="nil"/>
        </w:rPr>
        <w:t>6</w:t>
      </w:r>
      <w:r w:rsidR="005C53C5" w:rsidRPr="00CF714F">
        <w:rPr>
          <w:rFonts w:ascii="Times New Roman" w:eastAsia="SimSun" w:hAnsi="Times New Roman" w:cs="Times New Roman"/>
          <w:i/>
          <w:iCs/>
          <w:szCs w:val="20"/>
          <w:bdr w:val="nil"/>
        </w:rPr>
        <w:t> </w:t>
      </w:r>
      <w:r w:rsidRPr="00CF714F">
        <w:rPr>
          <w:rFonts w:ascii="Times New Roman" w:eastAsia="SimSun" w:hAnsi="Times New Roman" w:cs="Times New Roman"/>
          <w:i/>
          <w:iCs/>
          <w:szCs w:val="20"/>
          <w:bdr w:val="nil"/>
        </w:rPr>
        <w:t>- </w:t>
      </w:r>
      <w:r w:rsidR="005C53C5" w:rsidRPr="00CF714F">
        <w:rPr>
          <w:rFonts w:ascii="Times New Roman" w:eastAsia="SimSun" w:hAnsi="Times New Roman" w:cs="Times New Roman"/>
          <w:i/>
          <w:iCs/>
          <w:szCs w:val="20"/>
          <w:bdr w:val="nil"/>
        </w:rPr>
        <w:t>202</w:t>
      </w:r>
      <w:r w:rsidR="005C53C5">
        <w:rPr>
          <w:rFonts w:ascii="Times New Roman" w:eastAsia="SimSun" w:hAnsi="Times New Roman" w:cs="Times New Roman"/>
          <w:i/>
          <w:iCs/>
          <w:szCs w:val="20"/>
          <w:bdr w:val="nil"/>
        </w:rPr>
        <w:t>7</w:t>
      </w:r>
      <w:r w:rsidRPr="00CF714F">
        <w:rPr>
          <w:rFonts w:ascii="Times New Roman" w:eastAsia="SimSun" w:hAnsi="Times New Roman" w:cs="Times New Roman"/>
          <w:i/>
          <w:iCs/>
          <w:szCs w:val="20"/>
          <w:bdr w:val="nil"/>
        </w:rPr>
        <w:t>.</w:t>
      </w:r>
    </w:p>
    <w:bookmarkEnd w:id="0"/>
    <w:p w14:paraId="70A18C04" w14:textId="77777777" w:rsidR="009D1CBE" w:rsidRDefault="009D1CBE" w:rsidP="009D1CBE">
      <w:pPr>
        <w:pBdr>
          <w:top w:val="nil"/>
          <w:left w:val="nil"/>
          <w:bottom w:val="nil"/>
          <w:right w:val="nil"/>
          <w:between w:val="nil"/>
          <w:bar w:val="nil"/>
        </w:pBdr>
        <w:jc w:val="both"/>
        <w:rPr>
          <w:rFonts w:ascii="Times New Roman" w:eastAsia="Times New Roman" w:hAnsi="Times New Roman" w:cs="Times New Roman"/>
          <w:szCs w:val="20"/>
          <w:bdr w:val="nil"/>
        </w:rPr>
      </w:pPr>
    </w:p>
    <w:p w14:paraId="49813D07" w14:textId="77777777" w:rsidR="00D14707" w:rsidRPr="00D14707" w:rsidRDefault="00D14707" w:rsidP="00D14707">
      <w:pPr>
        <w:pBdr>
          <w:top w:val="nil"/>
          <w:left w:val="nil"/>
          <w:bottom w:val="nil"/>
          <w:right w:val="nil"/>
          <w:between w:val="nil"/>
          <w:bar w:val="nil"/>
        </w:pBdr>
        <w:jc w:val="both"/>
        <w:rPr>
          <w:rFonts w:ascii="Times New Roman" w:eastAsia="Times New Roman" w:hAnsi="Times New Roman" w:cs="Times New Roman"/>
          <w:b/>
          <w:bCs/>
          <w:szCs w:val="20"/>
          <w:bdr w:val="nil"/>
        </w:rPr>
      </w:pPr>
      <w:r w:rsidRPr="00D14707">
        <w:rPr>
          <w:rFonts w:ascii="Times New Roman" w:eastAsia="Times New Roman" w:hAnsi="Times New Roman" w:cs="Times New Roman"/>
          <w:b/>
          <w:bCs/>
          <w:szCs w:val="20"/>
          <w:bdr w:val="nil"/>
        </w:rPr>
        <w:t>Human Rights</w:t>
      </w:r>
    </w:p>
    <w:p w14:paraId="7E0F01AB" w14:textId="77777777" w:rsidR="00D14707" w:rsidRPr="00D14707" w:rsidRDefault="00D14707" w:rsidP="00D14707">
      <w:pPr>
        <w:pBdr>
          <w:top w:val="nil"/>
          <w:left w:val="nil"/>
          <w:bottom w:val="nil"/>
          <w:right w:val="nil"/>
          <w:between w:val="nil"/>
          <w:bar w:val="nil"/>
        </w:pBdr>
        <w:jc w:val="both"/>
        <w:rPr>
          <w:rFonts w:ascii="Times New Roman" w:eastAsia="Times New Roman" w:hAnsi="Times New Roman" w:cs="Times New Roman"/>
          <w:szCs w:val="20"/>
          <w:bdr w:val="nil"/>
        </w:rPr>
      </w:pPr>
      <w:r w:rsidRPr="00D14707">
        <w:rPr>
          <w:rFonts w:ascii="Times New Roman" w:eastAsia="Times New Roman" w:hAnsi="Times New Roman" w:cs="Times New Roman"/>
          <w:szCs w:val="20"/>
          <w:bdr w:val="nil"/>
        </w:rPr>
        <w:t>The Standing Committee on Justice and Community Safety (Legislative Scrutiny Role) terms of reference require consideration of human rights impacts, among other matters. In this case, no human rights are impacted.</w:t>
      </w:r>
    </w:p>
    <w:p w14:paraId="337DC012" w14:textId="77777777" w:rsidR="00D14707" w:rsidRDefault="00D14707" w:rsidP="009D1CBE">
      <w:pPr>
        <w:pBdr>
          <w:top w:val="nil"/>
          <w:left w:val="nil"/>
          <w:bottom w:val="nil"/>
          <w:right w:val="nil"/>
          <w:between w:val="nil"/>
          <w:bar w:val="nil"/>
        </w:pBdr>
        <w:jc w:val="both"/>
        <w:rPr>
          <w:rFonts w:ascii="Times New Roman" w:eastAsia="Times New Roman" w:hAnsi="Times New Roman" w:cs="Times New Roman"/>
          <w:szCs w:val="20"/>
          <w:bdr w:val="nil"/>
        </w:rPr>
        <w:sectPr w:rsidR="00D14707" w:rsidSect="009D1CBE">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aperSrc w:first="264" w:other="264"/>
          <w:cols w:space="720"/>
        </w:sectPr>
      </w:pPr>
    </w:p>
    <w:tbl>
      <w:tblPr>
        <w:tblW w:w="954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384"/>
        <w:gridCol w:w="1384"/>
      </w:tblGrid>
      <w:tr w:rsidR="009D1CBE" w14:paraId="78CA70AC" w14:textId="77777777" w:rsidTr="00FD731A">
        <w:trPr>
          <w:trHeight w:val="368"/>
          <w:tblHeader/>
          <w:jc w:val="center"/>
        </w:trPr>
        <w:tc>
          <w:tcPr>
            <w:tcW w:w="1269" w:type="dxa"/>
            <w:tcBorders>
              <w:top w:val="nil"/>
              <w:bottom w:val="single" w:sz="12" w:space="0" w:color="auto"/>
            </w:tcBorders>
          </w:tcPr>
          <w:p w14:paraId="7A3E543E" w14:textId="77777777" w:rsidR="009D1CBE" w:rsidRPr="009D1CBE" w:rsidRDefault="009D1CBE" w:rsidP="00FD731A">
            <w:pPr>
              <w:pStyle w:val="Heading2"/>
              <w:pBdr>
                <w:top w:val="nil"/>
                <w:left w:val="nil"/>
                <w:bottom w:val="nil"/>
                <w:right w:val="nil"/>
                <w:between w:val="nil"/>
                <w:bar w:val="nil"/>
              </w:pBdr>
              <w:spacing w:before="120"/>
              <w:rPr>
                <w:rFonts w:ascii="Times New Roman" w:eastAsia="Times New Roman" w:hAnsi="Times New Roman" w:cs="Times New Roman"/>
                <w:b/>
                <w:bCs/>
                <w:color w:val="auto"/>
                <w:sz w:val="22"/>
                <w:szCs w:val="22"/>
                <w:bdr w:val="nil"/>
              </w:rPr>
            </w:pPr>
            <w:r w:rsidRPr="009D1CBE">
              <w:rPr>
                <w:rFonts w:ascii="Times New Roman" w:eastAsia="Times New Roman" w:hAnsi="Times New Roman" w:cs="Times New Roman"/>
                <w:b/>
                <w:bCs/>
                <w:color w:val="auto"/>
                <w:sz w:val="22"/>
                <w:szCs w:val="22"/>
                <w:bdr w:val="nil"/>
              </w:rPr>
              <w:lastRenderedPageBreak/>
              <w:t>Column 1</w:t>
            </w:r>
          </w:p>
        </w:tc>
        <w:tc>
          <w:tcPr>
            <w:tcW w:w="5512" w:type="dxa"/>
            <w:tcBorders>
              <w:top w:val="nil"/>
              <w:bottom w:val="single" w:sz="12" w:space="0" w:color="auto"/>
            </w:tcBorders>
          </w:tcPr>
          <w:p w14:paraId="4432C955" w14:textId="77777777" w:rsidR="009D1CBE" w:rsidRPr="00652B7F" w:rsidRDefault="009D1CBE"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384" w:type="dxa"/>
            <w:tcBorders>
              <w:top w:val="nil"/>
              <w:bottom w:val="single" w:sz="12" w:space="0" w:color="auto"/>
            </w:tcBorders>
          </w:tcPr>
          <w:p w14:paraId="6B6290A0" w14:textId="77777777" w:rsidR="009D1CBE" w:rsidRPr="00652B7F" w:rsidRDefault="009D1CBE"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384" w:type="dxa"/>
            <w:tcBorders>
              <w:top w:val="nil"/>
              <w:bottom w:val="single" w:sz="12" w:space="0" w:color="auto"/>
            </w:tcBorders>
          </w:tcPr>
          <w:p w14:paraId="3F5346A8" w14:textId="77777777" w:rsidR="009D1CBE" w:rsidRPr="00652B7F" w:rsidRDefault="009D1CBE"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9D1CBE" w14:paraId="1D69E92D" w14:textId="77777777" w:rsidTr="00FD731A">
        <w:trPr>
          <w:trHeight w:val="813"/>
          <w:tblHeader/>
          <w:jc w:val="center"/>
        </w:trPr>
        <w:tc>
          <w:tcPr>
            <w:tcW w:w="1269" w:type="dxa"/>
            <w:tcBorders>
              <w:top w:val="single" w:sz="12" w:space="0" w:color="auto"/>
              <w:bottom w:val="single" w:sz="12" w:space="0" w:color="auto"/>
            </w:tcBorders>
          </w:tcPr>
          <w:p w14:paraId="095167EE" w14:textId="77777777" w:rsidR="009D1CBE" w:rsidRPr="009D1CBE" w:rsidRDefault="009D1CBE" w:rsidP="009D1CBE">
            <w:pPr>
              <w:pStyle w:val="Heading2"/>
              <w:pBdr>
                <w:top w:val="nil"/>
                <w:left w:val="nil"/>
                <w:bottom w:val="nil"/>
                <w:right w:val="nil"/>
                <w:between w:val="nil"/>
                <w:bar w:val="nil"/>
              </w:pBdr>
              <w:spacing w:before="0" w:after="0"/>
              <w:rPr>
                <w:rFonts w:ascii="Times New Roman" w:eastAsia="Times New Roman" w:hAnsi="Times New Roman" w:cs="Times New Roman"/>
                <w:b/>
                <w:bCs/>
                <w:color w:val="auto"/>
                <w:sz w:val="22"/>
                <w:szCs w:val="22"/>
                <w:bdr w:val="nil"/>
              </w:rPr>
            </w:pPr>
            <w:r w:rsidRPr="009D1CBE">
              <w:rPr>
                <w:rFonts w:ascii="Times New Roman" w:eastAsia="Times New Roman" w:hAnsi="Times New Roman" w:cs="Times New Roman"/>
                <w:b/>
                <w:bCs/>
                <w:color w:val="auto"/>
                <w:sz w:val="22"/>
                <w:szCs w:val="22"/>
                <w:bdr w:val="nil"/>
              </w:rPr>
              <w:t>Relevant Section of Act</w:t>
            </w:r>
          </w:p>
        </w:tc>
        <w:tc>
          <w:tcPr>
            <w:tcW w:w="5512" w:type="dxa"/>
            <w:tcBorders>
              <w:top w:val="single" w:sz="12" w:space="0" w:color="auto"/>
              <w:bottom w:val="single" w:sz="12" w:space="0" w:color="auto"/>
            </w:tcBorders>
          </w:tcPr>
          <w:p w14:paraId="130CC93D" w14:textId="77777777" w:rsidR="009D1CBE" w:rsidRPr="00652B7F" w:rsidRDefault="009D1CBE"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384" w:type="dxa"/>
            <w:tcBorders>
              <w:top w:val="single" w:sz="12" w:space="0" w:color="auto"/>
              <w:bottom w:val="single" w:sz="12" w:space="0" w:color="auto"/>
            </w:tcBorders>
          </w:tcPr>
          <w:p w14:paraId="6C90F057" w14:textId="77777777" w:rsidR="009D1CBE" w:rsidRPr="00652B7F" w:rsidRDefault="009D1CBE" w:rsidP="00FD731A">
            <w:pPr>
              <w:pBdr>
                <w:top w:val="nil"/>
                <w:left w:val="nil"/>
                <w:bottom w:val="nil"/>
                <w:right w:val="nil"/>
                <w:between w:val="nil"/>
                <w:bar w:val="nil"/>
              </w:pBdr>
              <w:ind w:left="34" w:hanging="34"/>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384" w:type="dxa"/>
            <w:tcBorders>
              <w:top w:val="single" w:sz="12" w:space="0" w:color="auto"/>
              <w:bottom w:val="single" w:sz="12" w:space="0" w:color="auto"/>
            </w:tcBorders>
          </w:tcPr>
          <w:p w14:paraId="0F6128E1" w14:textId="488CFA27" w:rsidR="009D1CBE" w:rsidRPr="00652B7F" w:rsidRDefault="009D1CBE"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CA603E">
              <w:rPr>
                <w:rFonts w:ascii="Times New Roman" w:eastAsia="Times New Roman" w:hAnsi="Times New Roman" w:cs="Times New Roman"/>
                <w:b/>
                <w:bCs/>
                <w:sz w:val="22"/>
                <w:szCs w:val="22"/>
                <w:bdr w:val="nil"/>
              </w:rPr>
              <w:t xml:space="preserve">1 July </w:t>
            </w:r>
            <w:r w:rsidR="00713EEE">
              <w:rPr>
                <w:rFonts w:ascii="Times New Roman" w:eastAsia="Times New Roman" w:hAnsi="Times New Roman" w:cs="Times New Roman"/>
                <w:b/>
                <w:bCs/>
                <w:sz w:val="22"/>
                <w:szCs w:val="22"/>
                <w:bdr w:val="nil"/>
              </w:rPr>
              <w:t>2026</w:t>
            </w:r>
            <w:r w:rsidR="00713EEE" w:rsidRPr="00CA603E">
              <w:rPr>
                <w:rFonts w:ascii="Times New Roman" w:eastAsia="Times New Roman" w:hAnsi="Times New Roman" w:cs="Times New Roman"/>
                <w:b/>
                <w:bCs/>
                <w:sz w:val="22"/>
                <w:szCs w:val="22"/>
                <w:bdr w:val="nil"/>
              </w:rPr>
              <w:t xml:space="preserve"> </w:t>
            </w:r>
            <w:r w:rsidR="00713EEE">
              <w:rPr>
                <w:rFonts w:ascii="Times New Roman" w:eastAsia="Times New Roman" w:hAnsi="Times New Roman" w:cs="Times New Roman"/>
                <w:b/>
                <w:bCs/>
                <w:sz w:val="22"/>
                <w:szCs w:val="22"/>
                <w:bdr w:val="nil"/>
              </w:rPr>
              <w:t xml:space="preserve"> </w:t>
            </w:r>
            <w:r>
              <w:rPr>
                <w:rFonts w:ascii="Times New Roman" w:eastAsia="Times New Roman" w:hAnsi="Times New Roman" w:cs="Times New Roman"/>
                <w:b/>
                <w:bCs/>
                <w:sz w:val="22"/>
                <w:szCs w:val="22"/>
                <w:bdr w:val="nil"/>
              </w:rPr>
              <w:t>(GST exempt)</w:t>
            </w:r>
          </w:p>
        </w:tc>
      </w:tr>
      <w:tr w:rsidR="009D1CBE" w14:paraId="10392A31" w14:textId="77777777" w:rsidTr="00FD731A">
        <w:trPr>
          <w:trHeight w:val="874"/>
          <w:tblHeader/>
          <w:jc w:val="center"/>
        </w:trPr>
        <w:tc>
          <w:tcPr>
            <w:tcW w:w="1269" w:type="dxa"/>
            <w:tcBorders>
              <w:top w:val="single" w:sz="12" w:space="0" w:color="auto"/>
              <w:right w:val="nil"/>
            </w:tcBorders>
          </w:tcPr>
          <w:p w14:paraId="032327FC" w14:textId="77777777" w:rsidR="009D1CBE" w:rsidRPr="00A01B5F" w:rsidRDefault="009D1CBE"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11</w:t>
            </w:r>
          </w:p>
        </w:tc>
        <w:tc>
          <w:tcPr>
            <w:tcW w:w="5512" w:type="dxa"/>
            <w:tcBorders>
              <w:top w:val="single" w:sz="12" w:space="0" w:color="auto"/>
              <w:left w:val="nil"/>
              <w:right w:val="nil"/>
            </w:tcBorders>
          </w:tcPr>
          <w:p w14:paraId="76C1B0B5" w14:textId="77777777" w:rsidR="009D1CBE" w:rsidRDefault="009D1CBE"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fee payable to accompany an application under section 11 of the </w:t>
            </w:r>
            <w:r w:rsidRPr="00A04686">
              <w:rPr>
                <w:rFonts w:ascii="Times New Roman" w:eastAsia="Times New Roman" w:hAnsi="Times New Roman" w:cs="Times New Roman"/>
                <w:i/>
                <w:iCs/>
                <w:szCs w:val="20"/>
                <w:bdr w:val="nil"/>
              </w:rPr>
              <w:t>Unlawful Gambling Act 2009</w:t>
            </w:r>
            <w:r>
              <w:rPr>
                <w:rFonts w:ascii="Times New Roman" w:eastAsia="Times New Roman" w:hAnsi="Times New Roman" w:cs="Times New Roman"/>
                <w:szCs w:val="20"/>
                <w:bdr w:val="nil"/>
              </w:rPr>
              <w:t xml:space="preserve"> </w:t>
            </w:r>
            <w:r w:rsidRPr="00A04686">
              <w:rPr>
                <w:rFonts w:ascii="Times New Roman" w:eastAsia="Times New Roman" w:hAnsi="Times New Roman" w:cs="Times New Roman"/>
                <w:szCs w:val="20"/>
                <w:bdr w:val="nil"/>
              </w:rPr>
              <w:t>to the ACT Gambling and Racing Commission for approval to conduct a game.</w:t>
            </w:r>
          </w:p>
          <w:p w14:paraId="7FA4F881" w14:textId="77777777" w:rsidR="009D1CBE" w:rsidRPr="00A01B5F" w:rsidRDefault="009D1CBE" w:rsidP="00FD731A">
            <w:pPr>
              <w:pBdr>
                <w:top w:val="nil"/>
                <w:left w:val="nil"/>
                <w:bottom w:val="nil"/>
                <w:right w:val="nil"/>
                <w:between w:val="nil"/>
                <w:bar w:val="nil"/>
              </w:pBdr>
              <w:rPr>
                <w:rFonts w:ascii="Times New Roman" w:eastAsia="Times New Roman" w:hAnsi="Times New Roman" w:cs="Times New Roman"/>
                <w:bdr w:val="nil"/>
              </w:rPr>
            </w:pPr>
          </w:p>
        </w:tc>
        <w:tc>
          <w:tcPr>
            <w:tcW w:w="1384" w:type="dxa"/>
            <w:tcBorders>
              <w:top w:val="single" w:sz="12" w:space="0" w:color="auto"/>
              <w:left w:val="nil"/>
            </w:tcBorders>
          </w:tcPr>
          <w:p w14:paraId="76DE5B3B" w14:textId="63657612" w:rsidR="009D1CBE" w:rsidRPr="00A01B5F" w:rsidRDefault="009D1CBE"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6914E9">
              <w:rPr>
                <w:rFonts w:ascii="Times New Roman" w:eastAsia="Times New Roman" w:hAnsi="Times New Roman" w:cs="Times New Roman"/>
                <w:bdr w:val="nil"/>
              </w:rPr>
              <w:t>67</w:t>
            </w:r>
            <w:r>
              <w:rPr>
                <w:rFonts w:ascii="Times New Roman" w:eastAsia="Times New Roman" w:hAnsi="Times New Roman" w:cs="Times New Roman"/>
                <w:bdr w:val="nil"/>
              </w:rPr>
              <w:t>.00</w:t>
            </w:r>
          </w:p>
        </w:tc>
        <w:tc>
          <w:tcPr>
            <w:tcW w:w="1384" w:type="dxa"/>
            <w:tcBorders>
              <w:top w:val="single" w:sz="12" w:space="0" w:color="auto"/>
              <w:left w:val="nil"/>
            </w:tcBorders>
          </w:tcPr>
          <w:p w14:paraId="4B5ED5B4" w14:textId="3B53BCC8" w:rsidR="009D1CBE" w:rsidRDefault="009D1CBE"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D941FF" w:rsidRPr="00D941FF">
              <w:rPr>
                <w:rFonts w:ascii="Times New Roman" w:eastAsia="Times New Roman" w:hAnsi="Times New Roman" w:cs="Times New Roman"/>
                <w:bdr w:val="nil"/>
              </w:rPr>
              <w:t>$69.00</w:t>
            </w:r>
          </w:p>
        </w:tc>
      </w:tr>
    </w:tbl>
    <w:p w14:paraId="2E0FFEC7" w14:textId="77777777" w:rsidR="00DC3982" w:rsidRPr="009D1CBE" w:rsidRDefault="00DC3982" w:rsidP="009D1CBE"/>
    <w:sectPr w:rsidR="00DC3982" w:rsidRPr="009D1CBE">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420A" w14:textId="77777777" w:rsidR="006A7DB3" w:rsidRDefault="006A7DB3" w:rsidP="002A7528">
      <w:r>
        <w:separator/>
      </w:r>
    </w:p>
  </w:endnote>
  <w:endnote w:type="continuationSeparator" w:id="0">
    <w:p w14:paraId="25664326" w14:textId="77777777" w:rsidR="006A7DB3" w:rsidRDefault="006A7DB3"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0002" w14:textId="77777777" w:rsidR="009D1CBE" w:rsidRPr="00F33A48" w:rsidRDefault="009D1CBE" w:rsidP="00F33A48">
    <w:pPr>
      <w:pStyle w:val="Footer"/>
      <w:pBdr>
        <w:top w:val="nil"/>
        <w:left w:val="nil"/>
        <w:bottom w:val="nil"/>
        <w:right w:val="nil"/>
        <w:between w:val="nil"/>
        <w:bar w:val="nil"/>
      </w:pBdr>
      <w:jc w:val="center"/>
      <w:rPr>
        <w:rFonts w:eastAsia="Times New Roman"/>
        <w:sz w:val="14"/>
        <w:szCs w:val="20"/>
        <w:bdr w:val="nil"/>
      </w:rPr>
    </w:pPr>
    <w:r w:rsidRPr="00F33A48">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DEA" w14:textId="1C0946B8" w:rsidR="009A7A81" w:rsidRPr="002F0A73" w:rsidRDefault="002F0A73" w:rsidP="002F0A73">
    <w:pPr>
      <w:pStyle w:val="Footer"/>
      <w:jc w:val="center"/>
      <w:rPr>
        <w:sz w:val="14"/>
      </w:rPr>
    </w:pPr>
    <w:r w:rsidRPr="002F0A73">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59AD" w14:textId="77777777" w:rsidR="009D1CBE" w:rsidRDefault="009D1CBE">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9D1CBE" w:rsidRDefault="009D1CBE">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2AEABD8A" w:rsidR="009D1CBE" w:rsidRPr="002F0A73" w:rsidRDefault="002F0A73" w:rsidP="002F0A73">
    <w:pPr>
      <w:pStyle w:val="Footer"/>
      <w:jc w:val="center"/>
      <w:rPr>
        <w:sz w:val="14"/>
      </w:rPr>
    </w:pPr>
    <w:r w:rsidRPr="002F0A73">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9D1CBE" w:rsidRDefault="009D1CBE">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703B" w14:textId="77777777" w:rsidR="006A7DB3" w:rsidRDefault="006A7DB3" w:rsidP="002A7528">
      <w:r>
        <w:separator/>
      </w:r>
    </w:p>
  </w:footnote>
  <w:footnote w:type="continuationSeparator" w:id="0">
    <w:p w14:paraId="1B660E94" w14:textId="77777777" w:rsidR="006A7DB3" w:rsidRDefault="006A7DB3"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B0DA"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p w14:paraId="6EC85DA7"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0833"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p w14:paraId="78F58D40"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1F2A"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9D1CBE" w:rsidRDefault="009D1CBE">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6262D"/>
    <w:rsid w:val="0009680E"/>
    <w:rsid w:val="000B2CC8"/>
    <w:rsid w:val="000D093D"/>
    <w:rsid w:val="00136CB9"/>
    <w:rsid w:val="00225D02"/>
    <w:rsid w:val="00236C05"/>
    <w:rsid w:val="00260585"/>
    <w:rsid w:val="002A7528"/>
    <w:rsid w:val="002F0A73"/>
    <w:rsid w:val="0032110C"/>
    <w:rsid w:val="00374E90"/>
    <w:rsid w:val="003B12B1"/>
    <w:rsid w:val="003B6985"/>
    <w:rsid w:val="003E682F"/>
    <w:rsid w:val="00424046"/>
    <w:rsid w:val="00486392"/>
    <w:rsid w:val="004F5B79"/>
    <w:rsid w:val="00502588"/>
    <w:rsid w:val="005331FF"/>
    <w:rsid w:val="005C53C5"/>
    <w:rsid w:val="005F0C48"/>
    <w:rsid w:val="00600353"/>
    <w:rsid w:val="006914E9"/>
    <w:rsid w:val="006918B2"/>
    <w:rsid w:val="006A7DB3"/>
    <w:rsid w:val="00713EEE"/>
    <w:rsid w:val="007322BF"/>
    <w:rsid w:val="00732565"/>
    <w:rsid w:val="00740E1F"/>
    <w:rsid w:val="007E37F2"/>
    <w:rsid w:val="008E1D47"/>
    <w:rsid w:val="009364CC"/>
    <w:rsid w:val="00954238"/>
    <w:rsid w:val="00957F2D"/>
    <w:rsid w:val="009A0666"/>
    <w:rsid w:val="009A7A81"/>
    <w:rsid w:val="009C4B02"/>
    <w:rsid w:val="009D1CBE"/>
    <w:rsid w:val="00A3135D"/>
    <w:rsid w:val="00A40D70"/>
    <w:rsid w:val="00A43FE0"/>
    <w:rsid w:val="00A4570F"/>
    <w:rsid w:val="00A74911"/>
    <w:rsid w:val="00A75F30"/>
    <w:rsid w:val="00AA56A6"/>
    <w:rsid w:val="00AB3C6D"/>
    <w:rsid w:val="00AE2355"/>
    <w:rsid w:val="00B2563B"/>
    <w:rsid w:val="00BF24B1"/>
    <w:rsid w:val="00C02CF2"/>
    <w:rsid w:val="00C0625D"/>
    <w:rsid w:val="00C22B8A"/>
    <w:rsid w:val="00C32CA4"/>
    <w:rsid w:val="00CA5868"/>
    <w:rsid w:val="00CE1295"/>
    <w:rsid w:val="00CF7BB0"/>
    <w:rsid w:val="00D14707"/>
    <w:rsid w:val="00D941FF"/>
    <w:rsid w:val="00DC3982"/>
    <w:rsid w:val="00DC7B5E"/>
    <w:rsid w:val="00DD5142"/>
    <w:rsid w:val="00EA5E6D"/>
    <w:rsid w:val="00ED490F"/>
    <w:rsid w:val="00F037F7"/>
    <w:rsid w:val="00F3204F"/>
    <w:rsid w:val="00F46D3D"/>
    <w:rsid w:val="00FB55F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styleId="Revision">
    <w:name w:val="Revision"/>
    <w:hidden/>
    <w:uiPriority w:val="99"/>
    <w:semiHidden/>
    <w:rsid w:val="000B2CC8"/>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1564</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2026-06-16T05:20:00Z</dcterms:created>
  <dcterms:modified xsi:type="dcterms:W3CDTF">2026-06-16T05:20:00Z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14314235</vt:lpwstr>
  </property>
  <property fmtid="{D5CDD505-2E9C-101B-9397-08002B2CF9AE}" pid="11" name="CHECKEDOUTFROMJMS">
    <vt:lpwstr/>
  </property>
  <property fmtid="{D5CDD505-2E9C-101B-9397-08002B2CF9AE}" pid="12" name="JMSREQUIREDCHECKIN">
    <vt:lpwstr/>
  </property>
</Properties>
</file>