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5820" w14:textId="77777777" w:rsidR="00FF4661" w:rsidRDefault="00FF4661" w:rsidP="00695B93">
      <w:pPr>
        <w:spacing w:before="120" w:after="120"/>
        <w:jc w:val="both"/>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40B796F2" w14:textId="2C892BAE" w:rsidR="00FF4661" w:rsidRPr="00EE7F1C" w:rsidRDefault="00FF4661" w:rsidP="00695B93">
      <w:pPr>
        <w:pStyle w:val="Billname"/>
        <w:spacing w:before="700"/>
        <w:jc w:val="both"/>
      </w:pPr>
      <w:r>
        <w:t xml:space="preserve">Legal Profession (Solicitors) </w:t>
      </w:r>
      <w:r w:rsidR="00F01696">
        <w:t xml:space="preserve">Conduct </w:t>
      </w:r>
      <w:r>
        <w:t xml:space="preserve">Rules </w:t>
      </w:r>
      <w:r w:rsidR="00300A04">
        <w:t>2026</w:t>
      </w:r>
    </w:p>
    <w:p w14:paraId="5E269B27" w14:textId="34B7E822" w:rsidR="00FF4661" w:rsidRPr="00EE7F1C" w:rsidRDefault="00F30ECA" w:rsidP="7356062D">
      <w:pPr>
        <w:spacing w:before="340"/>
        <w:jc w:val="both"/>
        <w:rPr>
          <w:rFonts w:ascii="Arial" w:hAnsi="Arial" w:cs="Arial"/>
          <w:b/>
          <w:bCs/>
          <w:highlight w:val="yellow"/>
        </w:rPr>
      </w:pPr>
      <w:r w:rsidRPr="7356062D">
        <w:rPr>
          <w:rFonts w:ascii="Arial" w:hAnsi="Arial" w:cs="Arial"/>
          <w:b/>
          <w:bCs/>
        </w:rPr>
        <w:t xml:space="preserve">Subordinate law </w:t>
      </w:r>
      <w:r w:rsidR="00290C9D">
        <w:rPr>
          <w:rFonts w:ascii="Arial" w:hAnsi="Arial" w:cs="Arial"/>
          <w:b/>
          <w:bCs/>
        </w:rPr>
        <w:t>SL202</w:t>
      </w:r>
      <w:r w:rsidR="00300A04">
        <w:rPr>
          <w:rFonts w:ascii="Arial" w:hAnsi="Arial" w:cs="Arial"/>
          <w:b/>
          <w:bCs/>
        </w:rPr>
        <w:t>6</w:t>
      </w:r>
      <w:r w:rsidR="00290C9D">
        <w:rPr>
          <w:rFonts w:ascii="Arial" w:hAnsi="Arial" w:cs="Arial"/>
          <w:b/>
          <w:bCs/>
        </w:rPr>
        <w:t>-</w:t>
      </w:r>
      <w:r w:rsidR="00A911C0">
        <w:rPr>
          <w:rFonts w:ascii="Arial" w:hAnsi="Arial" w:cs="Arial"/>
          <w:b/>
          <w:bCs/>
        </w:rPr>
        <w:t>6</w:t>
      </w:r>
    </w:p>
    <w:p w14:paraId="0A1B0DD3" w14:textId="77777777" w:rsidR="00FF4661" w:rsidRPr="00EE7F1C" w:rsidRDefault="00FF4661" w:rsidP="00695B93">
      <w:pPr>
        <w:pStyle w:val="madeunder"/>
        <w:spacing w:before="300" w:after="0"/>
      </w:pPr>
      <w:r w:rsidRPr="00EE7F1C">
        <w:t>made under the</w:t>
      </w:r>
    </w:p>
    <w:p w14:paraId="4AEE0549" w14:textId="77777777" w:rsidR="00FF4661" w:rsidRPr="00EE7F1C" w:rsidRDefault="00FF4661" w:rsidP="00695B93">
      <w:pPr>
        <w:pStyle w:val="CoverActName"/>
        <w:spacing w:before="320" w:after="0"/>
        <w:rPr>
          <w:bCs/>
          <w:sz w:val="20"/>
        </w:rPr>
      </w:pPr>
      <w:r>
        <w:rPr>
          <w:sz w:val="20"/>
        </w:rPr>
        <w:t>Legal Profession Act 2006, s 580 (Rules for solicitors)</w:t>
      </w:r>
    </w:p>
    <w:p w14:paraId="284D8CC0" w14:textId="77777777" w:rsidR="006815C9" w:rsidRDefault="006815C9" w:rsidP="00695B93">
      <w:pPr>
        <w:spacing w:before="360"/>
        <w:ind w:right="565"/>
        <w:jc w:val="both"/>
        <w:rPr>
          <w:rFonts w:ascii="Arial" w:hAnsi="Arial" w:cs="Arial"/>
          <w:b/>
          <w:bCs/>
          <w:sz w:val="28"/>
          <w:szCs w:val="28"/>
        </w:rPr>
      </w:pPr>
      <w:r>
        <w:rPr>
          <w:rFonts w:ascii="Arial" w:hAnsi="Arial" w:cs="Arial"/>
          <w:b/>
          <w:bCs/>
          <w:sz w:val="28"/>
          <w:szCs w:val="28"/>
        </w:rPr>
        <w:t>EXPLANATORY STATEMENT</w:t>
      </w:r>
    </w:p>
    <w:p w14:paraId="421D6350" w14:textId="77777777" w:rsidR="006815C9" w:rsidRDefault="006815C9" w:rsidP="00695B93">
      <w:pPr>
        <w:pStyle w:val="N-line3"/>
        <w:pBdr>
          <w:bottom w:val="none" w:sz="0" w:space="0" w:color="auto"/>
        </w:pBdr>
      </w:pPr>
    </w:p>
    <w:p w14:paraId="7C77CB6D" w14:textId="77777777" w:rsidR="006815C9" w:rsidRDefault="006815C9" w:rsidP="00695B93">
      <w:pPr>
        <w:pStyle w:val="N-line3"/>
        <w:pBdr>
          <w:top w:val="single" w:sz="12" w:space="1" w:color="auto"/>
          <w:bottom w:val="none" w:sz="0" w:space="0" w:color="auto"/>
        </w:pBdr>
      </w:pPr>
    </w:p>
    <w:bookmarkEnd w:id="0"/>
    <w:p w14:paraId="1AC40CDC" w14:textId="77777777" w:rsidR="006815C9" w:rsidRPr="0015707F" w:rsidRDefault="0015707F" w:rsidP="00695B93">
      <w:pPr>
        <w:jc w:val="both"/>
        <w:rPr>
          <w:b/>
          <w:sz w:val="28"/>
          <w:szCs w:val="28"/>
        </w:rPr>
      </w:pPr>
      <w:r w:rsidRPr="0015707F">
        <w:rPr>
          <w:b/>
          <w:sz w:val="28"/>
          <w:szCs w:val="28"/>
        </w:rPr>
        <w:t>Background</w:t>
      </w:r>
    </w:p>
    <w:p w14:paraId="6E2E1BED" w14:textId="77777777" w:rsidR="0015707F" w:rsidRDefault="0015707F" w:rsidP="00695B93">
      <w:pPr>
        <w:jc w:val="both"/>
      </w:pPr>
    </w:p>
    <w:p w14:paraId="79F2424A" w14:textId="7EC06CE1" w:rsidR="00882E6E" w:rsidRDefault="45D79EC7" w:rsidP="00695B93">
      <w:pPr>
        <w:jc w:val="both"/>
      </w:pPr>
      <w:r>
        <w:t xml:space="preserve">The </w:t>
      </w:r>
      <w:r w:rsidRPr="1D99A024">
        <w:rPr>
          <w:i/>
          <w:iCs/>
        </w:rPr>
        <w:t>Legal Profession Act 2006</w:t>
      </w:r>
      <w:r>
        <w:t xml:space="preserve"> (ACT</w:t>
      </w:r>
      <w:r w:rsidR="56412820">
        <w:t>) (</w:t>
      </w:r>
      <w:r>
        <w:t xml:space="preserve">LPA) empowers the </w:t>
      </w:r>
      <w:r w:rsidR="2266C50B">
        <w:t>Law Society of the ACT (</w:t>
      </w:r>
      <w:r w:rsidR="505024C2">
        <w:t xml:space="preserve">Law </w:t>
      </w:r>
      <w:r w:rsidR="1151A170">
        <w:t xml:space="preserve">Society) to make </w:t>
      </w:r>
      <w:r w:rsidR="40B0BA27">
        <w:t>R</w:t>
      </w:r>
      <w:r w:rsidR="1151A170">
        <w:t>ules for or in relation to practice as a solicitor, as an Australia</w:t>
      </w:r>
      <w:r w:rsidR="505024C2">
        <w:t>n</w:t>
      </w:r>
      <w:r w:rsidR="1151A170">
        <w:t>-registered</w:t>
      </w:r>
      <w:r w:rsidR="4518E9DD">
        <w:t xml:space="preserve"> foreign</w:t>
      </w:r>
      <w:r w:rsidR="1151A170">
        <w:t xml:space="preserve"> lawyer and for incorporated legal practices and multi-disciplinary partnerships.</w:t>
      </w:r>
    </w:p>
    <w:p w14:paraId="2E2BBBAE" w14:textId="77777777" w:rsidR="00144AC7" w:rsidRDefault="00144AC7" w:rsidP="00695B93">
      <w:pPr>
        <w:jc w:val="both"/>
      </w:pPr>
    </w:p>
    <w:p w14:paraId="49B51F36" w14:textId="5B499C47" w:rsidR="00144AC7" w:rsidRPr="00144AC7" w:rsidRDefault="00144AC7" w:rsidP="00695B93">
      <w:pPr>
        <w:jc w:val="both"/>
        <w:rPr>
          <w:i/>
          <w:iCs/>
        </w:rPr>
      </w:pPr>
      <w:r>
        <w:t xml:space="preserve">The </w:t>
      </w:r>
      <w:r>
        <w:rPr>
          <w:i/>
          <w:iCs/>
        </w:rPr>
        <w:t xml:space="preserve">Legal Profession (Solicitors) Conduct Rules 2026 </w:t>
      </w:r>
      <w:r>
        <w:t xml:space="preserve">replace the </w:t>
      </w:r>
      <w:r>
        <w:rPr>
          <w:i/>
          <w:iCs/>
        </w:rPr>
        <w:t xml:space="preserve">Legal Profession (Solicitors) Conduct Rules 2025 (No 2). </w:t>
      </w:r>
    </w:p>
    <w:p w14:paraId="60CBC5F2" w14:textId="7219D71D" w:rsidR="007B742A" w:rsidRDefault="007B742A" w:rsidP="00695B93">
      <w:pPr>
        <w:jc w:val="both"/>
      </w:pPr>
    </w:p>
    <w:p w14:paraId="0475BCB2" w14:textId="29FE14D9" w:rsidR="00EA7719" w:rsidRPr="00144AC7" w:rsidRDefault="000253A4" w:rsidP="00695B93">
      <w:pPr>
        <w:jc w:val="both"/>
      </w:pPr>
      <w:r w:rsidRPr="000253A4">
        <w:t>The Rules</w:t>
      </w:r>
      <w:r w:rsidR="0FF08D76">
        <w:t xml:space="preserve"> </w:t>
      </w:r>
      <w:r w:rsidR="5B0B5141">
        <w:t>reflect the</w:t>
      </w:r>
      <w:r w:rsidR="228AD8FB">
        <w:t xml:space="preserve"> efforts </w:t>
      </w:r>
      <w:r w:rsidR="5B0B5141">
        <w:t>of</w:t>
      </w:r>
      <w:r w:rsidR="228AD8FB">
        <w:t xml:space="preserve"> the Law Council of Australia </w:t>
      </w:r>
      <w:r w:rsidR="08BBD6A0">
        <w:t xml:space="preserve">(LCA) </w:t>
      </w:r>
      <w:r w:rsidR="228AD8FB">
        <w:t>and its constituent bodies to</w:t>
      </w:r>
      <w:r w:rsidR="00144AC7">
        <w:t xml:space="preserve"> </w:t>
      </w:r>
      <w:r w:rsidR="0015636A">
        <w:t xml:space="preserve">amend the </w:t>
      </w:r>
      <w:r w:rsidR="00144AC7">
        <w:t>legal practice rule</w:t>
      </w:r>
      <w:r w:rsidR="0015636A">
        <w:t>s of each State and Territory</w:t>
      </w:r>
      <w:r w:rsidR="00144AC7">
        <w:t xml:space="preserve"> in response to ethical and professional responsibility challenges that may arise for solicitors from 1 July 2026 under the </w:t>
      </w:r>
      <w:r w:rsidR="00144AC7">
        <w:rPr>
          <w:i/>
          <w:iCs/>
        </w:rPr>
        <w:t xml:space="preserve">Anti-Money Laundering and Counter-Terrorism Financing Act 2006 (Cth) </w:t>
      </w:r>
      <w:r w:rsidR="00144AC7">
        <w:t>(</w:t>
      </w:r>
      <w:r w:rsidR="00144AC7" w:rsidRPr="00A2169E">
        <w:rPr>
          <w:i/>
          <w:iCs/>
        </w:rPr>
        <w:t>AML/CTF</w:t>
      </w:r>
      <w:r w:rsidR="00144AC7">
        <w:t>).</w:t>
      </w:r>
    </w:p>
    <w:p w14:paraId="33D49BBB" w14:textId="77777777" w:rsidR="00700C26" w:rsidRPr="00700C26" w:rsidRDefault="00700C26" w:rsidP="00695B93">
      <w:pPr>
        <w:jc w:val="both"/>
      </w:pPr>
    </w:p>
    <w:p w14:paraId="7E672F12" w14:textId="75F4DEA5" w:rsidR="00700C26" w:rsidRPr="00700C26" w:rsidRDefault="00700C26" w:rsidP="00700C26">
      <w:pPr>
        <w:jc w:val="both"/>
      </w:pPr>
      <w:bookmarkStart w:id="1" w:name="_Hlk216086056"/>
      <w:r>
        <w:t xml:space="preserve">As required by the </w:t>
      </w:r>
      <w:r w:rsidR="00CD02CB">
        <w:t>LPA</w:t>
      </w:r>
      <w:r>
        <w:t xml:space="preserve">, the </w:t>
      </w:r>
      <w:r w:rsidR="00F7283A">
        <w:t xml:space="preserve">Law </w:t>
      </w:r>
      <w:r>
        <w:t>Society wrote to the ACT Attorney</w:t>
      </w:r>
      <w:r w:rsidR="0001783E">
        <w:t xml:space="preserve"> </w:t>
      </w:r>
      <w:r>
        <w:t xml:space="preserve">General and </w:t>
      </w:r>
      <w:r w:rsidR="00620AC6">
        <w:t xml:space="preserve">sought public comment </w:t>
      </w:r>
      <w:r>
        <w:t xml:space="preserve">on the proposal to adopt the </w:t>
      </w:r>
      <w:r w:rsidR="00CD02CB">
        <w:t>revised</w:t>
      </w:r>
      <w:r w:rsidR="001B18EA">
        <w:t xml:space="preserve"> </w:t>
      </w:r>
      <w:r w:rsidR="009164A9">
        <w:t>R</w:t>
      </w:r>
      <w:r w:rsidR="001B18EA">
        <w:t>ules</w:t>
      </w:r>
      <w:r>
        <w:t xml:space="preserve">.  Following the conclusion of the public consultation process </w:t>
      </w:r>
      <w:r w:rsidR="001B18EA">
        <w:t>the Cou</w:t>
      </w:r>
      <w:r w:rsidR="00620AC6">
        <w:t xml:space="preserve">ncil </w:t>
      </w:r>
      <w:r w:rsidR="00F7283A">
        <w:t xml:space="preserve">of the Law Society </w:t>
      </w:r>
      <w:r w:rsidR="00F24ABB">
        <w:t xml:space="preserve">formally adopted the </w:t>
      </w:r>
      <w:r w:rsidR="009164A9">
        <w:t>R</w:t>
      </w:r>
      <w:r w:rsidR="00620AC6">
        <w:t>ules.</w:t>
      </w:r>
    </w:p>
    <w:bookmarkEnd w:id="1"/>
    <w:p w14:paraId="73DF57B0" w14:textId="09CBC71A" w:rsidR="000F17B9" w:rsidRPr="000F17B9" w:rsidRDefault="000F17B9" w:rsidP="1D99A024">
      <w:pPr>
        <w:jc w:val="both"/>
        <w:rPr>
          <w:b/>
          <w:bCs/>
          <w:sz w:val="28"/>
          <w:szCs w:val="28"/>
        </w:rPr>
      </w:pPr>
    </w:p>
    <w:p w14:paraId="3F341C0C" w14:textId="73E007B7" w:rsidR="000F17B9" w:rsidRPr="000F17B9" w:rsidRDefault="1B67A63E" w:rsidP="1D99A024">
      <w:pPr>
        <w:jc w:val="both"/>
        <w:rPr>
          <w:b/>
          <w:bCs/>
          <w:sz w:val="28"/>
          <w:szCs w:val="28"/>
        </w:rPr>
      </w:pPr>
      <w:r w:rsidRPr="1D99A024">
        <w:rPr>
          <w:b/>
          <w:bCs/>
          <w:sz w:val="28"/>
          <w:szCs w:val="28"/>
        </w:rPr>
        <w:t>Purpose</w:t>
      </w:r>
    </w:p>
    <w:p w14:paraId="4D24D605" w14:textId="77777777" w:rsidR="000F17B9" w:rsidRDefault="000F17B9" w:rsidP="00695B93">
      <w:pPr>
        <w:jc w:val="both"/>
      </w:pPr>
    </w:p>
    <w:p w14:paraId="1933599B" w14:textId="1CA70787" w:rsidR="00F7283A" w:rsidRDefault="00057A30" w:rsidP="00695B93">
      <w:pPr>
        <w:jc w:val="both"/>
      </w:pPr>
      <w:r>
        <w:t xml:space="preserve">The </w:t>
      </w:r>
      <w:r w:rsidR="00447638" w:rsidRPr="00447638">
        <w:t>Rules</w:t>
      </w:r>
      <w:r w:rsidRPr="00447638">
        <w:t xml:space="preserve"> </w:t>
      </w:r>
      <w:r>
        <w:t>provide a framework for ethical decision-making to ensure that Australian solicitors are bound by a common set of professional obligations and ethical principles when dealing with their clients, the courts, their fellow legal practit</w:t>
      </w:r>
      <w:r w:rsidR="000F17B9">
        <w:t>ioners and the wider community.</w:t>
      </w:r>
      <w:r w:rsidR="009B4A7B">
        <w:t xml:space="preserve">  </w:t>
      </w:r>
    </w:p>
    <w:p w14:paraId="62015657" w14:textId="77777777" w:rsidR="00F7283A" w:rsidRDefault="00F7283A" w:rsidP="00695B93">
      <w:pPr>
        <w:jc w:val="both"/>
      </w:pPr>
    </w:p>
    <w:p w14:paraId="685A28EF" w14:textId="0985D60D" w:rsidR="00E14437" w:rsidRDefault="505024C2" w:rsidP="00695B93">
      <w:pPr>
        <w:jc w:val="both"/>
      </w:pPr>
      <w:r>
        <w:t xml:space="preserve">The adoption of the new Rules will ensure that they are consistent with those in other </w:t>
      </w:r>
      <w:r w:rsidR="5FFB1589">
        <w:t>jurisdictions.</w:t>
      </w:r>
      <w:r w:rsidR="41144496">
        <w:t xml:space="preserve"> </w:t>
      </w:r>
      <w:r w:rsidR="00A2169E">
        <w:t xml:space="preserve">The new amendments do not create new ethical duties or professional responsibilities for solicitors. They have two objectives. One is to make clear that a </w:t>
      </w:r>
      <w:r w:rsidR="00A2169E">
        <w:lastRenderedPageBreak/>
        <w:t xml:space="preserve">solicitor has a duty to only give effect to client instructions that are, and continue to be, lawful, proper and competent. The other is to clarify that a solicitor has “just cause” to end a retainer if continuing the retainer would cause the solicitor to breach their ethical duties and professional responsibilities, or because the solicitor can no longer act in the client’s best interests, or because the solicitor is not provided with information necessary for the solicitor to meet their statutory obligations. </w:t>
      </w:r>
    </w:p>
    <w:p w14:paraId="65E15727" w14:textId="77777777" w:rsidR="00B50A5B" w:rsidRDefault="00B50A5B" w:rsidP="00695B93">
      <w:pPr>
        <w:jc w:val="both"/>
      </w:pPr>
    </w:p>
    <w:p w14:paraId="10D95673" w14:textId="21D2F638" w:rsidR="00B50A5B" w:rsidRDefault="00113E10" w:rsidP="00695B93">
      <w:pPr>
        <w:jc w:val="both"/>
      </w:pPr>
      <w:r>
        <w:t>s</w:t>
      </w:r>
      <w:r w:rsidR="489B9995">
        <w:t>585 of the LPA provides that the Rules are binding on legal practitioners to whom they apply.</w:t>
      </w:r>
      <w:r w:rsidR="79721D47">
        <w:t xml:space="preserve"> </w:t>
      </w:r>
      <w:r w:rsidR="489B9995">
        <w:t>Failure to comply with the Rules can amount to unsatisfactory professional conduct or professional misconduct.</w:t>
      </w:r>
    </w:p>
    <w:p w14:paraId="7CD6471A" w14:textId="77777777" w:rsidR="000F17B9" w:rsidRDefault="000F17B9" w:rsidP="00695B93">
      <w:pPr>
        <w:jc w:val="both"/>
      </w:pPr>
    </w:p>
    <w:p w14:paraId="43729BAB" w14:textId="77777777" w:rsidR="00FE6A32" w:rsidRDefault="001A35F1" w:rsidP="00695B93">
      <w:pPr>
        <w:jc w:val="both"/>
        <w:rPr>
          <w:b/>
          <w:sz w:val="28"/>
          <w:szCs w:val="28"/>
        </w:rPr>
      </w:pPr>
      <w:r>
        <w:rPr>
          <w:b/>
          <w:sz w:val="28"/>
          <w:szCs w:val="28"/>
        </w:rPr>
        <w:t xml:space="preserve">Outline of Changes </w:t>
      </w:r>
    </w:p>
    <w:p w14:paraId="0FB409DA" w14:textId="4805A427" w:rsidR="00FE6A32" w:rsidRDefault="00FE6A32" w:rsidP="007B5C8D">
      <w:pPr>
        <w:jc w:val="both"/>
      </w:pPr>
    </w:p>
    <w:p w14:paraId="08EAAB8B" w14:textId="622797CC" w:rsidR="00E14437" w:rsidRPr="001026BC" w:rsidRDefault="0050625A" w:rsidP="37783B1D">
      <w:pPr>
        <w:jc w:val="both"/>
        <w:rPr>
          <w:b/>
          <w:bCs/>
          <w:sz w:val="28"/>
          <w:szCs w:val="28"/>
        </w:rPr>
      </w:pPr>
      <w:r w:rsidRPr="7356062D">
        <w:rPr>
          <w:b/>
          <w:bCs/>
          <w:sz w:val="28"/>
          <w:szCs w:val="28"/>
        </w:rPr>
        <w:t>Key</w:t>
      </w:r>
      <w:r w:rsidR="00DC2F6A" w:rsidRPr="7356062D">
        <w:rPr>
          <w:b/>
          <w:bCs/>
          <w:sz w:val="28"/>
          <w:szCs w:val="28"/>
        </w:rPr>
        <w:t xml:space="preserve"> </w:t>
      </w:r>
      <w:r w:rsidR="00590E7F">
        <w:rPr>
          <w:b/>
          <w:bCs/>
          <w:sz w:val="28"/>
          <w:szCs w:val="28"/>
        </w:rPr>
        <w:t>A</w:t>
      </w:r>
      <w:r w:rsidR="00E14437" w:rsidRPr="7356062D">
        <w:rPr>
          <w:b/>
          <w:bCs/>
          <w:sz w:val="28"/>
          <w:szCs w:val="28"/>
        </w:rPr>
        <w:t>mendments</w:t>
      </w:r>
    </w:p>
    <w:p w14:paraId="2DC3A194" w14:textId="77777777" w:rsidR="00E14437" w:rsidRDefault="00E14437" w:rsidP="00695B93">
      <w:pPr>
        <w:jc w:val="both"/>
      </w:pPr>
    </w:p>
    <w:p w14:paraId="451A7971" w14:textId="1A78D7AA" w:rsidR="0005191E" w:rsidRDefault="00D00669" w:rsidP="00695B93">
      <w:pPr>
        <w:jc w:val="both"/>
      </w:pPr>
      <w:r>
        <w:t xml:space="preserve">The following </w:t>
      </w:r>
      <w:r w:rsidR="007C6858">
        <w:t>R</w:t>
      </w:r>
      <w:r w:rsidR="00F11302">
        <w:t xml:space="preserve">ules in the </w:t>
      </w:r>
      <w:r w:rsidR="00F11302" w:rsidRPr="13D9F811">
        <w:rPr>
          <w:i/>
          <w:iCs/>
        </w:rPr>
        <w:t xml:space="preserve">Legal Profession (Solicitors) </w:t>
      </w:r>
      <w:r w:rsidR="00CD02CB" w:rsidRPr="13D9F811">
        <w:rPr>
          <w:i/>
          <w:iCs/>
        </w:rPr>
        <w:t xml:space="preserve">Conduct </w:t>
      </w:r>
      <w:r w:rsidR="00F11302" w:rsidRPr="13D9F811">
        <w:rPr>
          <w:i/>
          <w:iCs/>
        </w:rPr>
        <w:t xml:space="preserve">Rules </w:t>
      </w:r>
      <w:r w:rsidR="00A2169E">
        <w:rPr>
          <w:i/>
          <w:iCs/>
        </w:rPr>
        <w:t>2026</w:t>
      </w:r>
      <w:r w:rsidR="00207FC6">
        <w:t xml:space="preserve"> contain key amendments to </w:t>
      </w:r>
      <w:r w:rsidR="00126D4A">
        <w:t xml:space="preserve">the </w:t>
      </w:r>
      <w:r w:rsidR="00F24ABB" w:rsidRPr="13D9F811">
        <w:rPr>
          <w:i/>
          <w:iCs/>
        </w:rPr>
        <w:t xml:space="preserve">Legal Profession (Solicitors) </w:t>
      </w:r>
      <w:r w:rsidR="00797992">
        <w:rPr>
          <w:i/>
          <w:iCs/>
        </w:rPr>
        <w:t xml:space="preserve">Conduct </w:t>
      </w:r>
      <w:r w:rsidR="00F24ABB" w:rsidRPr="13D9F811">
        <w:rPr>
          <w:i/>
          <w:iCs/>
        </w:rPr>
        <w:t>Rules 20</w:t>
      </w:r>
      <w:r w:rsidR="00341685">
        <w:rPr>
          <w:i/>
          <w:iCs/>
        </w:rPr>
        <w:t>25 (No 2):</w:t>
      </w:r>
    </w:p>
    <w:p w14:paraId="5BC213D0" w14:textId="30D57712" w:rsidR="00F11302" w:rsidRPr="00F11302" w:rsidRDefault="0005191E" w:rsidP="37783B1D">
      <w:r>
        <w:tab/>
      </w:r>
    </w:p>
    <w:p w14:paraId="6885DA23" w14:textId="6832E1B8" w:rsidR="00A2169E" w:rsidRDefault="65CA14A1" w:rsidP="00A2169E">
      <w:pPr>
        <w:pStyle w:val="ListParagraph"/>
        <w:numPr>
          <w:ilvl w:val="0"/>
          <w:numId w:val="15"/>
        </w:numPr>
      </w:pPr>
      <w:r>
        <w:t>Rule</w:t>
      </w:r>
      <w:r w:rsidR="00D554FF">
        <w:t xml:space="preserve"> 8 – Client Instructions – amended to </w:t>
      </w:r>
      <w:r w:rsidR="00341685">
        <w:t>clarify that a solicitor must only accept and follow a client’s lawful, proper and competent instructions.</w:t>
      </w:r>
    </w:p>
    <w:p w14:paraId="084406B5" w14:textId="612E5721" w:rsidR="3716FC10" w:rsidRDefault="00D554FF" w:rsidP="37783B1D">
      <w:pPr>
        <w:pStyle w:val="ListParagraph"/>
        <w:numPr>
          <w:ilvl w:val="0"/>
          <w:numId w:val="15"/>
        </w:numPr>
      </w:pPr>
      <w:r>
        <w:t xml:space="preserve">Rule 11.4.1 – Duty of Confidentiality – amended to </w:t>
      </w:r>
      <w:r w:rsidR="00341685">
        <w:t>clarify where a client’s informed consent is required in circumstances where there is a conflict of duties concerning current clients.</w:t>
      </w:r>
    </w:p>
    <w:p w14:paraId="7FDE6941" w14:textId="0295DAB3" w:rsidR="007B5C8D" w:rsidRDefault="007B5C8D" w:rsidP="37783B1D">
      <w:pPr>
        <w:pStyle w:val="ListParagraph"/>
        <w:numPr>
          <w:ilvl w:val="0"/>
          <w:numId w:val="15"/>
        </w:numPr>
      </w:pPr>
      <w:r>
        <w:t>Glossary of Terms –</w:t>
      </w:r>
      <w:r w:rsidR="00341685">
        <w:t xml:space="preserve"> amended to introduce a definition </w:t>
      </w:r>
      <w:r>
        <w:t>of “Just Cause</w:t>
      </w:r>
      <w:r w:rsidR="00D809C9">
        <w:t>” and aligning definitions for the following terms with the ASCR: associate, barrister, managed investment scheme, and principal.</w:t>
      </w:r>
    </w:p>
    <w:p w14:paraId="742FA790" w14:textId="670159E7" w:rsidR="3716FC10" w:rsidRDefault="3716FC10" w:rsidP="3716FC10">
      <w:pPr>
        <w:jc w:val="both"/>
      </w:pPr>
    </w:p>
    <w:p w14:paraId="139CC1CE" w14:textId="77777777" w:rsidR="00E14437" w:rsidRPr="001026BC" w:rsidRDefault="00E14437" w:rsidP="00695B93">
      <w:pPr>
        <w:jc w:val="both"/>
        <w:rPr>
          <w:b/>
          <w:sz w:val="28"/>
          <w:szCs w:val="28"/>
        </w:rPr>
      </w:pPr>
      <w:r w:rsidRPr="001026BC">
        <w:rPr>
          <w:b/>
          <w:sz w:val="28"/>
          <w:szCs w:val="28"/>
        </w:rPr>
        <w:t xml:space="preserve">Minor </w:t>
      </w:r>
      <w:r w:rsidR="00B23B5C" w:rsidRPr="001026BC">
        <w:rPr>
          <w:b/>
          <w:sz w:val="28"/>
          <w:szCs w:val="28"/>
        </w:rPr>
        <w:t>textual a</w:t>
      </w:r>
      <w:r w:rsidRPr="001026BC">
        <w:rPr>
          <w:b/>
          <w:sz w:val="28"/>
          <w:szCs w:val="28"/>
        </w:rPr>
        <w:t>mendments</w:t>
      </w:r>
    </w:p>
    <w:p w14:paraId="7FC3A724" w14:textId="77777777" w:rsidR="00E14437" w:rsidRPr="007D2E43" w:rsidRDefault="00E14437" w:rsidP="00695B93">
      <w:pPr>
        <w:jc w:val="both"/>
        <w:rPr>
          <w:b/>
          <w:szCs w:val="24"/>
        </w:rPr>
      </w:pPr>
    </w:p>
    <w:p w14:paraId="1210DC58" w14:textId="4D1149E8" w:rsidR="00326092" w:rsidRDefault="00326092" w:rsidP="00CD0D94">
      <w:r>
        <w:t>There</w:t>
      </w:r>
      <w:r w:rsidR="00552F56">
        <w:t xml:space="preserve"> are</w:t>
      </w:r>
      <w:r>
        <w:t xml:space="preserve"> a number of minor textual amendments </w:t>
      </w:r>
      <w:r w:rsidR="00552F56">
        <w:t xml:space="preserve">to </w:t>
      </w:r>
      <w:r w:rsidR="007C6858">
        <w:t>R</w:t>
      </w:r>
      <w:r w:rsidR="00552F56">
        <w:t>ules that are</w:t>
      </w:r>
      <w:r w:rsidR="00985B67">
        <w:t xml:space="preserve"> otherwise</w:t>
      </w:r>
      <w:r w:rsidR="00552F56">
        <w:t xml:space="preserve"> substantively the same</w:t>
      </w:r>
      <w:r w:rsidR="3F1FC9AB">
        <w:t>.</w:t>
      </w:r>
    </w:p>
    <w:p w14:paraId="2E4D1963" w14:textId="77777777" w:rsidR="00B43C60" w:rsidRDefault="00B43C60" w:rsidP="00B43C60">
      <w:pPr>
        <w:jc w:val="both"/>
        <w:rPr>
          <w:b/>
          <w:sz w:val="28"/>
          <w:szCs w:val="28"/>
        </w:rPr>
      </w:pPr>
    </w:p>
    <w:p w14:paraId="6746DC2C" w14:textId="4D58A54A" w:rsidR="00B43C60" w:rsidRPr="001026BC" w:rsidRDefault="00493333" w:rsidP="00B43C60">
      <w:pPr>
        <w:jc w:val="both"/>
        <w:rPr>
          <w:b/>
          <w:sz w:val="28"/>
          <w:szCs w:val="28"/>
        </w:rPr>
      </w:pPr>
      <w:r>
        <w:rPr>
          <w:b/>
          <w:sz w:val="28"/>
          <w:szCs w:val="28"/>
        </w:rPr>
        <w:t>Consistency with Human Rights</w:t>
      </w:r>
    </w:p>
    <w:p w14:paraId="24796FCF" w14:textId="77777777" w:rsidR="00B43C60" w:rsidRPr="007D2E43" w:rsidRDefault="00B43C60" w:rsidP="00B43C60">
      <w:pPr>
        <w:jc w:val="both"/>
        <w:rPr>
          <w:b/>
          <w:szCs w:val="24"/>
        </w:rPr>
      </w:pPr>
    </w:p>
    <w:p w14:paraId="136A1225" w14:textId="6EFE78A8" w:rsidR="00B43C60" w:rsidRDefault="00493333" w:rsidP="00B43C60">
      <w:pPr>
        <w:jc w:val="both"/>
      </w:pPr>
      <w:r>
        <w:t xml:space="preserve">An assessment of the Rules under s28 of the </w:t>
      </w:r>
      <w:r w:rsidR="28952953" w:rsidRPr="4C9633E8">
        <w:rPr>
          <w:i/>
          <w:iCs/>
        </w:rPr>
        <w:t xml:space="preserve">Human Rights Act 2004 </w:t>
      </w:r>
      <w:r w:rsidR="28952953" w:rsidRPr="000A6F77">
        <w:t>(ACT)</w:t>
      </w:r>
      <w:r w:rsidRPr="4C9633E8">
        <w:rPr>
          <w:i/>
          <w:iCs/>
        </w:rPr>
        <w:t xml:space="preserve"> </w:t>
      </w:r>
      <w:r>
        <w:t xml:space="preserve">is provided below. </w:t>
      </w:r>
      <w:r w:rsidR="00E06B1C">
        <w:t>s</w:t>
      </w:r>
      <w:r>
        <w:t>2</w:t>
      </w:r>
      <w:r w:rsidR="00E06B1C">
        <w:t>8</w:t>
      </w:r>
      <w:r>
        <w:t xml:space="preserve"> provides that human rights are subject only to reasonable limits set by laws that can be demonstrably justified in a free and democratic society.</w:t>
      </w:r>
    </w:p>
    <w:p w14:paraId="6E975929" w14:textId="77777777" w:rsidR="00493333" w:rsidRDefault="00493333" w:rsidP="00B43C60">
      <w:pPr>
        <w:jc w:val="both"/>
      </w:pPr>
    </w:p>
    <w:p w14:paraId="5C94D453" w14:textId="660D2C3E" w:rsidR="00E569AE" w:rsidRPr="00E569AE" w:rsidRDefault="00E569AE" w:rsidP="00B43C60">
      <w:pPr>
        <w:jc w:val="both"/>
        <w:rPr>
          <w:b/>
          <w:bCs/>
          <w:szCs w:val="24"/>
        </w:rPr>
      </w:pPr>
      <w:bookmarkStart w:id="2" w:name="_Hlk213242590"/>
      <w:r w:rsidRPr="00E569AE">
        <w:rPr>
          <w:b/>
          <w:bCs/>
          <w:szCs w:val="24"/>
        </w:rPr>
        <w:t>Rights Engaged</w:t>
      </w:r>
    </w:p>
    <w:p w14:paraId="3A2305B5" w14:textId="77777777" w:rsidR="00E569AE" w:rsidRDefault="00E569AE" w:rsidP="00B43C60">
      <w:pPr>
        <w:jc w:val="both"/>
        <w:rPr>
          <w:b/>
          <w:bCs/>
        </w:rPr>
      </w:pPr>
    </w:p>
    <w:p w14:paraId="40326CA8" w14:textId="4D4A6575" w:rsidR="00493333" w:rsidRPr="00E569AE" w:rsidRDefault="00493333" w:rsidP="00B43C60">
      <w:pPr>
        <w:jc w:val="both"/>
      </w:pPr>
      <w:r w:rsidRPr="00E569AE">
        <w:t>Rights Promoted</w:t>
      </w:r>
    </w:p>
    <w:p w14:paraId="4FC8E972" w14:textId="17FA08BF" w:rsidR="00493333" w:rsidRDefault="00493333" w:rsidP="00B43C60">
      <w:pPr>
        <w:jc w:val="both"/>
      </w:pPr>
    </w:p>
    <w:p w14:paraId="4E0A02A7" w14:textId="3CBBB718" w:rsidR="00493333" w:rsidRDefault="00493333" w:rsidP="00493333">
      <w:pPr>
        <w:pStyle w:val="ListParagraph"/>
        <w:numPr>
          <w:ilvl w:val="0"/>
          <w:numId w:val="21"/>
        </w:numPr>
        <w:jc w:val="both"/>
      </w:pPr>
      <w:r>
        <w:t xml:space="preserve">Right to Recognition </w:t>
      </w:r>
      <w:bookmarkEnd w:id="2"/>
      <w:r>
        <w:t>and Equality Before the Law (s8)</w:t>
      </w:r>
    </w:p>
    <w:p w14:paraId="45166CBD" w14:textId="221FD642" w:rsidR="00A80EA5" w:rsidRDefault="00A80EA5" w:rsidP="00493333">
      <w:pPr>
        <w:pStyle w:val="ListParagraph"/>
        <w:numPr>
          <w:ilvl w:val="0"/>
          <w:numId w:val="21"/>
        </w:numPr>
        <w:jc w:val="both"/>
      </w:pPr>
      <w:r>
        <w:t>Right to Privacy and Reputation (s12)</w:t>
      </w:r>
    </w:p>
    <w:p w14:paraId="33B3779B" w14:textId="7B8399A5" w:rsidR="00493333" w:rsidRDefault="00493333" w:rsidP="00493333">
      <w:pPr>
        <w:pStyle w:val="ListParagraph"/>
        <w:numPr>
          <w:ilvl w:val="0"/>
          <w:numId w:val="21"/>
        </w:numPr>
        <w:jc w:val="both"/>
      </w:pPr>
      <w:r>
        <w:t>Right to a Fair Trial (s21)</w:t>
      </w:r>
    </w:p>
    <w:p w14:paraId="76D6F4D8" w14:textId="447719C4" w:rsidR="00C90F22" w:rsidRDefault="00C90F22" w:rsidP="00493333">
      <w:pPr>
        <w:pStyle w:val="ListParagraph"/>
        <w:numPr>
          <w:ilvl w:val="0"/>
          <w:numId w:val="21"/>
        </w:numPr>
        <w:jc w:val="both"/>
      </w:pPr>
      <w:r>
        <w:t>Right to Work and Work-Related Rights (s27B)</w:t>
      </w:r>
    </w:p>
    <w:p w14:paraId="79A8EE69" w14:textId="77777777" w:rsidR="00B43C60" w:rsidRDefault="00B43C60" w:rsidP="00B43C60">
      <w:pPr>
        <w:jc w:val="both"/>
      </w:pPr>
    </w:p>
    <w:p w14:paraId="7AF9E54D" w14:textId="1C5942C3" w:rsidR="00493333" w:rsidRPr="00E569AE" w:rsidRDefault="00493333" w:rsidP="00493333">
      <w:pPr>
        <w:jc w:val="both"/>
      </w:pPr>
      <w:r w:rsidRPr="00E569AE">
        <w:t>Rights Limited</w:t>
      </w:r>
    </w:p>
    <w:p w14:paraId="4709E327" w14:textId="0E4FE4D0" w:rsidR="00A80EA5" w:rsidRDefault="00A80EA5" w:rsidP="00A80EA5">
      <w:pPr>
        <w:jc w:val="both"/>
      </w:pPr>
    </w:p>
    <w:p w14:paraId="74F1714D" w14:textId="3A6B723A" w:rsidR="00C90F22" w:rsidRDefault="00C90F22" w:rsidP="00493333">
      <w:pPr>
        <w:pStyle w:val="ListParagraph"/>
        <w:numPr>
          <w:ilvl w:val="0"/>
          <w:numId w:val="22"/>
        </w:numPr>
        <w:jc w:val="both"/>
      </w:pPr>
      <w:r>
        <w:lastRenderedPageBreak/>
        <w:t>Right to Privacy and Reputation (s12)</w:t>
      </w:r>
    </w:p>
    <w:p w14:paraId="5CFBBF89" w14:textId="40EFC3A2" w:rsidR="00A80EA5" w:rsidRDefault="00A80EA5" w:rsidP="00493333">
      <w:pPr>
        <w:pStyle w:val="ListParagraph"/>
        <w:numPr>
          <w:ilvl w:val="0"/>
          <w:numId w:val="22"/>
        </w:numPr>
        <w:jc w:val="both"/>
      </w:pPr>
      <w:r>
        <w:t>Right to Freedom of Expression (s16)</w:t>
      </w:r>
    </w:p>
    <w:p w14:paraId="04716726" w14:textId="77777777" w:rsidR="00493333" w:rsidRDefault="00493333" w:rsidP="00B43C60">
      <w:pPr>
        <w:jc w:val="both"/>
      </w:pPr>
    </w:p>
    <w:p w14:paraId="19731976" w14:textId="6FA4837B" w:rsidR="000C548D" w:rsidRPr="00E569AE" w:rsidRDefault="00E569AE" w:rsidP="00B43C60">
      <w:pPr>
        <w:jc w:val="both"/>
        <w:rPr>
          <w:b/>
          <w:bCs/>
          <w:i/>
          <w:iCs/>
        </w:rPr>
      </w:pPr>
      <w:r>
        <w:rPr>
          <w:b/>
          <w:bCs/>
          <w:i/>
          <w:iCs/>
        </w:rPr>
        <w:t>Rights Promoted</w:t>
      </w:r>
    </w:p>
    <w:p w14:paraId="1E59E9A5" w14:textId="12138198" w:rsidR="00E569AE" w:rsidRDefault="00C90F22" w:rsidP="00E569AE">
      <w:pPr>
        <w:jc w:val="both"/>
        <w:rPr>
          <w:b/>
          <w:bCs/>
          <w:u w:val="single"/>
        </w:rPr>
      </w:pPr>
      <w:r>
        <w:rPr>
          <w:b/>
          <w:bCs/>
          <w:u w:val="single"/>
        </w:rPr>
        <w:t>Right to Recognition and Equality Before the Law</w:t>
      </w:r>
    </w:p>
    <w:p w14:paraId="125AD1D7" w14:textId="509452C7" w:rsidR="00C90F22" w:rsidRDefault="00C90F22" w:rsidP="00E569AE">
      <w:pPr>
        <w:jc w:val="both"/>
      </w:pPr>
      <w:r w:rsidRPr="00C90F22">
        <w:t xml:space="preserve">The </w:t>
      </w:r>
      <w:r w:rsidR="00536F67">
        <w:t>Rules</w:t>
      </w:r>
      <w:r w:rsidRPr="00C90F22">
        <w:t xml:space="preserve"> promote the right to recognition and equality before the law by reinforcing the ethical framework within which all clients are represented. The clarified requirement that a solicitor must only accept and follow lawful, proper and competent instructions, together with the expanded definition of “just cause” for termination, ensures that legal services are provided consistently with professional standards and the administration of justice. These measures support equal access to legal representation that is lawful, ethical and competent, and reinforce the principle that all clients are subject to the same professional and ethical constraints, irrespective of personal circumstances.</w:t>
      </w:r>
    </w:p>
    <w:p w14:paraId="0DD0DFBA" w14:textId="77777777" w:rsidR="00A80EA5" w:rsidRDefault="00A80EA5" w:rsidP="00E569AE">
      <w:pPr>
        <w:jc w:val="both"/>
      </w:pPr>
    </w:p>
    <w:p w14:paraId="5D8B2362" w14:textId="2D0D30F3" w:rsidR="00A80EA5" w:rsidRDefault="00A80EA5" w:rsidP="00A80EA5">
      <w:pPr>
        <w:jc w:val="both"/>
        <w:rPr>
          <w:b/>
          <w:bCs/>
          <w:u w:val="single"/>
        </w:rPr>
      </w:pPr>
      <w:r>
        <w:rPr>
          <w:b/>
          <w:bCs/>
          <w:u w:val="single"/>
        </w:rPr>
        <w:t>Right to Privacy and Reputation</w:t>
      </w:r>
    </w:p>
    <w:p w14:paraId="6BB36DE0" w14:textId="203AD77E" w:rsidR="00A80EA5" w:rsidRDefault="00A80EA5" w:rsidP="00A80EA5">
      <w:pPr>
        <w:jc w:val="both"/>
      </w:pPr>
      <w:r w:rsidRPr="00C90F22">
        <w:t>The</w:t>
      </w:r>
      <w:r>
        <w:t xml:space="preserve"> Rules uphold the right to privacy through robust confidentiality obligations (Rule 9) and protections against misuse of inadvertently disclosed information (Rule 31). These provisions ensure that sensitive client information is handled with care and integrity, and that practitioners respect the privacy of individuals in all aspects of legal practice.</w:t>
      </w:r>
    </w:p>
    <w:p w14:paraId="676BD287" w14:textId="77777777" w:rsidR="00C90F22" w:rsidRDefault="00C90F22" w:rsidP="00E569AE">
      <w:pPr>
        <w:jc w:val="both"/>
      </w:pPr>
    </w:p>
    <w:p w14:paraId="2AD2FC2C" w14:textId="77777777" w:rsidR="00C90F22" w:rsidRPr="00C90F22" w:rsidRDefault="00C90F22" w:rsidP="00C90F22">
      <w:pPr>
        <w:jc w:val="both"/>
        <w:rPr>
          <w:b/>
          <w:bCs/>
          <w:u w:val="single"/>
        </w:rPr>
      </w:pPr>
      <w:r w:rsidRPr="00C90F22">
        <w:rPr>
          <w:b/>
          <w:bCs/>
          <w:u w:val="single"/>
        </w:rPr>
        <w:t>Right to a Fair Trial</w:t>
      </w:r>
    </w:p>
    <w:p w14:paraId="7B20E0AC" w14:textId="32344BF0" w:rsidR="00C90F22" w:rsidRDefault="00C90F22" w:rsidP="00C90F22">
      <w:pPr>
        <w:jc w:val="both"/>
      </w:pPr>
      <w:r>
        <w:t xml:space="preserve">The </w:t>
      </w:r>
      <w:r w:rsidR="00A80EA5">
        <w:t>paramount duty to the court and the administration of justice (Rule 3), together with obligations to act honestly, competently, and independently (Rules 4 and 19), directly support the right to a fair trial. These Rules ensure that solicitors contribute to fair and impartial legal proceedings and uphold the integrity of the justice system.</w:t>
      </w:r>
    </w:p>
    <w:p w14:paraId="34229450" w14:textId="77777777" w:rsidR="00C90F22" w:rsidRDefault="00C90F22" w:rsidP="00C90F22">
      <w:pPr>
        <w:jc w:val="both"/>
      </w:pPr>
    </w:p>
    <w:p w14:paraId="37582BA2" w14:textId="77777777" w:rsidR="00C90F22" w:rsidRPr="00C90F22" w:rsidRDefault="00C90F22" w:rsidP="00C90F22">
      <w:pPr>
        <w:jc w:val="both"/>
        <w:rPr>
          <w:b/>
          <w:bCs/>
          <w:u w:val="single"/>
        </w:rPr>
      </w:pPr>
      <w:r w:rsidRPr="00C90F22">
        <w:rPr>
          <w:b/>
          <w:bCs/>
          <w:u w:val="single"/>
        </w:rPr>
        <w:t>Right to Work and Work‑Related Rights</w:t>
      </w:r>
    </w:p>
    <w:p w14:paraId="5F7A409E" w14:textId="20AF0CB2" w:rsidR="00C90F22" w:rsidRDefault="00C90F22" w:rsidP="00C90F22">
      <w:pPr>
        <w:jc w:val="both"/>
      </w:pPr>
      <w:r>
        <w:t xml:space="preserve">The </w:t>
      </w:r>
      <w:r w:rsidR="00536F67">
        <w:t>Rules</w:t>
      </w:r>
      <w:r>
        <w:t xml:space="preserve"> promote the right to work and work‑related rights by clarifying circumstances in which solicitors must not continue professional engagements that would expose them to ethical, professional or statutory breaches. By recognising “just cause” to terminate a retainer where a solicitor cannot act in a client’s best interests or comply with mandatory obligations, the Rules support lawful and safe professional practice. These provisions help ensure that legal practitioners are not compelled to work in conditions that compromise their professional integrity or expose them to legal or disciplinary risk.</w:t>
      </w:r>
    </w:p>
    <w:p w14:paraId="73529BB1" w14:textId="77777777" w:rsidR="00C90F22" w:rsidRDefault="00C90F22" w:rsidP="00C90F22">
      <w:pPr>
        <w:jc w:val="both"/>
      </w:pPr>
    </w:p>
    <w:p w14:paraId="092CC2C0" w14:textId="6F004443" w:rsidR="00C90F22" w:rsidRPr="00E569AE" w:rsidRDefault="00C90F22" w:rsidP="00C90F22">
      <w:pPr>
        <w:jc w:val="both"/>
        <w:rPr>
          <w:b/>
          <w:bCs/>
          <w:i/>
          <w:iCs/>
        </w:rPr>
      </w:pPr>
      <w:r>
        <w:rPr>
          <w:b/>
          <w:bCs/>
          <w:i/>
          <w:iCs/>
        </w:rPr>
        <w:t>Rights Limited</w:t>
      </w:r>
    </w:p>
    <w:p w14:paraId="1537E525" w14:textId="287705DB" w:rsidR="00C90F22" w:rsidRDefault="00C90F22" w:rsidP="00C90F22">
      <w:pPr>
        <w:jc w:val="both"/>
        <w:rPr>
          <w:b/>
          <w:bCs/>
          <w:u w:val="single"/>
        </w:rPr>
      </w:pPr>
      <w:r>
        <w:rPr>
          <w:b/>
          <w:bCs/>
          <w:u w:val="single"/>
        </w:rPr>
        <w:t>Right to Privacy and Reputation</w:t>
      </w:r>
    </w:p>
    <w:p w14:paraId="78D8ECCE" w14:textId="3A994BCA" w:rsidR="00C90F22" w:rsidRPr="00C90F22" w:rsidRDefault="00C90F22" w:rsidP="00C90F22">
      <w:pPr>
        <w:jc w:val="both"/>
        <w:rPr>
          <w:i/>
          <w:iCs/>
        </w:rPr>
      </w:pPr>
      <w:r w:rsidRPr="00C90F22">
        <w:rPr>
          <w:i/>
          <w:iCs/>
        </w:rPr>
        <w:t>Nature of the right and the limitation (s28(2)(a) and (c))</w:t>
      </w:r>
    </w:p>
    <w:p w14:paraId="3501962B" w14:textId="25FD54A2" w:rsidR="00C90F22" w:rsidRDefault="00A641EF" w:rsidP="00C90F22">
      <w:pPr>
        <w:jc w:val="both"/>
      </w:pPr>
      <w:r>
        <w:t>s</w:t>
      </w:r>
      <w:r w:rsidR="00C90F22">
        <w:t xml:space="preserve">12 of the </w:t>
      </w:r>
      <w:r w:rsidR="00C90F22" w:rsidRPr="00C90F22">
        <w:rPr>
          <w:i/>
          <w:iCs/>
        </w:rPr>
        <w:t>Human Rights Act 2004</w:t>
      </w:r>
      <w:r w:rsidR="00C90F22">
        <w:t xml:space="preserve"> (ACT) protects individuals from unlawful or arbitrary interference with privacy, including the handling of personal and confidential information. The amendments limit this right by expressly acknowledging that solicitors are subject to statutory reporting obligations that may involve the disclosure of confidential client information, and by permitting termination of a retainer where required information has not been provided. </w:t>
      </w:r>
    </w:p>
    <w:p w14:paraId="1664E4F4" w14:textId="77777777" w:rsidR="00C90F22" w:rsidRDefault="00C90F22" w:rsidP="00C90F22">
      <w:pPr>
        <w:jc w:val="both"/>
      </w:pPr>
    </w:p>
    <w:p w14:paraId="18EAC8DD" w14:textId="02A492F0" w:rsidR="00C90F22" w:rsidRPr="00C90F22" w:rsidRDefault="00C90F22" w:rsidP="00C90F22">
      <w:pPr>
        <w:jc w:val="both"/>
        <w:rPr>
          <w:i/>
          <w:iCs/>
        </w:rPr>
      </w:pPr>
      <w:r w:rsidRPr="00C90F22">
        <w:rPr>
          <w:i/>
          <w:iCs/>
        </w:rPr>
        <w:t>Legitimate purpose (s28(2)(b))</w:t>
      </w:r>
    </w:p>
    <w:p w14:paraId="02288694" w14:textId="1BAD9C6C" w:rsidR="00C90F22" w:rsidRDefault="00C90F22" w:rsidP="00C90F22">
      <w:pPr>
        <w:jc w:val="both"/>
      </w:pPr>
      <w:r>
        <w:lastRenderedPageBreak/>
        <w:t>The limitation serves the legitimate purposes of ensuring compliance with statutory obligations, preventing serious legal and ethical breaches, and protecting the integrity of the justice system. Mandatory reporting regimes and conflict</w:t>
      </w:r>
      <w:r w:rsidR="00195109">
        <w:t xml:space="preserve"> </w:t>
      </w:r>
      <w:r>
        <w:t>of</w:t>
      </w:r>
      <w:r w:rsidR="00195109">
        <w:t xml:space="preserve"> </w:t>
      </w:r>
      <w:r>
        <w:t>interest safeguards are designed to prevent misconduct, promote transparency, and uphold public confidence in legal practice.</w:t>
      </w:r>
    </w:p>
    <w:p w14:paraId="7AB97BA2" w14:textId="77777777" w:rsidR="00C90F22" w:rsidRDefault="00C90F22" w:rsidP="00C90F22">
      <w:pPr>
        <w:jc w:val="both"/>
      </w:pPr>
    </w:p>
    <w:p w14:paraId="67BF8965" w14:textId="7EA5AA9F" w:rsidR="00C90F22" w:rsidRPr="00C90F22" w:rsidRDefault="00C90F22" w:rsidP="00C90F22">
      <w:pPr>
        <w:jc w:val="both"/>
        <w:rPr>
          <w:i/>
          <w:iCs/>
        </w:rPr>
      </w:pPr>
      <w:r w:rsidRPr="00C90F22">
        <w:rPr>
          <w:i/>
          <w:iCs/>
        </w:rPr>
        <w:t>Rational connection between the limitation and the purpose (s28(2)(d))</w:t>
      </w:r>
    </w:p>
    <w:p w14:paraId="3A06D949" w14:textId="71E547F6" w:rsidR="00C90F22" w:rsidRDefault="00C90F22" w:rsidP="00C90F22">
      <w:pPr>
        <w:jc w:val="both"/>
      </w:pPr>
      <w:r>
        <w:t>There is a clear and rational connection between the limitation and its objective. Permitting disclosure where required by law</w:t>
      </w:r>
      <w:r w:rsidR="00521988">
        <w:t xml:space="preserve"> </w:t>
      </w:r>
      <w:r>
        <w:t>directly supports compliance with legislative frameworks and prevents misuse of confidential information. These measures ensure that privacy is interfered with only to the extent necessary to meet overriding legal and public</w:t>
      </w:r>
      <w:r w:rsidR="00521988">
        <w:t xml:space="preserve"> </w:t>
      </w:r>
      <w:r>
        <w:t>interest obligations.</w:t>
      </w:r>
    </w:p>
    <w:p w14:paraId="11FE788A" w14:textId="77777777" w:rsidR="00C90F22" w:rsidRDefault="00C90F22" w:rsidP="00C90F22">
      <w:pPr>
        <w:jc w:val="both"/>
      </w:pPr>
    </w:p>
    <w:p w14:paraId="33CA9E16" w14:textId="348F80C3" w:rsidR="00C90F22" w:rsidRPr="00C90F22" w:rsidRDefault="00C90F22" w:rsidP="00C90F22">
      <w:pPr>
        <w:jc w:val="both"/>
        <w:rPr>
          <w:i/>
          <w:iCs/>
        </w:rPr>
      </w:pPr>
      <w:r w:rsidRPr="00C90F22">
        <w:rPr>
          <w:i/>
          <w:iCs/>
        </w:rPr>
        <w:t>Proportionality (s28(2)(e))</w:t>
      </w:r>
    </w:p>
    <w:p w14:paraId="0290D44A" w14:textId="7F1F804A" w:rsidR="00C90F22" w:rsidRDefault="00C90F22" w:rsidP="00C90F22">
      <w:pPr>
        <w:jc w:val="both"/>
      </w:pPr>
      <w:r>
        <w:t>The limitation is proportionate. It applies only in defined circumstances and only to the extent required to meet statutory, ethical or professional obligations. The Rules continue to impose strong confidentiality requirements and require solicitors to take appropriate steps to protect client information wherever possible. As such, the limitation represents a measured and targeted approach that constitutes the least restrictive means of achieving the intended purpose.</w:t>
      </w:r>
    </w:p>
    <w:p w14:paraId="7032318A" w14:textId="77777777" w:rsidR="00A80EA5" w:rsidRDefault="00A80EA5" w:rsidP="00C90F22">
      <w:pPr>
        <w:jc w:val="both"/>
      </w:pPr>
    </w:p>
    <w:p w14:paraId="20F2349A" w14:textId="77777777" w:rsidR="00A80EA5" w:rsidRPr="00A80EA5" w:rsidRDefault="00A80EA5" w:rsidP="00A80EA5">
      <w:pPr>
        <w:jc w:val="both"/>
      </w:pPr>
      <w:r w:rsidRPr="00A80EA5">
        <w:rPr>
          <w:b/>
          <w:bCs/>
          <w:u w:val="single"/>
        </w:rPr>
        <w:t>Right to Freedom of Expression</w:t>
      </w:r>
    </w:p>
    <w:p w14:paraId="06D8CD5E" w14:textId="77777777" w:rsidR="00A80EA5" w:rsidRPr="00A80EA5" w:rsidRDefault="00A80EA5" w:rsidP="00A80EA5">
      <w:pPr>
        <w:jc w:val="both"/>
      </w:pPr>
      <w:r w:rsidRPr="00A80EA5">
        <w:t> </w:t>
      </w:r>
    </w:p>
    <w:p w14:paraId="464B50D3" w14:textId="77777777" w:rsidR="00A80EA5" w:rsidRPr="00A80EA5" w:rsidRDefault="00A80EA5" w:rsidP="00A80EA5">
      <w:pPr>
        <w:jc w:val="both"/>
      </w:pPr>
      <w:r w:rsidRPr="00A80EA5">
        <w:rPr>
          <w:i/>
          <w:iCs/>
        </w:rPr>
        <w:t>Nature of the right and the limitation (ss28(2)(a) and (c))</w:t>
      </w:r>
    </w:p>
    <w:p w14:paraId="52687D4A" w14:textId="77777777" w:rsidR="00A80EA5" w:rsidRPr="00A80EA5" w:rsidRDefault="00A80EA5" w:rsidP="00A80EA5">
      <w:pPr>
        <w:jc w:val="both"/>
      </w:pPr>
      <w:r w:rsidRPr="00A80EA5">
        <w:t>s16 of the </w:t>
      </w:r>
      <w:r w:rsidRPr="00A80EA5">
        <w:rPr>
          <w:i/>
          <w:iCs/>
        </w:rPr>
        <w:t>Human Rights Act 2004 </w:t>
      </w:r>
      <w:r w:rsidRPr="00A80EA5">
        <w:t>(ACT) provides that everyone has the right to hold opinions without interference and to seek, receive and impart information and ideas of all kinds. This includes the right to express views publicly, including in the context of legal proceedings.</w:t>
      </w:r>
    </w:p>
    <w:p w14:paraId="0D9B5EBF" w14:textId="77777777" w:rsidR="00A80EA5" w:rsidRPr="00A80EA5" w:rsidRDefault="00A80EA5" w:rsidP="00A80EA5">
      <w:pPr>
        <w:jc w:val="both"/>
      </w:pPr>
      <w:r w:rsidRPr="00A80EA5">
        <w:t> </w:t>
      </w:r>
    </w:p>
    <w:p w14:paraId="1C8E7737" w14:textId="77777777" w:rsidR="00A80EA5" w:rsidRPr="00A80EA5" w:rsidRDefault="00A80EA5" w:rsidP="00A80EA5">
      <w:pPr>
        <w:jc w:val="both"/>
      </w:pPr>
      <w:r w:rsidRPr="00A80EA5">
        <w:t>Rule 28 of the Rules limits this right by restricting public comment during current proceedings. This limitation applies to legal practitioners and is intended to prevent commentary that could prejudice the administration of justice or undermine the fairness of proceedings.</w:t>
      </w:r>
    </w:p>
    <w:p w14:paraId="20804ACE" w14:textId="77777777" w:rsidR="00A80EA5" w:rsidRPr="00A80EA5" w:rsidRDefault="00A80EA5" w:rsidP="00A80EA5">
      <w:pPr>
        <w:jc w:val="both"/>
      </w:pPr>
      <w:r w:rsidRPr="00A80EA5">
        <w:t> </w:t>
      </w:r>
    </w:p>
    <w:p w14:paraId="74C281CC" w14:textId="77777777" w:rsidR="00A80EA5" w:rsidRPr="00A80EA5" w:rsidRDefault="00A80EA5" w:rsidP="00A80EA5">
      <w:pPr>
        <w:jc w:val="both"/>
      </w:pPr>
      <w:r w:rsidRPr="00A80EA5">
        <w:rPr>
          <w:i/>
          <w:iCs/>
        </w:rPr>
        <w:t>Legitimate purpose (s28(2)(b))</w:t>
      </w:r>
    </w:p>
    <w:p w14:paraId="64FA5B74" w14:textId="77777777" w:rsidR="00A80EA5" w:rsidRPr="00A80EA5" w:rsidRDefault="00A80EA5" w:rsidP="00A80EA5">
      <w:pPr>
        <w:jc w:val="both"/>
      </w:pPr>
      <w:r w:rsidRPr="00A80EA5">
        <w:t>The restriction serves the legitimate purpose of protecting the integrity of the judicial process and ensuring the right to a fair trial is upheld. Public commentary by legal practitioners during active proceedings may influence public perception, compromise impartiality, or place undue pressure on parties and the court. The limitation is designed to safeguard the administration of justice and maintain public confidence in the legal system.</w:t>
      </w:r>
    </w:p>
    <w:p w14:paraId="73936427" w14:textId="77777777" w:rsidR="00A80EA5" w:rsidRPr="00A80EA5" w:rsidRDefault="00A80EA5" w:rsidP="00A80EA5">
      <w:pPr>
        <w:jc w:val="both"/>
      </w:pPr>
      <w:r w:rsidRPr="00A80EA5">
        <w:t> </w:t>
      </w:r>
    </w:p>
    <w:p w14:paraId="78762566" w14:textId="77777777" w:rsidR="00A80EA5" w:rsidRPr="00A80EA5" w:rsidRDefault="00A80EA5" w:rsidP="00A80EA5">
      <w:pPr>
        <w:jc w:val="both"/>
      </w:pPr>
      <w:r w:rsidRPr="00A80EA5">
        <w:rPr>
          <w:i/>
          <w:iCs/>
        </w:rPr>
        <w:t>Rational connection between the limitation and the purpose (s28(2)(d))</w:t>
      </w:r>
    </w:p>
    <w:p w14:paraId="6785B65C" w14:textId="77777777" w:rsidR="00A80EA5" w:rsidRPr="00A80EA5" w:rsidRDefault="00A80EA5" w:rsidP="00A80EA5">
      <w:pPr>
        <w:jc w:val="both"/>
      </w:pPr>
      <w:r w:rsidRPr="00A80EA5">
        <w:t>There is a clear and rational connection between the limitation and its intended purpose. By prohibiting public comment during proceedings, the Rules reduce the risk of prejudicial statements that could affect the fairness of a trial or the perception of judicial impartiality. This supports the broader objective of ensuring that justice is administered fairly and without external influence.</w:t>
      </w:r>
    </w:p>
    <w:p w14:paraId="0FB1CE74" w14:textId="77777777" w:rsidR="00A80EA5" w:rsidRPr="00A80EA5" w:rsidRDefault="00A80EA5" w:rsidP="00A80EA5">
      <w:pPr>
        <w:jc w:val="both"/>
      </w:pPr>
      <w:r w:rsidRPr="00A80EA5">
        <w:t> </w:t>
      </w:r>
    </w:p>
    <w:p w14:paraId="3349E240" w14:textId="77777777" w:rsidR="00A80EA5" w:rsidRPr="00A80EA5" w:rsidRDefault="00A80EA5" w:rsidP="00A80EA5">
      <w:pPr>
        <w:jc w:val="both"/>
      </w:pPr>
      <w:r w:rsidRPr="00A80EA5">
        <w:rPr>
          <w:i/>
          <w:iCs/>
        </w:rPr>
        <w:t>Proportionality (s28(2)(e))</w:t>
      </w:r>
    </w:p>
    <w:p w14:paraId="34798E3D" w14:textId="77777777" w:rsidR="00A80EA5" w:rsidRPr="00A80EA5" w:rsidRDefault="00A80EA5" w:rsidP="00A80EA5">
      <w:pPr>
        <w:jc w:val="both"/>
      </w:pPr>
      <w:r w:rsidRPr="00A80EA5">
        <w:lastRenderedPageBreak/>
        <w:t>The limitation is proportionate to the objective it seeks to achieve. It applies only in the context of current proceedings and only to legal practitioners, who have a heightened duty to uphold the integrity of the justice system. The restriction does not prevent practitioners from expressing views outside the scope of active matters or engaging in broader legal discourse. As such, the limitation is narrowly tailored and represents the least restrictive means of achieving the intended purpose.</w:t>
      </w:r>
    </w:p>
    <w:p w14:paraId="29525457" w14:textId="77777777" w:rsidR="00A80EA5" w:rsidRDefault="00A80EA5" w:rsidP="00C90F22">
      <w:pPr>
        <w:jc w:val="both"/>
      </w:pPr>
    </w:p>
    <w:p w14:paraId="594705B9" w14:textId="77777777" w:rsidR="00C90F22" w:rsidRDefault="00C90F22" w:rsidP="00C90F22">
      <w:pPr>
        <w:jc w:val="both"/>
      </w:pPr>
    </w:p>
    <w:p w14:paraId="4109C3F8" w14:textId="2027BD97" w:rsidR="00C90F22" w:rsidRPr="00B43C60" w:rsidRDefault="00C90F22" w:rsidP="00C90F22">
      <w:pPr>
        <w:jc w:val="both"/>
      </w:pPr>
    </w:p>
    <w:sectPr w:rsidR="00C90F22" w:rsidRPr="00B43C60" w:rsidSect="00C1618B">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FF68" w14:textId="77777777" w:rsidR="00C15F06" w:rsidRDefault="00C15F06" w:rsidP="006815C9">
      <w:r>
        <w:separator/>
      </w:r>
    </w:p>
  </w:endnote>
  <w:endnote w:type="continuationSeparator" w:id="0">
    <w:p w14:paraId="7CF3A185" w14:textId="77777777" w:rsidR="00C15F06" w:rsidRDefault="00C15F06"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CCDB" w14:textId="77777777" w:rsidR="00757FF9" w:rsidRDefault="00757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1E1C" w14:textId="56DF85F1" w:rsidR="00757FF9" w:rsidRPr="00AE37B8" w:rsidRDefault="00AE37B8" w:rsidP="00AE37B8">
    <w:pPr>
      <w:pStyle w:val="Footer"/>
      <w:jc w:val="center"/>
      <w:rPr>
        <w:rFonts w:cs="Arial"/>
        <w:sz w:val="14"/>
        <w:szCs w:val="14"/>
      </w:rPr>
    </w:pPr>
    <w:r w:rsidRPr="00AE37B8">
      <w:rPr>
        <w:rFonts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ED1E" w14:textId="77777777" w:rsidR="00757FF9" w:rsidRDefault="00757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9747" w14:textId="77777777" w:rsidR="00C15F06" w:rsidRDefault="00C15F06" w:rsidP="006815C9">
      <w:r>
        <w:separator/>
      </w:r>
    </w:p>
  </w:footnote>
  <w:footnote w:type="continuationSeparator" w:id="0">
    <w:p w14:paraId="0E6453D5" w14:textId="77777777" w:rsidR="00C15F06" w:rsidRDefault="00C15F06"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AD5B" w14:textId="77777777" w:rsidR="00757FF9" w:rsidRDefault="00757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5ADA"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3843" w14:textId="77777777" w:rsidR="00757FF9" w:rsidRDefault="00757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313A0A"/>
    <w:multiLevelType w:val="hybridMultilevel"/>
    <w:tmpl w:val="8594F5DA"/>
    <w:lvl w:ilvl="0" w:tplc="335CC698">
      <w:start w:val="1"/>
      <w:numFmt w:val="bullet"/>
      <w:lvlText w:val=""/>
      <w:lvlJc w:val="left"/>
      <w:pPr>
        <w:ind w:left="720" w:hanging="360"/>
      </w:pPr>
      <w:rPr>
        <w:rFonts w:ascii="Symbol" w:hAnsi="Symbol" w:hint="default"/>
      </w:rPr>
    </w:lvl>
    <w:lvl w:ilvl="1" w:tplc="4AC86370">
      <w:start w:val="1"/>
      <w:numFmt w:val="bullet"/>
      <w:lvlText w:val="o"/>
      <w:lvlJc w:val="left"/>
      <w:pPr>
        <w:ind w:left="1440" w:hanging="360"/>
      </w:pPr>
      <w:rPr>
        <w:rFonts w:ascii="Courier New" w:hAnsi="Courier New" w:hint="default"/>
      </w:rPr>
    </w:lvl>
    <w:lvl w:ilvl="2" w:tplc="3DFC71B0">
      <w:start w:val="1"/>
      <w:numFmt w:val="bullet"/>
      <w:lvlText w:val=""/>
      <w:lvlJc w:val="left"/>
      <w:pPr>
        <w:ind w:left="2160" w:hanging="360"/>
      </w:pPr>
      <w:rPr>
        <w:rFonts w:ascii="Wingdings" w:hAnsi="Wingdings" w:hint="default"/>
      </w:rPr>
    </w:lvl>
    <w:lvl w:ilvl="3" w:tplc="DF6A83F0">
      <w:start w:val="1"/>
      <w:numFmt w:val="bullet"/>
      <w:lvlText w:val=""/>
      <w:lvlJc w:val="left"/>
      <w:pPr>
        <w:ind w:left="2880" w:hanging="360"/>
      </w:pPr>
      <w:rPr>
        <w:rFonts w:ascii="Symbol" w:hAnsi="Symbol" w:hint="default"/>
      </w:rPr>
    </w:lvl>
    <w:lvl w:ilvl="4" w:tplc="2F9E43C6">
      <w:start w:val="1"/>
      <w:numFmt w:val="bullet"/>
      <w:lvlText w:val="o"/>
      <w:lvlJc w:val="left"/>
      <w:pPr>
        <w:ind w:left="3600" w:hanging="360"/>
      </w:pPr>
      <w:rPr>
        <w:rFonts w:ascii="Courier New" w:hAnsi="Courier New" w:hint="default"/>
      </w:rPr>
    </w:lvl>
    <w:lvl w:ilvl="5" w:tplc="57C814AA">
      <w:start w:val="1"/>
      <w:numFmt w:val="bullet"/>
      <w:lvlText w:val=""/>
      <w:lvlJc w:val="left"/>
      <w:pPr>
        <w:ind w:left="4320" w:hanging="360"/>
      </w:pPr>
      <w:rPr>
        <w:rFonts w:ascii="Wingdings" w:hAnsi="Wingdings" w:hint="default"/>
      </w:rPr>
    </w:lvl>
    <w:lvl w:ilvl="6" w:tplc="1354E84C">
      <w:start w:val="1"/>
      <w:numFmt w:val="bullet"/>
      <w:lvlText w:val=""/>
      <w:lvlJc w:val="left"/>
      <w:pPr>
        <w:ind w:left="5040" w:hanging="360"/>
      </w:pPr>
      <w:rPr>
        <w:rFonts w:ascii="Symbol" w:hAnsi="Symbol" w:hint="default"/>
      </w:rPr>
    </w:lvl>
    <w:lvl w:ilvl="7" w:tplc="710EC5CE">
      <w:start w:val="1"/>
      <w:numFmt w:val="bullet"/>
      <w:lvlText w:val="o"/>
      <w:lvlJc w:val="left"/>
      <w:pPr>
        <w:ind w:left="5760" w:hanging="360"/>
      </w:pPr>
      <w:rPr>
        <w:rFonts w:ascii="Courier New" w:hAnsi="Courier New" w:hint="default"/>
      </w:rPr>
    </w:lvl>
    <w:lvl w:ilvl="8" w:tplc="0016C39E">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E42A3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CB5F6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30BB1"/>
    <w:multiLevelType w:val="hybridMultilevel"/>
    <w:tmpl w:val="642C442A"/>
    <w:lvl w:ilvl="0" w:tplc="F2BCD4BA">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F7878A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EC274B"/>
    <w:multiLevelType w:val="hybridMultilevel"/>
    <w:tmpl w:val="FFFFFFFF"/>
    <w:lvl w:ilvl="0" w:tplc="56241610">
      <w:start w:val="1"/>
      <w:numFmt w:val="bullet"/>
      <w:lvlText w:val=""/>
      <w:lvlJc w:val="left"/>
      <w:pPr>
        <w:ind w:left="360" w:hanging="360"/>
      </w:pPr>
      <w:rPr>
        <w:rFonts w:ascii="Symbol" w:hAnsi="Symbol" w:hint="default"/>
      </w:rPr>
    </w:lvl>
    <w:lvl w:ilvl="1" w:tplc="D9648458" w:tentative="1">
      <w:start w:val="1"/>
      <w:numFmt w:val="bullet"/>
      <w:lvlText w:val="o"/>
      <w:lvlJc w:val="left"/>
      <w:pPr>
        <w:ind w:left="1080" w:hanging="360"/>
      </w:pPr>
      <w:rPr>
        <w:rFonts w:ascii="Courier New" w:hAnsi="Courier New" w:hint="default"/>
      </w:rPr>
    </w:lvl>
    <w:lvl w:ilvl="2" w:tplc="C0EEFF4A" w:tentative="1">
      <w:start w:val="1"/>
      <w:numFmt w:val="bullet"/>
      <w:lvlText w:val=""/>
      <w:lvlJc w:val="left"/>
      <w:pPr>
        <w:ind w:left="1800" w:hanging="360"/>
      </w:pPr>
      <w:rPr>
        <w:rFonts w:ascii="Wingdings" w:hAnsi="Wingdings" w:hint="default"/>
      </w:rPr>
    </w:lvl>
    <w:lvl w:ilvl="3" w:tplc="3ED022D6" w:tentative="1">
      <w:start w:val="1"/>
      <w:numFmt w:val="bullet"/>
      <w:lvlText w:val=""/>
      <w:lvlJc w:val="left"/>
      <w:pPr>
        <w:ind w:left="2520" w:hanging="360"/>
      </w:pPr>
      <w:rPr>
        <w:rFonts w:ascii="Symbol" w:hAnsi="Symbol" w:hint="default"/>
      </w:rPr>
    </w:lvl>
    <w:lvl w:ilvl="4" w:tplc="DA8EF49C" w:tentative="1">
      <w:start w:val="1"/>
      <w:numFmt w:val="bullet"/>
      <w:lvlText w:val="o"/>
      <w:lvlJc w:val="left"/>
      <w:pPr>
        <w:ind w:left="3240" w:hanging="360"/>
      </w:pPr>
      <w:rPr>
        <w:rFonts w:ascii="Courier New" w:hAnsi="Courier New" w:hint="default"/>
      </w:rPr>
    </w:lvl>
    <w:lvl w:ilvl="5" w:tplc="CF64DB80" w:tentative="1">
      <w:start w:val="1"/>
      <w:numFmt w:val="bullet"/>
      <w:lvlText w:val=""/>
      <w:lvlJc w:val="left"/>
      <w:pPr>
        <w:ind w:left="3960" w:hanging="360"/>
      </w:pPr>
      <w:rPr>
        <w:rFonts w:ascii="Wingdings" w:hAnsi="Wingdings" w:hint="default"/>
      </w:rPr>
    </w:lvl>
    <w:lvl w:ilvl="6" w:tplc="8160E5B2" w:tentative="1">
      <w:start w:val="1"/>
      <w:numFmt w:val="bullet"/>
      <w:lvlText w:val=""/>
      <w:lvlJc w:val="left"/>
      <w:pPr>
        <w:ind w:left="4680" w:hanging="360"/>
      </w:pPr>
      <w:rPr>
        <w:rFonts w:ascii="Symbol" w:hAnsi="Symbol" w:hint="default"/>
      </w:rPr>
    </w:lvl>
    <w:lvl w:ilvl="7" w:tplc="67405ED8" w:tentative="1">
      <w:start w:val="1"/>
      <w:numFmt w:val="bullet"/>
      <w:lvlText w:val="o"/>
      <w:lvlJc w:val="left"/>
      <w:pPr>
        <w:ind w:left="5400" w:hanging="360"/>
      </w:pPr>
      <w:rPr>
        <w:rFonts w:ascii="Courier New" w:hAnsi="Courier New" w:hint="default"/>
      </w:rPr>
    </w:lvl>
    <w:lvl w:ilvl="8" w:tplc="FE94FE8E" w:tentative="1">
      <w:start w:val="1"/>
      <w:numFmt w:val="bullet"/>
      <w:lvlText w:val=""/>
      <w:lvlJc w:val="left"/>
      <w:pPr>
        <w:ind w:left="6120" w:hanging="360"/>
      </w:pPr>
      <w:rPr>
        <w:rFonts w:ascii="Wingdings" w:hAnsi="Wingdings" w:hint="default"/>
      </w:rPr>
    </w:lvl>
  </w:abstractNum>
  <w:abstractNum w:abstractNumId="10"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2"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DF11176"/>
    <w:multiLevelType w:val="hybridMultilevel"/>
    <w:tmpl w:val="80E0739C"/>
    <w:lvl w:ilvl="0" w:tplc="8102A69C">
      <w:start w:val="1"/>
      <w:numFmt w:val="bullet"/>
      <w:lvlText w:val=""/>
      <w:lvlJc w:val="left"/>
      <w:pPr>
        <w:ind w:left="720" w:hanging="360"/>
      </w:pPr>
      <w:rPr>
        <w:rFonts w:ascii="Symbol" w:hAnsi="Symbol" w:hint="default"/>
      </w:rPr>
    </w:lvl>
    <w:lvl w:ilvl="1" w:tplc="17268CB4">
      <w:start w:val="1"/>
      <w:numFmt w:val="bullet"/>
      <w:lvlText w:val="o"/>
      <w:lvlJc w:val="left"/>
      <w:pPr>
        <w:ind w:left="1440" w:hanging="360"/>
      </w:pPr>
      <w:rPr>
        <w:rFonts w:ascii="Courier New" w:hAnsi="Courier New" w:hint="default"/>
      </w:rPr>
    </w:lvl>
    <w:lvl w:ilvl="2" w:tplc="73D089A8">
      <w:start w:val="1"/>
      <w:numFmt w:val="bullet"/>
      <w:lvlText w:val=""/>
      <w:lvlJc w:val="left"/>
      <w:pPr>
        <w:ind w:left="2160" w:hanging="360"/>
      </w:pPr>
      <w:rPr>
        <w:rFonts w:ascii="Wingdings" w:hAnsi="Wingdings" w:hint="default"/>
      </w:rPr>
    </w:lvl>
    <w:lvl w:ilvl="3" w:tplc="556ED530">
      <w:start w:val="1"/>
      <w:numFmt w:val="bullet"/>
      <w:lvlText w:val=""/>
      <w:lvlJc w:val="left"/>
      <w:pPr>
        <w:ind w:left="2880" w:hanging="360"/>
      </w:pPr>
      <w:rPr>
        <w:rFonts w:ascii="Symbol" w:hAnsi="Symbol" w:hint="default"/>
      </w:rPr>
    </w:lvl>
    <w:lvl w:ilvl="4" w:tplc="0FD828E6">
      <w:start w:val="1"/>
      <w:numFmt w:val="bullet"/>
      <w:lvlText w:val="o"/>
      <w:lvlJc w:val="left"/>
      <w:pPr>
        <w:ind w:left="3600" w:hanging="360"/>
      </w:pPr>
      <w:rPr>
        <w:rFonts w:ascii="Courier New" w:hAnsi="Courier New" w:hint="default"/>
      </w:rPr>
    </w:lvl>
    <w:lvl w:ilvl="5" w:tplc="62105DA4">
      <w:start w:val="1"/>
      <w:numFmt w:val="bullet"/>
      <w:lvlText w:val=""/>
      <w:lvlJc w:val="left"/>
      <w:pPr>
        <w:ind w:left="4320" w:hanging="360"/>
      </w:pPr>
      <w:rPr>
        <w:rFonts w:ascii="Wingdings" w:hAnsi="Wingdings" w:hint="default"/>
      </w:rPr>
    </w:lvl>
    <w:lvl w:ilvl="6" w:tplc="CF080132">
      <w:start w:val="1"/>
      <w:numFmt w:val="bullet"/>
      <w:lvlText w:val=""/>
      <w:lvlJc w:val="left"/>
      <w:pPr>
        <w:ind w:left="5040" w:hanging="360"/>
      </w:pPr>
      <w:rPr>
        <w:rFonts w:ascii="Symbol" w:hAnsi="Symbol" w:hint="default"/>
      </w:rPr>
    </w:lvl>
    <w:lvl w:ilvl="7" w:tplc="2FC85B76">
      <w:start w:val="1"/>
      <w:numFmt w:val="bullet"/>
      <w:lvlText w:val="o"/>
      <w:lvlJc w:val="left"/>
      <w:pPr>
        <w:ind w:left="5760" w:hanging="360"/>
      </w:pPr>
      <w:rPr>
        <w:rFonts w:ascii="Courier New" w:hAnsi="Courier New" w:hint="default"/>
      </w:rPr>
    </w:lvl>
    <w:lvl w:ilvl="8" w:tplc="14568F98">
      <w:start w:val="1"/>
      <w:numFmt w:val="bullet"/>
      <w:lvlText w:val=""/>
      <w:lvlJc w:val="left"/>
      <w:pPr>
        <w:ind w:left="6480" w:hanging="360"/>
      </w:pPr>
      <w:rPr>
        <w:rFonts w:ascii="Wingdings" w:hAnsi="Wingdings" w:hint="default"/>
      </w:rPr>
    </w:lvl>
  </w:abstractNum>
  <w:abstractNum w:abstractNumId="14" w15:restartNumberingAfterBreak="0">
    <w:nsid w:val="4D976150"/>
    <w:multiLevelType w:val="hybridMultilevel"/>
    <w:tmpl w:val="FFFFFFFF"/>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5" w15:restartNumberingAfterBreak="0">
    <w:nsid w:val="563454C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6" w15:restartNumberingAfterBreak="0">
    <w:nsid w:val="5F1E443A"/>
    <w:multiLevelType w:val="hybridMultilevel"/>
    <w:tmpl w:val="6CBAA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F6C2A1"/>
    <w:multiLevelType w:val="hybridMultilevel"/>
    <w:tmpl w:val="4C92081A"/>
    <w:lvl w:ilvl="0" w:tplc="07FCC316">
      <w:start w:val="1"/>
      <w:numFmt w:val="bullet"/>
      <w:lvlText w:val=""/>
      <w:lvlJc w:val="left"/>
      <w:pPr>
        <w:ind w:left="720" w:hanging="360"/>
      </w:pPr>
      <w:rPr>
        <w:rFonts w:ascii="Symbol" w:hAnsi="Symbol" w:hint="default"/>
      </w:rPr>
    </w:lvl>
    <w:lvl w:ilvl="1" w:tplc="A358ECB0">
      <w:start w:val="1"/>
      <w:numFmt w:val="bullet"/>
      <w:lvlText w:val="o"/>
      <w:lvlJc w:val="left"/>
      <w:pPr>
        <w:ind w:left="1440" w:hanging="360"/>
      </w:pPr>
      <w:rPr>
        <w:rFonts w:ascii="Courier New" w:hAnsi="Courier New" w:hint="default"/>
      </w:rPr>
    </w:lvl>
    <w:lvl w:ilvl="2" w:tplc="DEFADEDA">
      <w:start w:val="1"/>
      <w:numFmt w:val="bullet"/>
      <w:lvlText w:val=""/>
      <w:lvlJc w:val="left"/>
      <w:pPr>
        <w:ind w:left="2160" w:hanging="360"/>
      </w:pPr>
      <w:rPr>
        <w:rFonts w:ascii="Wingdings" w:hAnsi="Wingdings" w:hint="default"/>
      </w:rPr>
    </w:lvl>
    <w:lvl w:ilvl="3" w:tplc="DE5E8058">
      <w:start w:val="1"/>
      <w:numFmt w:val="bullet"/>
      <w:lvlText w:val=""/>
      <w:lvlJc w:val="left"/>
      <w:pPr>
        <w:ind w:left="2880" w:hanging="360"/>
      </w:pPr>
      <w:rPr>
        <w:rFonts w:ascii="Symbol" w:hAnsi="Symbol" w:hint="default"/>
      </w:rPr>
    </w:lvl>
    <w:lvl w:ilvl="4" w:tplc="420AE0F0">
      <w:start w:val="1"/>
      <w:numFmt w:val="bullet"/>
      <w:lvlText w:val="o"/>
      <w:lvlJc w:val="left"/>
      <w:pPr>
        <w:ind w:left="3600" w:hanging="360"/>
      </w:pPr>
      <w:rPr>
        <w:rFonts w:ascii="Courier New" w:hAnsi="Courier New" w:hint="default"/>
      </w:rPr>
    </w:lvl>
    <w:lvl w:ilvl="5" w:tplc="E0D6F79C">
      <w:start w:val="1"/>
      <w:numFmt w:val="bullet"/>
      <w:lvlText w:val=""/>
      <w:lvlJc w:val="left"/>
      <w:pPr>
        <w:ind w:left="4320" w:hanging="360"/>
      </w:pPr>
      <w:rPr>
        <w:rFonts w:ascii="Wingdings" w:hAnsi="Wingdings" w:hint="default"/>
      </w:rPr>
    </w:lvl>
    <w:lvl w:ilvl="6" w:tplc="D9ECD354">
      <w:start w:val="1"/>
      <w:numFmt w:val="bullet"/>
      <w:lvlText w:val=""/>
      <w:lvlJc w:val="left"/>
      <w:pPr>
        <w:ind w:left="5040" w:hanging="360"/>
      </w:pPr>
      <w:rPr>
        <w:rFonts w:ascii="Symbol" w:hAnsi="Symbol" w:hint="default"/>
      </w:rPr>
    </w:lvl>
    <w:lvl w:ilvl="7" w:tplc="C3F29ECC">
      <w:start w:val="1"/>
      <w:numFmt w:val="bullet"/>
      <w:lvlText w:val="o"/>
      <w:lvlJc w:val="left"/>
      <w:pPr>
        <w:ind w:left="5760" w:hanging="360"/>
      </w:pPr>
      <w:rPr>
        <w:rFonts w:ascii="Courier New" w:hAnsi="Courier New" w:hint="default"/>
      </w:rPr>
    </w:lvl>
    <w:lvl w:ilvl="8" w:tplc="757E025A">
      <w:start w:val="1"/>
      <w:numFmt w:val="bullet"/>
      <w:lvlText w:val=""/>
      <w:lvlJc w:val="left"/>
      <w:pPr>
        <w:ind w:left="6480" w:hanging="360"/>
      </w:pPr>
      <w:rPr>
        <w:rFonts w:ascii="Wingdings" w:hAnsi="Wingdings" w:hint="default"/>
      </w:rPr>
    </w:lvl>
  </w:abstractNum>
  <w:abstractNum w:abstractNumId="18" w15:restartNumberingAfterBreak="0">
    <w:nsid w:val="68F71657"/>
    <w:multiLevelType w:val="hybridMultilevel"/>
    <w:tmpl w:val="9B4E6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783CD30B"/>
    <w:multiLevelType w:val="hybridMultilevel"/>
    <w:tmpl w:val="9DF42EE2"/>
    <w:lvl w:ilvl="0" w:tplc="A364A80E">
      <w:start w:val="1"/>
      <w:numFmt w:val="bullet"/>
      <w:lvlText w:val=""/>
      <w:lvlJc w:val="left"/>
      <w:pPr>
        <w:ind w:left="360" w:hanging="360"/>
      </w:pPr>
      <w:rPr>
        <w:rFonts w:ascii="Symbol" w:hAnsi="Symbol" w:hint="default"/>
      </w:rPr>
    </w:lvl>
    <w:lvl w:ilvl="1" w:tplc="94AC18E8">
      <w:start w:val="1"/>
      <w:numFmt w:val="bullet"/>
      <w:lvlText w:val="o"/>
      <w:lvlJc w:val="left"/>
      <w:pPr>
        <w:ind w:left="1080" w:hanging="360"/>
      </w:pPr>
      <w:rPr>
        <w:rFonts w:ascii="Courier New" w:hAnsi="Courier New" w:hint="default"/>
      </w:rPr>
    </w:lvl>
    <w:lvl w:ilvl="2" w:tplc="BF42D8D6">
      <w:start w:val="1"/>
      <w:numFmt w:val="bullet"/>
      <w:lvlText w:val=""/>
      <w:lvlJc w:val="left"/>
      <w:pPr>
        <w:ind w:left="1800" w:hanging="360"/>
      </w:pPr>
      <w:rPr>
        <w:rFonts w:ascii="Wingdings" w:hAnsi="Wingdings" w:hint="default"/>
      </w:rPr>
    </w:lvl>
    <w:lvl w:ilvl="3" w:tplc="0B4A53B4">
      <w:start w:val="1"/>
      <w:numFmt w:val="bullet"/>
      <w:lvlText w:val=""/>
      <w:lvlJc w:val="left"/>
      <w:pPr>
        <w:ind w:left="2520" w:hanging="360"/>
      </w:pPr>
      <w:rPr>
        <w:rFonts w:ascii="Symbol" w:hAnsi="Symbol" w:hint="default"/>
      </w:rPr>
    </w:lvl>
    <w:lvl w:ilvl="4" w:tplc="AD063902">
      <w:start w:val="1"/>
      <w:numFmt w:val="bullet"/>
      <w:lvlText w:val="o"/>
      <w:lvlJc w:val="left"/>
      <w:pPr>
        <w:ind w:left="3240" w:hanging="360"/>
      </w:pPr>
      <w:rPr>
        <w:rFonts w:ascii="Courier New" w:hAnsi="Courier New" w:hint="default"/>
      </w:rPr>
    </w:lvl>
    <w:lvl w:ilvl="5" w:tplc="8B747D22">
      <w:start w:val="1"/>
      <w:numFmt w:val="bullet"/>
      <w:lvlText w:val=""/>
      <w:lvlJc w:val="left"/>
      <w:pPr>
        <w:ind w:left="3960" w:hanging="360"/>
      </w:pPr>
      <w:rPr>
        <w:rFonts w:ascii="Wingdings" w:hAnsi="Wingdings" w:hint="default"/>
      </w:rPr>
    </w:lvl>
    <w:lvl w:ilvl="6" w:tplc="0F0ED264">
      <w:start w:val="1"/>
      <w:numFmt w:val="bullet"/>
      <w:lvlText w:val=""/>
      <w:lvlJc w:val="left"/>
      <w:pPr>
        <w:ind w:left="4680" w:hanging="360"/>
      </w:pPr>
      <w:rPr>
        <w:rFonts w:ascii="Symbol" w:hAnsi="Symbol" w:hint="default"/>
      </w:rPr>
    </w:lvl>
    <w:lvl w:ilvl="7" w:tplc="DF380ADC">
      <w:start w:val="1"/>
      <w:numFmt w:val="bullet"/>
      <w:lvlText w:val="o"/>
      <w:lvlJc w:val="left"/>
      <w:pPr>
        <w:ind w:left="5400" w:hanging="360"/>
      </w:pPr>
      <w:rPr>
        <w:rFonts w:ascii="Courier New" w:hAnsi="Courier New" w:hint="default"/>
      </w:rPr>
    </w:lvl>
    <w:lvl w:ilvl="8" w:tplc="E83E15A4">
      <w:start w:val="1"/>
      <w:numFmt w:val="bullet"/>
      <w:lvlText w:val=""/>
      <w:lvlJc w:val="left"/>
      <w:pPr>
        <w:ind w:left="6120" w:hanging="360"/>
      </w:pPr>
      <w:rPr>
        <w:rFonts w:ascii="Wingdings" w:hAnsi="Wingdings" w:hint="default"/>
      </w:rPr>
    </w:lvl>
  </w:abstractNum>
  <w:abstractNum w:abstractNumId="21" w15:restartNumberingAfterBreak="0">
    <w:nsid w:val="7E723314"/>
    <w:multiLevelType w:val="hybridMultilevel"/>
    <w:tmpl w:val="292AAD1A"/>
    <w:lvl w:ilvl="0" w:tplc="35B827CE">
      <w:start w:val="1"/>
      <w:numFmt w:val="bullet"/>
      <w:lvlText w:val=""/>
      <w:lvlJc w:val="left"/>
      <w:pPr>
        <w:ind w:left="360" w:hanging="360"/>
      </w:pPr>
      <w:rPr>
        <w:rFonts w:ascii="Symbol" w:hAnsi="Symbol" w:hint="default"/>
      </w:rPr>
    </w:lvl>
    <w:lvl w:ilvl="1" w:tplc="89086E68" w:tentative="1">
      <w:start w:val="1"/>
      <w:numFmt w:val="bullet"/>
      <w:lvlText w:val="o"/>
      <w:lvlJc w:val="left"/>
      <w:pPr>
        <w:ind w:left="1080" w:hanging="360"/>
      </w:pPr>
      <w:rPr>
        <w:rFonts w:ascii="Courier New" w:hAnsi="Courier New" w:hint="default"/>
      </w:rPr>
    </w:lvl>
    <w:lvl w:ilvl="2" w:tplc="E862B35C" w:tentative="1">
      <w:start w:val="1"/>
      <w:numFmt w:val="bullet"/>
      <w:lvlText w:val=""/>
      <w:lvlJc w:val="left"/>
      <w:pPr>
        <w:ind w:left="1800" w:hanging="360"/>
      </w:pPr>
      <w:rPr>
        <w:rFonts w:ascii="Wingdings" w:hAnsi="Wingdings" w:hint="default"/>
      </w:rPr>
    </w:lvl>
    <w:lvl w:ilvl="3" w:tplc="720485B0" w:tentative="1">
      <w:start w:val="1"/>
      <w:numFmt w:val="bullet"/>
      <w:lvlText w:val=""/>
      <w:lvlJc w:val="left"/>
      <w:pPr>
        <w:ind w:left="2520" w:hanging="360"/>
      </w:pPr>
      <w:rPr>
        <w:rFonts w:ascii="Symbol" w:hAnsi="Symbol" w:hint="default"/>
      </w:rPr>
    </w:lvl>
    <w:lvl w:ilvl="4" w:tplc="2E6EA602" w:tentative="1">
      <w:start w:val="1"/>
      <w:numFmt w:val="bullet"/>
      <w:lvlText w:val="o"/>
      <w:lvlJc w:val="left"/>
      <w:pPr>
        <w:ind w:left="3240" w:hanging="360"/>
      </w:pPr>
      <w:rPr>
        <w:rFonts w:ascii="Courier New" w:hAnsi="Courier New" w:hint="default"/>
      </w:rPr>
    </w:lvl>
    <w:lvl w:ilvl="5" w:tplc="100E2A98" w:tentative="1">
      <w:start w:val="1"/>
      <w:numFmt w:val="bullet"/>
      <w:lvlText w:val=""/>
      <w:lvlJc w:val="left"/>
      <w:pPr>
        <w:ind w:left="3960" w:hanging="360"/>
      </w:pPr>
      <w:rPr>
        <w:rFonts w:ascii="Wingdings" w:hAnsi="Wingdings" w:hint="default"/>
      </w:rPr>
    </w:lvl>
    <w:lvl w:ilvl="6" w:tplc="5C2C9134" w:tentative="1">
      <w:start w:val="1"/>
      <w:numFmt w:val="bullet"/>
      <w:lvlText w:val=""/>
      <w:lvlJc w:val="left"/>
      <w:pPr>
        <w:ind w:left="4680" w:hanging="360"/>
      </w:pPr>
      <w:rPr>
        <w:rFonts w:ascii="Symbol" w:hAnsi="Symbol" w:hint="default"/>
      </w:rPr>
    </w:lvl>
    <w:lvl w:ilvl="7" w:tplc="EB8AB890" w:tentative="1">
      <w:start w:val="1"/>
      <w:numFmt w:val="bullet"/>
      <w:lvlText w:val="o"/>
      <w:lvlJc w:val="left"/>
      <w:pPr>
        <w:ind w:left="5400" w:hanging="360"/>
      </w:pPr>
      <w:rPr>
        <w:rFonts w:ascii="Courier New" w:hAnsi="Courier New" w:hint="default"/>
      </w:rPr>
    </w:lvl>
    <w:lvl w:ilvl="8" w:tplc="1BCE0B10" w:tentative="1">
      <w:start w:val="1"/>
      <w:numFmt w:val="bullet"/>
      <w:lvlText w:val=""/>
      <w:lvlJc w:val="left"/>
      <w:pPr>
        <w:ind w:left="6120" w:hanging="360"/>
      </w:pPr>
      <w:rPr>
        <w:rFonts w:ascii="Wingdings" w:hAnsi="Wingdings" w:hint="default"/>
      </w:rPr>
    </w:lvl>
  </w:abstractNum>
  <w:num w:numId="1" w16cid:durableId="642659036">
    <w:abstractNumId w:val="1"/>
  </w:num>
  <w:num w:numId="2" w16cid:durableId="1098604596">
    <w:abstractNumId w:val="17"/>
  </w:num>
  <w:num w:numId="3" w16cid:durableId="316106371">
    <w:abstractNumId w:val="20"/>
  </w:num>
  <w:num w:numId="4" w16cid:durableId="151220968">
    <w:abstractNumId w:val="13"/>
  </w:num>
  <w:num w:numId="5" w16cid:durableId="593323143">
    <w:abstractNumId w:val="3"/>
  </w:num>
  <w:num w:numId="6" w16cid:durableId="1446659601">
    <w:abstractNumId w:val="0"/>
  </w:num>
  <w:num w:numId="7" w16cid:durableId="836068545">
    <w:abstractNumId w:val="4"/>
  </w:num>
  <w:num w:numId="8" w16cid:durableId="182983487">
    <w:abstractNumId w:val="12"/>
  </w:num>
  <w:num w:numId="9" w16cid:durableId="2141607497">
    <w:abstractNumId w:val="19"/>
  </w:num>
  <w:num w:numId="10" w16cid:durableId="95563776">
    <w:abstractNumId w:val="2"/>
  </w:num>
  <w:num w:numId="11" w16cid:durableId="858082112">
    <w:abstractNumId w:val="10"/>
  </w:num>
  <w:num w:numId="12" w16cid:durableId="659505217">
    <w:abstractNumId w:val="11"/>
  </w:num>
  <w:num w:numId="13" w16cid:durableId="995719071">
    <w:abstractNumId w:val="15"/>
  </w:num>
  <w:num w:numId="14" w16cid:durableId="1798570573">
    <w:abstractNumId w:val="6"/>
  </w:num>
  <w:num w:numId="15" w16cid:durableId="2038844049">
    <w:abstractNumId w:val="21"/>
  </w:num>
  <w:num w:numId="16" w16cid:durableId="1422946834">
    <w:abstractNumId w:val="9"/>
  </w:num>
  <w:num w:numId="17" w16cid:durableId="1786264559">
    <w:abstractNumId w:val="5"/>
  </w:num>
  <w:num w:numId="18" w16cid:durableId="2127195544">
    <w:abstractNumId w:val="8"/>
  </w:num>
  <w:num w:numId="19" w16cid:durableId="1037319993">
    <w:abstractNumId w:val="14"/>
  </w:num>
  <w:num w:numId="20" w16cid:durableId="1907375674">
    <w:abstractNumId w:val="7"/>
  </w:num>
  <w:num w:numId="21" w16cid:durableId="623391606">
    <w:abstractNumId w:val="18"/>
  </w:num>
  <w:num w:numId="22" w16cid:durableId="1174493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13440"/>
    <w:rsid w:val="0001783E"/>
    <w:rsid w:val="00020953"/>
    <w:rsid w:val="000253A4"/>
    <w:rsid w:val="00037C3E"/>
    <w:rsid w:val="00040E22"/>
    <w:rsid w:val="000425B5"/>
    <w:rsid w:val="00046238"/>
    <w:rsid w:val="00050444"/>
    <w:rsid w:val="0005191E"/>
    <w:rsid w:val="00055DEE"/>
    <w:rsid w:val="00057A30"/>
    <w:rsid w:val="00091D34"/>
    <w:rsid w:val="000A266E"/>
    <w:rsid w:val="000A6F77"/>
    <w:rsid w:val="000C548D"/>
    <w:rsid w:val="000C55DC"/>
    <w:rsid w:val="000C7D48"/>
    <w:rsid w:val="000E3CEE"/>
    <w:rsid w:val="000F17B9"/>
    <w:rsid w:val="000F4514"/>
    <w:rsid w:val="001026BC"/>
    <w:rsid w:val="00113E10"/>
    <w:rsid w:val="00114705"/>
    <w:rsid w:val="00126D4A"/>
    <w:rsid w:val="001335D2"/>
    <w:rsid w:val="00136271"/>
    <w:rsid w:val="00144AC7"/>
    <w:rsid w:val="0015636A"/>
    <w:rsid w:val="0015707F"/>
    <w:rsid w:val="001756B2"/>
    <w:rsid w:val="00195109"/>
    <w:rsid w:val="00195CAE"/>
    <w:rsid w:val="001A0532"/>
    <w:rsid w:val="001A35F1"/>
    <w:rsid w:val="001B18EA"/>
    <w:rsid w:val="001B56C9"/>
    <w:rsid w:val="001C50F2"/>
    <w:rsid w:val="001F5B29"/>
    <w:rsid w:val="00202146"/>
    <w:rsid w:val="00207FC6"/>
    <w:rsid w:val="002211A1"/>
    <w:rsid w:val="00235828"/>
    <w:rsid w:val="002478AA"/>
    <w:rsid w:val="0025730E"/>
    <w:rsid w:val="0027428C"/>
    <w:rsid w:val="0028156A"/>
    <w:rsid w:val="0028510B"/>
    <w:rsid w:val="00290C9D"/>
    <w:rsid w:val="00292001"/>
    <w:rsid w:val="002D1A7C"/>
    <w:rsid w:val="002F2228"/>
    <w:rsid w:val="00300A04"/>
    <w:rsid w:val="00304367"/>
    <w:rsid w:val="00326092"/>
    <w:rsid w:val="00334D20"/>
    <w:rsid w:val="00341685"/>
    <w:rsid w:val="00360784"/>
    <w:rsid w:val="00361C67"/>
    <w:rsid w:val="003671E3"/>
    <w:rsid w:val="00392884"/>
    <w:rsid w:val="00395398"/>
    <w:rsid w:val="00397A5A"/>
    <w:rsid w:val="003B2B30"/>
    <w:rsid w:val="003C0B5E"/>
    <w:rsid w:val="003D6234"/>
    <w:rsid w:val="003E3316"/>
    <w:rsid w:val="003F3F94"/>
    <w:rsid w:val="003F4FBD"/>
    <w:rsid w:val="00405F81"/>
    <w:rsid w:val="0041433D"/>
    <w:rsid w:val="0042045E"/>
    <w:rsid w:val="00447638"/>
    <w:rsid w:val="004505F6"/>
    <w:rsid w:val="00469D7A"/>
    <w:rsid w:val="00476545"/>
    <w:rsid w:val="004842CC"/>
    <w:rsid w:val="00493333"/>
    <w:rsid w:val="004A31A6"/>
    <w:rsid w:val="004A4D38"/>
    <w:rsid w:val="004C33B7"/>
    <w:rsid w:val="0050625A"/>
    <w:rsid w:val="00506437"/>
    <w:rsid w:val="00516235"/>
    <w:rsid w:val="0052160A"/>
    <w:rsid w:val="00521988"/>
    <w:rsid w:val="00536F67"/>
    <w:rsid w:val="00552F56"/>
    <w:rsid w:val="00570936"/>
    <w:rsid w:val="00571235"/>
    <w:rsid w:val="005727E4"/>
    <w:rsid w:val="00583523"/>
    <w:rsid w:val="00590E7F"/>
    <w:rsid w:val="005A5486"/>
    <w:rsid w:val="005A7336"/>
    <w:rsid w:val="005B1C91"/>
    <w:rsid w:val="005C2220"/>
    <w:rsid w:val="005C37EB"/>
    <w:rsid w:val="005C726C"/>
    <w:rsid w:val="005E2FA4"/>
    <w:rsid w:val="00600353"/>
    <w:rsid w:val="00603C75"/>
    <w:rsid w:val="00610E10"/>
    <w:rsid w:val="00617404"/>
    <w:rsid w:val="00620AC6"/>
    <w:rsid w:val="006354EF"/>
    <w:rsid w:val="00646E7D"/>
    <w:rsid w:val="00650402"/>
    <w:rsid w:val="00660323"/>
    <w:rsid w:val="006815C9"/>
    <w:rsid w:val="00682984"/>
    <w:rsid w:val="00695A49"/>
    <w:rsid w:val="00695B93"/>
    <w:rsid w:val="006B6625"/>
    <w:rsid w:val="006D3F75"/>
    <w:rsid w:val="006E4FC7"/>
    <w:rsid w:val="006F4C0D"/>
    <w:rsid w:val="00700C26"/>
    <w:rsid w:val="0072783B"/>
    <w:rsid w:val="0073544C"/>
    <w:rsid w:val="007370C2"/>
    <w:rsid w:val="00737551"/>
    <w:rsid w:val="007527E8"/>
    <w:rsid w:val="00757FF9"/>
    <w:rsid w:val="00774236"/>
    <w:rsid w:val="007834C7"/>
    <w:rsid w:val="00793769"/>
    <w:rsid w:val="00795A61"/>
    <w:rsid w:val="00797992"/>
    <w:rsid w:val="007A3521"/>
    <w:rsid w:val="007B3416"/>
    <w:rsid w:val="007B5C8D"/>
    <w:rsid w:val="007B742A"/>
    <w:rsid w:val="007C6858"/>
    <w:rsid w:val="007D2E43"/>
    <w:rsid w:val="007E2502"/>
    <w:rsid w:val="007F3FEA"/>
    <w:rsid w:val="00810DEF"/>
    <w:rsid w:val="008136B7"/>
    <w:rsid w:val="00815F22"/>
    <w:rsid w:val="00830A48"/>
    <w:rsid w:val="00837309"/>
    <w:rsid w:val="0084039C"/>
    <w:rsid w:val="00843013"/>
    <w:rsid w:val="008451E5"/>
    <w:rsid w:val="008511EC"/>
    <w:rsid w:val="00865EC3"/>
    <w:rsid w:val="00874AFF"/>
    <w:rsid w:val="00875309"/>
    <w:rsid w:val="0087556E"/>
    <w:rsid w:val="00882E6E"/>
    <w:rsid w:val="00891867"/>
    <w:rsid w:val="008949D1"/>
    <w:rsid w:val="008A17F3"/>
    <w:rsid w:val="008C658B"/>
    <w:rsid w:val="008C66B4"/>
    <w:rsid w:val="008D5C34"/>
    <w:rsid w:val="008D66B8"/>
    <w:rsid w:val="009006DA"/>
    <w:rsid w:val="009164A9"/>
    <w:rsid w:val="00922450"/>
    <w:rsid w:val="0093098F"/>
    <w:rsid w:val="009406F0"/>
    <w:rsid w:val="00952E38"/>
    <w:rsid w:val="00953262"/>
    <w:rsid w:val="00956985"/>
    <w:rsid w:val="00963925"/>
    <w:rsid w:val="009754F0"/>
    <w:rsid w:val="00983C50"/>
    <w:rsid w:val="00984A60"/>
    <w:rsid w:val="00985B67"/>
    <w:rsid w:val="009952AE"/>
    <w:rsid w:val="00995530"/>
    <w:rsid w:val="009B4A7B"/>
    <w:rsid w:val="009B630A"/>
    <w:rsid w:val="009C7135"/>
    <w:rsid w:val="009D0546"/>
    <w:rsid w:val="009E1F15"/>
    <w:rsid w:val="009E7D52"/>
    <w:rsid w:val="00A04856"/>
    <w:rsid w:val="00A2169E"/>
    <w:rsid w:val="00A21F71"/>
    <w:rsid w:val="00A27A8A"/>
    <w:rsid w:val="00A50E82"/>
    <w:rsid w:val="00A5237D"/>
    <w:rsid w:val="00A54DA5"/>
    <w:rsid w:val="00A55001"/>
    <w:rsid w:val="00A616AA"/>
    <w:rsid w:val="00A641EF"/>
    <w:rsid w:val="00A6794E"/>
    <w:rsid w:val="00A80EA5"/>
    <w:rsid w:val="00A81D6F"/>
    <w:rsid w:val="00A911C0"/>
    <w:rsid w:val="00A951BD"/>
    <w:rsid w:val="00AB1A08"/>
    <w:rsid w:val="00AC4577"/>
    <w:rsid w:val="00AC4DB5"/>
    <w:rsid w:val="00AC67B2"/>
    <w:rsid w:val="00AE37B8"/>
    <w:rsid w:val="00B01C21"/>
    <w:rsid w:val="00B03299"/>
    <w:rsid w:val="00B11CC5"/>
    <w:rsid w:val="00B23B5C"/>
    <w:rsid w:val="00B400FE"/>
    <w:rsid w:val="00B43C60"/>
    <w:rsid w:val="00B450C0"/>
    <w:rsid w:val="00B459AF"/>
    <w:rsid w:val="00B50574"/>
    <w:rsid w:val="00B50A5B"/>
    <w:rsid w:val="00B7386D"/>
    <w:rsid w:val="00B85EF1"/>
    <w:rsid w:val="00B92CEB"/>
    <w:rsid w:val="00B92D62"/>
    <w:rsid w:val="00BC51D0"/>
    <w:rsid w:val="00BC6EEB"/>
    <w:rsid w:val="00BD54E6"/>
    <w:rsid w:val="00BE377E"/>
    <w:rsid w:val="00C15F06"/>
    <w:rsid w:val="00C1618B"/>
    <w:rsid w:val="00C52493"/>
    <w:rsid w:val="00C80674"/>
    <w:rsid w:val="00C83B78"/>
    <w:rsid w:val="00C87479"/>
    <w:rsid w:val="00C90F22"/>
    <w:rsid w:val="00CB1AB1"/>
    <w:rsid w:val="00CC0857"/>
    <w:rsid w:val="00CC5C4F"/>
    <w:rsid w:val="00CD02CB"/>
    <w:rsid w:val="00CD0D94"/>
    <w:rsid w:val="00D00669"/>
    <w:rsid w:val="00D156C1"/>
    <w:rsid w:val="00D15FC0"/>
    <w:rsid w:val="00D235AF"/>
    <w:rsid w:val="00D35A92"/>
    <w:rsid w:val="00D43B96"/>
    <w:rsid w:val="00D4415E"/>
    <w:rsid w:val="00D554FF"/>
    <w:rsid w:val="00D70F5C"/>
    <w:rsid w:val="00D809C9"/>
    <w:rsid w:val="00DB2E6D"/>
    <w:rsid w:val="00DB56B5"/>
    <w:rsid w:val="00DC2E27"/>
    <w:rsid w:val="00DC2F6A"/>
    <w:rsid w:val="00DC527F"/>
    <w:rsid w:val="00DD718A"/>
    <w:rsid w:val="00DF1840"/>
    <w:rsid w:val="00DF2F86"/>
    <w:rsid w:val="00E06B1C"/>
    <w:rsid w:val="00E14437"/>
    <w:rsid w:val="00E240F6"/>
    <w:rsid w:val="00E31040"/>
    <w:rsid w:val="00E569AE"/>
    <w:rsid w:val="00E56E7C"/>
    <w:rsid w:val="00E57365"/>
    <w:rsid w:val="00E72114"/>
    <w:rsid w:val="00E81AC7"/>
    <w:rsid w:val="00E96982"/>
    <w:rsid w:val="00EA7719"/>
    <w:rsid w:val="00ED16D0"/>
    <w:rsid w:val="00ED5B98"/>
    <w:rsid w:val="00EE7F1C"/>
    <w:rsid w:val="00EF5806"/>
    <w:rsid w:val="00EF639A"/>
    <w:rsid w:val="00F01696"/>
    <w:rsid w:val="00F03687"/>
    <w:rsid w:val="00F11302"/>
    <w:rsid w:val="00F24ABB"/>
    <w:rsid w:val="00F30ECA"/>
    <w:rsid w:val="00F5207B"/>
    <w:rsid w:val="00F5371D"/>
    <w:rsid w:val="00F64D7A"/>
    <w:rsid w:val="00F7283A"/>
    <w:rsid w:val="00FB4DE6"/>
    <w:rsid w:val="00FE3321"/>
    <w:rsid w:val="00FE6A32"/>
    <w:rsid w:val="00FF4661"/>
    <w:rsid w:val="01096091"/>
    <w:rsid w:val="01F0281F"/>
    <w:rsid w:val="023BACB3"/>
    <w:rsid w:val="025BFBA7"/>
    <w:rsid w:val="0269AF18"/>
    <w:rsid w:val="0449E1FF"/>
    <w:rsid w:val="0475F37F"/>
    <w:rsid w:val="049A44C2"/>
    <w:rsid w:val="04C6C110"/>
    <w:rsid w:val="051478AA"/>
    <w:rsid w:val="051DF8EE"/>
    <w:rsid w:val="0577AC59"/>
    <w:rsid w:val="0594BBF5"/>
    <w:rsid w:val="05D5517C"/>
    <w:rsid w:val="05D85E70"/>
    <w:rsid w:val="07202029"/>
    <w:rsid w:val="0777690C"/>
    <w:rsid w:val="07FEFA09"/>
    <w:rsid w:val="08098C3A"/>
    <w:rsid w:val="08BBD6A0"/>
    <w:rsid w:val="09808A2A"/>
    <w:rsid w:val="09BFF382"/>
    <w:rsid w:val="0A116F2E"/>
    <w:rsid w:val="0A4DDC8F"/>
    <w:rsid w:val="0A6184EF"/>
    <w:rsid w:val="0AA9DF65"/>
    <w:rsid w:val="0AC2B459"/>
    <w:rsid w:val="0B05AB95"/>
    <w:rsid w:val="0B20AC98"/>
    <w:rsid w:val="0C47A2C6"/>
    <w:rsid w:val="0C6B0E69"/>
    <w:rsid w:val="0CFE65E3"/>
    <w:rsid w:val="0D59C96C"/>
    <w:rsid w:val="0E323063"/>
    <w:rsid w:val="0E639C51"/>
    <w:rsid w:val="0EF6BDD6"/>
    <w:rsid w:val="0EF971A8"/>
    <w:rsid w:val="0FF08D76"/>
    <w:rsid w:val="105848FB"/>
    <w:rsid w:val="108EAFB1"/>
    <w:rsid w:val="10A26828"/>
    <w:rsid w:val="1123584F"/>
    <w:rsid w:val="1151A170"/>
    <w:rsid w:val="11640BA4"/>
    <w:rsid w:val="1181033B"/>
    <w:rsid w:val="11A60964"/>
    <w:rsid w:val="11DD191A"/>
    <w:rsid w:val="121446B0"/>
    <w:rsid w:val="1223629E"/>
    <w:rsid w:val="129D8B9F"/>
    <w:rsid w:val="12FBF16A"/>
    <w:rsid w:val="1396A3BB"/>
    <w:rsid w:val="13D9F811"/>
    <w:rsid w:val="149F4D98"/>
    <w:rsid w:val="14F8E314"/>
    <w:rsid w:val="1506971B"/>
    <w:rsid w:val="15485A6A"/>
    <w:rsid w:val="156F48FC"/>
    <w:rsid w:val="15DFACD3"/>
    <w:rsid w:val="163735FB"/>
    <w:rsid w:val="1652D069"/>
    <w:rsid w:val="17D10FCA"/>
    <w:rsid w:val="18A0D452"/>
    <w:rsid w:val="195D4DD8"/>
    <w:rsid w:val="197F9E4C"/>
    <w:rsid w:val="1A292021"/>
    <w:rsid w:val="1A6A3FDC"/>
    <w:rsid w:val="1A706744"/>
    <w:rsid w:val="1A9D4920"/>
    <w:rsid w:val="1AB44F55"/>
    <w:rsid w:val="1AF90C46"/>
    <w:rsid w:val="1B67A63E"/>
    <w:rsid w:val="1B9EF039"/>
    <w:rsid w:val="1BD0C317"/>
    <w:rsid w:val="1C176AA6"/>
    <w:rsid w:val="1CBED97D"/>
    <w:rsid w:val="1D1B348B"/>
    <w:rsid w:val="1D45D9FD"/>
    <w:rsid w:val="1D99A024"/>
    <w:rsid w:val="1DBA33DD"/>
    <w:rsid w:val="1DE95BD4"/>
    <w:rsid w:val="1E13B54D"/>
    <w:rsid w:val="1ECE4CC5"/>
    <w:rsid w:val="1F59C8B5"/>
    <w:rsid w:val="1F97FB2D"/>
    <w:rsid w:val="1FC9B954"/>
    <w:rsid w:val="201C89DF"/>
    <w:rsid w:val="20873F69"/>
    <w:rsid w:val="20B1210F"/>
    <w:rsid w:val="20C0A172"/>
    <w:rsid w:val="20ED4162"/>
    <w:rsid w:val="20FF80CF"/>
    <w:rsid w:val="21CCBBF3"/>
    <w:rsid w:val="21DDD2F7"/>
    <w:rsid w:val="21EC8980"/>
    <w:rsid w:val="2266C50B"/>
    <w:rsid w:val="228AD8FB"/>
    <w:rsid w:val="22AB8EAC"/>
    <w:rsid w:val="22B538CB"/>
    <w:rsid w:val="22EC1187"/>
    <w:rsid w:val="2364B87E"/>
    <w:rsid w:val="23719851"/>
    <w:rsid w:val="2376867C"/>
    <w:rsid w:val="23776D04"/>
    <w:rsid w:val="23D5262B"/>
    <w:rsid w:val="24105FD0"/>
    <w:rsid w:val="243906AD"/>
    <w:rsid w:val="24825B86"/>
    <w:rsid w:val="24F82901"/>
    <w:rsid w:val="250F1C24"/>
    <w:rsid w:val="25265388"/>
    <w:rsid w:val="26140589"/>
    <w:rsid w:val="265B4571"/>
    <w:rsid w:val="26669A20"/>
    <w:rsid w:val="26916622"/>
    <w:rsid w:val="2739268B"/>
    <w:rsid w:val="2840369E"/>
    <w:rsid w:val="285AF214"/>
    <w:rsid w:val="28649507"/>
    <w:rsid w:val="28733C3C"/>
    <w:rsid w:val="28952953"/>
    <w:rsid w:val="28ED24A7"/>
    <w:rsid w:val="29205C8D"/>
    <w:rsid w:val="2941B531"/>
    <w:rsid w:val="29BBAF6E"/>
    <w:rsid w:val="2B03DC28"/>
    <w:rsid w:val="2B0E8330"/>
    <w:rsid w:val="2B2720FE"/>
    <w:rsid w:val="2B43D984"/>
    <w:rsid w:val="2B5DCA0A"/>
    <w:rsid w:val="2C4EEE7A"/>
    <w:rsid w:val="2C4EF2A1"/>
    <w:rsid w:val="2C8048B7"/>
    <w:rsid w:val="2C889259"/>
    <w:rsid w:val="2C97989A"/>
    <w:rsid w:val="2CB1AB9A"/>
    <w:rsid w:val="2D48C91C"/>
    <w:rsid w:val="2F068A8B"/>
    <w:rsid w:val="2F41C183"/>
    <w:rsid w:val="2F648396"/>
    <w:rsid w:val="2FDD6DFA"/>
    <w:rsid w:val="303E1B59"/>
    <w:rsid w:val="30BF92B3"/>
    <w:rsid w:val="30C2E7F2"/>
    <w:rsid w:val="31ABC46F"/>
    <w:rsid w:val="31CC4761"/>
    <w:rsid w:val="320FD69E"/>
    <w:rsid w:val="32310BA8"/>
    <w:rsid w:val="331AD0CC"/>
    <w:rsid w:val="33B10C15"/>
    <w:rsid w:val="33B4F2CF"/>
    <w:rsid w:val="33ED4627"/>
    <w:rsid w:val="34432618"/>
    <w:rsid w:val="34BBF34A"/>
    <w:rsid w:val="34D9BF8F"/>
    <w:rsid w:val="34DC81ED"/>
    <w:rsid w:val="358C338B"/>
    <w:rsid w:val="35CE137F"/>
    <w:rsid w:val="3613E35C"/>
    <w:rsid w:val="365192BE"/>
    <w:rsid w:val="36671259"/>
    <w:rsid w:val="368D3A02"/>
    <w:rsid w:val="3716FC10"/>
    <w:rsid w:val="373BE18C"/>
    <w:rsid w:val="37783B1D"/>
    <w:rsid w:val="378E9831"/>
    <w:rsid w:val="37CD637A"/>
    <w:rsid w:val="387B17F3"/>
    <w:rsid w:val="3964570E"/>
    <w:rsid w:val="398D6BE4"/>
    <w:rsid w:val="39AC65B3"/>
    <w:rsid w:val="39B9B624"/>
    <w:rsid w:val="3A226E2E"/>
    <w:rsid w:val="3AC62317"/>
    <w:rsid w:val="3AFC34C8"/>
    <w:rsid w:val="3B58A491"/>
    <w:rsid w:val="3B8107A5"/>
    <w:rsid w:val="3B9D93BE"/>
    <w:rsid w:val="3C83626C"/>
    <w:rsid w:val="3C9A359F"/>
    <w:rsid w:val="3CFEB698"/>
    <w:rsid w:val="3D317E58"/>
    <w:rsid w:val="3D3E162D"/>
    <w:rsid w:val="3D3EA3A2"/>
    <w:rsid w:val="3D927BFC"/>
    <w:rsid w:val="3D9C88C6"/>
    <w:rsid w:val="3E2A1043"/>
    <w:rsid w:val="3E9E0163"/>
    <w:rsid w:val="3EE1FF9D"/>
    <w:rsid w:val="3F141BE9"/>
    <w:rsid w:val="3F1FC9AB"/>
    <w:rsid w:val="3F23D6D6"/>
    <w:rsid w:val="3F35B119"/>
    <w:rsid w:val="3F36B545"/>
    <w:rsid w:val="3FB2A2D6"/>
    <w:rsid w:val="3FB632FA"/>
    <w:rsid w:val="40AA2C1C"/>
    <w:rsid w:val="40B0BA27"/>
    <w:rsid w:val="40DD620F"/>
    <w:rsid w:val="41144496"/>
    <w:rsid w:val="4139390D"/>
    <w:rsid w:val="414F6332"/>
    <w:rsid w:val="43299333"/>
    <w:rsid w:val="434B9600"/>
    <w:rsid w:val="4386538B"/>
    <w:rsid w:val="439EE62D"/>
    <w:rsid w:val="43E79662"/>
    <w:rsid w:val="4416C152"/>
    <w:rsid w:val="44247B89"/>
    <w:rsid w:val="447BDD4B"/>
    <w:rsid w:val="44A7EB20"/>
    <w:rsid w:val="44B508CF"/>
    <w:rsid w:val="44D99107"/>
    <w:rsid w:val="44EA7EAF"/>
    <w:rsid w:val="4516AE2C"/>
    <w:rsid w:val="4518E9DD"/>
    <w:rsid w:val="453B0498"/>
    <w:rsid w:val="45439656"/>
    <w:rsid w:val="4579FEC4"/>
    <w:rsid w:val="45D79EC7"/>
    <w:rsid w:val="46310453"/>
    <w:rsid w:val="46366459"/>
    <w:rsid w:val="4688E541"/>
    <w:rsid w:val="46C9717F"/>
    <w:rsid w:val="47307815"/>
    <w:rsid w:val="474A6650"/>
    <w:rsid w:val="475841AF"/>
    <w:rsid w:val="47A022D1"/>
    <w:rsid w:val="47D68E79"/>
    <w:rsid w:val="48105E31"/>
    <w:rsid w:val="4865BEA1"/>
    <w:rsid w:val="489B9995"/>
    <w:rsid w:val="48A2BDB7"/>
    <w:rsid w:val="49BA4659"/>
    <w:rsid w:val="49CFED1F"/>
    <w:rsid w:val="49F33188"/>
    <w:rsid w:val="4B5E6C73"/>
    <w:rsid w:val="4BA0FFB9"/>
    <w:rsid w:val="4BB77592"/>
    <w:rsid w:val="4C0E37FC"/>
    <w:rsid w:val="4C90232B"/>
    <w:rsid w:val="4C9633E8"/>
    <w:rsid w:val="4D78DDA1"/>
    <w:rsid w:val="4DAE1B34"/>
    <w:rsid w:val="4DF52378"/>
    <w:rsid w:val="4F9DD520"/>
    <w:rsid w:val="4FDD028B"/>
    <w:rsid w:val="4FEC912D"/>
    <w:rsid w:val="505024C2"/>
    <w:rsid w:val="5074065F"/>
    <w:rsid w:val="5090185C"/>
    <w:rsid w:val="515EE8A5"/>
    <w:rsid w:val="5160C0DB"/>
    <w:rsid w:val="519A0466"/>
    <w:rsid w:val="519DFE2C"/>
    <w:rsid w:val="5296E181"/>
    <w:rsid w:val="52B09A90"/>
    <w:rsid w:val="53397EB2"/>
    <w:rsid w:val="53A305BC"/>
    <w:rsid w:val="542AB041"/>
    <w:rsid w:val="54579660"/>
    <w:rsid w:val="546C8FA0"/>
    <w:rsid w:val="55524C21"/>
    <w:rsid w:val="556EC7C2"/>
    <w:rsid w:val="560EA76A"/>
    <w:rsid w:val="562BE420"/>
    <w:rsid w:val="56412820"/>
    <w:rsid w:val="56BE03D7"/>
    <w:rsid w:val="57596902"/>
    <w:rsid w:val="5778564F"/>
    <w:rsid w:val="57A619B4"/>
    <w:rsid w:val="57EEF275"/>
    <w:rsid w:val="583CBCAD"/>
    <w:rsid w:val="5862F5AC"/>
    <w:rsid w:val="58FA942F"/>
    <w:rsid w:val="59184AC8"/>
    <w:rsid w:val="591ED4C1"/>
    <w:rsid w:val="59777D8B"/>
    <w:rsid w:val="59921287"/>
    <w:rsid w:val="59AF138F"/>
    <w:rsid w:val="59CE6E8E"/>
    <w:rsid w:val="5AEEEE54"/>
    <w:rsid w:val="5B0B5141"/>
    <w:rsid w:val="5B475762"/>
    <w:rsid w:val="5B81D769"/>
    <w:rsid w:val="5BC16D17"/>
    <w:rsid w:val="5BF7ABF4"/>
    <w:rsid w:val="5C1D3B25"/>
    <w:rsid w:val="5C1F6CBA"/>
    <w:rsid w:val="5CD11C25"/>
    <w:rsid w:val="5D02996D"/>
    <w:rsid w:val="5DD61DD6"/>
    <w:rsid w:val="5E659EEF"/>
    <w:rsid w:val="5E6682A7"/>
    <w:rsid w:val="5EAF7F17"/>
    <w:rsid w:val="5ED81662"/>
    <w:rsid w:val="5F7F885B"/>
    <w:rsid w:val="5F952A90"/>
    <w:rsid w:val="5FBDF15D"/>
    <w:rsid w:val="5FCBA536"/>
    <w:rsid w:val="5FFB1589"/>
    <w:rsid w:val="60044FEC"/>
    <w:rsid w:val="60448CA0"/>
    <w:rsid w:val="60513B89"/>
    <w:rsid w:val="60E59285"/>
    <w:rsid w:val="60E82956"/>
    <w:rsid w:val="6125471A"/>
    <w:rsid w:val="6151D4A6"/>
    <w:rsid w:val="6182BD15"/>
    <w:rsid w:val="62EA6497"/>
    <w:rsid w:val="62F2DF80"/>
    <w:rsid w:val="633CD844"/>
    <w:rsid w:val="63740F1D"/>
    <w:rsid w:val="6432BE32"/>
    <w:rsid w:val="64406051"/>
    <w:rsid w:val="64B0ACB5"/>
    <w:rsid w:val="64D59CBE"/>
    <w:rsid w:val="64E815EB"/>
    <w:rsid w:val="64F2167A"/>
    <w:rsid w:val="64FE4F05"/>
    <w:rsid w:val="655436EA"/>
    <w:rsid w:val="65751D2D"/>
    <w:rsid w:val="65CA14A1"/>
    <w:rsid w:val="65CA5766"/>
    <w:rsid w:val="66B1FD3B"/>
    <w:rsid w:val="66B8A7BE"/>
    <w:rsid w:val="66FE9313"/>
    <w:rsid w:val="676E8733"/>
    <w:rsid w:val="67F68440"/>
    <w:rsid w:val="680FFBFA"/>
    <w:rsid w:val="686531F6"/>
    <w:rsid w:val="686B2CAB"/>
    <w:rsid w:val="6893155E"/>
    <w:rsid w:val="692D57B1"/>
    <w:rsid w:val="697B8088"/>
    <w:rsid w:val="69ED6484"/>
    <w:rsid w:val="69F731DD"/>
    <w:rsid w:val="69F97AA8"/>
    <w:rsid w:val="6A00E0E6"/>
    <w:rsid w:val="6A1AF18B"/>
    <w:rsid w:val="6A4E708B"/>
    <w:rsid w:val="6ABF7C4E"/>
    <w:rsid w:val="6AEFD57C"/>
    <w:rsid w:val="6AFC7D6A"/>
    <w:rsid w:val="6B1319ED"/>
    <w:rsid w:val="6B1575A0"/>
    <w:rsid w:val="6B19012F"/>
    <w:rsid w:val="6BD3F21C"/>
    <w:rsid w:val="6C02209C"/>
    <w:rsid w:val="6C14BEB3"/>
    <w:rsid w:val="6C18FC77"/>
    <w:rsid w:val="6C4F5F9A"/>
    <w:rsid w:val="6C8BBADD"/>
    <w:rsid w:val="6C8BE228"/>
    <w:rsid w:val="6D0B7327"/>
    <w:rsid w:val="6D0F2B0C"/>
    <w:rsid w:val="6D4A7041"/>
    <w:rsid w:val="6DEBA663"/>
    <w:rsid w:val="6E26388E"/>
    <w:rsid w:val="6E671A81"/>
    <w:rsid w:val="6EFF3588"/>
    <w:rsid w:val="6F280035"/>
    <w:rsid w:val="6FC51D01"/>
    <w:rsid w:val="6FF02055"/>
    <w:rsid w:val="708EF2A9"/>
    <w:rsid w:val="70AD606C"/>
    <w:rsid w:val="726F5076"/>
    <w:rsid w:val="7274B853"/>
    <w:rsid w:val="7282170A"/>
    <w:rsid w:val="72F0CFA7"/>
    <w:rsid w:val="73029FBC"/>
    <w:rsid w:val="7356062D"/>
    <w:rsid w:val="73D9BE30"/>
    <w:rsid w:val="7429EE11"/>
    <w:rsid w:val="744659D8"/>
    <w:rsid w:val="745B59C0"/>
    <w:rsid w:val="74D5972A"/>
    <w:rsid w:val="74DE4672"/>
    <w:rsid w:val="75458509"/>
    <w:rsid w:val="756CE39C"/>
    <w:rsid w:val="758F73EB"/>
    <w:rsid w:val="76791272"/>
    <w:rsid w:val="77F9382F"/>
    <w:rsid w:val="785F176A"/>
    <w:rsid w:val="78734453"/>
    <w:rsid w:val="787AE1B6"/>
    <w:rsid w:val="7888DEB2"/>
    <w:rsid w:val="78B91186"/>
    <w:rsid w:val="79721D47"/>
    <w:rsid w:val="79760C73"/>
    <w:rsid w:val="7982DFCB"/>
    <w:rsid w:val="79969E6F"/>
    <w:rsid w:val="79C46E90"/>
    <w:rsid w:val="79ED9BA7"/>
    <w:rsid w:val="7A3EAA0B"/>
    <w:rsid w:val="7A568674"/>
    <w:rsid w:val="7A72A525"/>
    <w:rsid w:val="7A76C452"/>
    <w:rsid w:val="7A856EE7"/>
    <w:rsid w:val="7AA73B7C"/>
    <w:rsid w:val="7B1F36A2"/>
    <w:rsid w:val="7B7C7E19"/>
    <w:rsid w:val="7BC97934"/>
    <w:rsid w:val="7BCC1C58"/>
    <w:rsid w:val="7C9F6DFE"/>
    <w:rsid w:val="7DA85974"/>
    <w:rsid w:val="7DAB9E2A"/>
    <w:rsid w:val="7DC7ADDD"/>
    <w:rsid w:val="7E6F12C2"/>
    <w:rsid w:val="7E7488CE"/>
    <w:rsid w:val="7E8C0C07"/>
    <w:rsid w:val="7E910170"/>
    <w:rsid w:val="7F0A3F12"/>
    <w:rsid w:val="7FDE3C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E2C25C"/>
  <w14:defaultImageDpi w14:val="0"/>
  <w15:docId w15:val="{722A1F02-D5AB-4C9E-B337-242B1D07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link w:val="Heading1Char"/>
    <w:uiPriority w:val="9"/>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C1618B"/>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C1618B"/>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C1618B"/>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rFonts w:cs="Times New Roman"/>
      <w:sz w:val="24"/>
      <w:lang w:val="x-none" w:eastAsia="en-US"/>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13"/>
      </w:numPr>
      <w:spacing w:before="80" w:after="60"/>
      <w:jc w:val="both"/>
      <w:outlineLvl w:val="6"/>
    </w:pPr>
  </w:style>
  <w:style w:type="paragraph" w:customStyle="1" w:styleId="Asubpara">
    <w:name w:val="A subpara"/>
    <w:basedOn w:val="Normal"/>
    <w:rsid w:val="00C1618B"/>
    <w:pPr>
      <w:numPr>
        <w:ilvl w:val="7"/>
        <w:numId w:val="13"/>
      </w:numPr>
      <w:spacing w:before="80" w:after="60"/>
      <w:jc w:val="both"/>
      <w:outlineLvl w:val="7"/>
    </w:pPr>
  </w:style>
  <w:style w:type="paragraph" w:customStyle="1" w:styleId="Asubsubpara">
    <w:name w:val="A subsubpara"/>
    <w:basedOn w:val="Normal"/>
    <w:rsid w:val="00C1618B"/>
    <w:pPr>
      <w:numPr>
        <w:ilvl w:val="8"/>
        <w:numId w:val="13"/>
      </w:numPr>
      <w:spacing w:before="80" w:after="60"/>
      <w:jc w:val="both"/>
      <w:outlineLvl w:val="8"/>
    </w:pPr>
  </w:style>
  <w:style w:type="paragraph" w:customStyle="1" w:styleId="AH5Sec">
    <w:name w:val="A H5 Sec"/>
    <w:basedOn w:val="Normal"/>
    <w:next w:val="Amain"/>
    <w:rsid w:val="00C1618B"/>
    <w:pPr>
      <w:keepNext/>
      <w:numPr>
        <w:ilvl w:val="4"/>
        <w:numId w:val="5"/>
      </w:numPr>
      <w:spacing w:before="180" w:after="60"/>
      <w:outlineLvl w:val="4"/>
    </w:pPr>
    <w:rPr>
      <w:rFonts w:ascii="Arial" w:hAnsi="Arial"/>
      <w:b/>
    </w:rPr>
  </w:style>
  <w:style w:type="paragraph" w:styleId="Header">
    <w:name w:val="header"/>
    <w:basedOn w:val="Normal"/>
    <w:link w:val="HeaderChar"/>
    <w:uiPriority w:val="99"/>
    <w:semiHidden/>
    <w:rsid w:val="00C1618B"/>
    <w:pPr>
      <w:tabs>
        <w:tab w:val="left" w:pos="2880"/>
        <w:tab w:val="center" w:pos="4153"/>
        <w:tab w:val="right" w:pos="8306"/>
      </w:tabs>
    </w:pPr>
  </w:style>
  <w:style w:type="character" w:customStyle="1" w:styleId="HeaderChar">
    <w:name w:val="Header Char"/>
    <w:basedOn w:val="DefaultParagraphFont"/>
    <w:link w:val="Header"/>
    <w:uiPriority w:val="99"/>
    <w:semiHidden/>
    <w:rPr>
      <w:rFonts w:cs="Times New Roman"/>
      <w:sz w:val="24"/>
      <w:lang w:val="x-none" w:eastAsia="en-US"/>
    </w:r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rPr>
      <w:rFonts w:cs="Times New Roman"/>
    </w:rPr>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C1618B"/>
    <w:rPr>
      <w:rFonts w:cs="Times New Roman"/>
    </w:rPr>
  </w:style>
  <w:style w:type="paragraph" w:customStyle="1" w:styleId="Aparabullet">
    <w:name w:val="A para bullet"/>
    <w:basedOn w:val="Normal"/>
    <w:rsid w:val="00C1618B"/>
    <w:pPr>
      <w:numPr>
        <w:numId w:val="8"/>
      </w:numPr>
    </w:pPr>
  </w:style>
  <w:style w:type="paragraph" w:styleId="TOC1">
    <w:name w:val="toc 1"/>
    <w:basedOn w:val="Normal"/>
    <w:next w:val="Normal"/>
    <w:autoRedefine/>
    <w:uiPriority w:val="39"/>
    <w:semiHidden/>
    <w:rsid w:val="00C1618B"/>
  </w:style>
  <w:style w:type="paragraph" w:styleId="TOC2">
    <w:name w:val="toc 2"/>
    <w:basedOn w:val="Normal"/>
    <w:next w:val="Normal"/>
    <w:autoRedefine/>
    <w:uiPriority w:val="39"/>
    <w:semiHidden/>
    <w:rsid w:val="00C1618B"/>
    <w:pPr>
      <w:ind w:left="240"/>
    </w:pPr>
  </w:style>
  <w:style w:type="paragraph" w:styleId="TOC3">
    <w:name w:val="toc 3"/>
    <w:basedOn w:val="Normal"/>
    <w:next w:val="Normal"/>
    <w:autoRedefine/>
    <w:uiPriority w:val="39"/>
    <w:semiHidden/>
    <w:rsid w:val="00C1618B"/>
    <w:pPr>
      <w:ind w:left="480"/>
    </w:pPr>
  </w:style>
  <w:style w:type="paragraph" w:styleId="TOC4">
    <w:name w:val="toc 4"/>
    <w:basedOn w:val="Normal"/>
    <w:next w:val="Normal"/>
    <w:autoRedefine/>
    <w:uiPriority w:val="39"/>
    <w:semiHidden/>
    <w:rsid w:val="00C1618B"/>
    <w:pPr>
      <w:ind w:left="720"/>
    </w:pPr>
  </w:style>
  <w:style w:type="paragraph" w:styleId="TOC5">
    <w:name w:val="toc 5"/>
    <w:basedOn w:val="Normal"/>
    <w:next w:val="Normal"/>
    <w:autoRedefine/>
    <w:uiPriority w:val="39"/>
    <w:semiHidden/>
    <w:rsid w:val="00C1618B"/>
    <w:pPr>
      <w:ind w:left="960"/>
    </w:pPr>
  </w:style>
  <w:style w:type="paragraph" w:styleId="TOC6">
    <w:name w:val="toc 6"/>
    <w:basedOn w:val="Normal"/>
    <w:next w:val="Normal"/>
    <w:autoRedefine/>
    <w:uiPriority w:val="39"/>
    <w:semiHidden/>
    <w:rsid w:val="00C1618B"/>
    <w:pPr>
      <w:ind w:left="1200"/>
    </w:pPr>
  </w:style>
  <w:style w:type="paragraph" w:styleId="TOC7">
    <w:name w:val="toc 7"/>
    <w:basedOn w:val="Normal"/>
    <w:next w:val="Normal"/>
    <w:autoRedefine/>
    <w:uiPriority w:val="39"/>
    <w:semiHidden/>
    <w:rsid w:val="00C1618B"/>
    <w:pPr>
      <w:ind w:left="1440"/>
    </w:pPr>
  </w:style>
  <w:style w:type="paragraph" w:styleId="TOC8">
    <w:name w:val="toc 8"/>
    <w:basedOn w:val="Normal"/>
    <w:next w:val="Normal"/>
    <w:autoRedefine/>
    <w:uiPriority w:val="39"/>
    <w:semiHidden/>
    <w:rsid w:val="00C1618B"/>
    <w:pPr>
      <w:ind w:left="1680"/>
    </w:pPr>
  </w:style>
  <w:style w:type="paragraph" w:styleId="TOC9">
    <w:name w:val="toc 9"/>
    <w:basedOn w:val="Normal"/>
    <w:next w:val="Normal"/>
    <w:autoRedefine/>
    <w:uiPriority w:val="39"/>
    <w:semiHidden/>
    <w:rsid w:val="00C1618B"/>
    <w:pPr>
      <w:ind w:left="1920"/>
    </w:pPr>
  </w:style>
  <w:style w:type="character" w:styleId="Hyperlink">
    <w:name w:val="Hyperlink"/>
    <w:basedOn w:val="DefaultParagraphFont"/>
    <w:uiPriority w:val="99"/>
    <w:semiHidden/>
    <w:rsid w:val="00C1618B"/>
    <w:rPr>
      <w:rFonts w:cs="Times New Roman"/>
      <w:color w:val="0000FF"/>
      <w:u w:val="single"/>
    </w:rPr>
  </w:style>
  <w:style w:type="paragraph" w:styleId="BodyTextIndent">
    <w:name w:val="Body Text Indent"/>
    <w:basedOn w:val="Normal"/>
    <w:link w:val="BodyTextIndentChar"/>
    <w:uiPriority w:val="99"/>
    <w:semiHidden/>
    <w:rsid w:val="00C1618B"/>
    <w:pPr>
      <w:spacing w:before="120" w:after="60"/>
      <w:ind w:left="709"/>
    </w:pPr>
  </w:style>
  <w:style w:type="character" w:customStyle="1" w:styleId="BodyTextIndentChar">
    <w:name w:val="Body Text Indent Char"/>
    <w:basedOn w:val="DefaultParagraphFont"/>
    <w:link w:val="BodyTextIndent"/>
    <w:uiPriority w:val="99"/>
    <w:semiHidden/>
    <w:rPr>
      <w:rFonts w:cs="Times New Roman"/>
      <w:sz w:val="24"/>
      <w:lang w:val="x-none" w:eastAsia="en-US"/>
    </w:r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uiPriority w:val="99"/>
    <w:semiHidden/>
    <w:rsid w:val="00C1618B"/>
    <w:rPr>
      <w:rFonts w:cs="Times New Roman"/>
      <w:color w:val="800080"/>
      <w:u w:val="single"/>
    </w:rPr>
  </w:style>
  <w:style w:type="character" w:styleId="FootnoteReference">
    <w:name w:val="footnote reference"/>
    <w:basedOn w:val="DefaultParagraphFont"/>
    <w:uiPriority w:val="99"/>
    <w:semiHidden/>
    <w:rsid w:val="00C1618B"/>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C1618B"/>
    <w:pPr>
      <w:spacing w:before="80" w:after="60"/>
      <w:jc w:val="both"/>
    </w:pPr>
    <w:rPr>
      <w:szCs w:val="24"/>
    </w:rPr>
  </w:style>
  <w:style w:type="character" w:customStyle="1" w:styleId="FootnoteTextChar">
    <w:name w:val="Footnote Text Char"/>
    <w:basedOn w:val="DefaultParagraphFont"/>
    <w:link w:val="FootnoteText"/>
    <w:uiPriority w:val="99"/>
    <w:semiHidden/>
    <w:rPr>
      <w:rFonts w:cs="Times New Roman"/>
      <w:lang w:val="x-none" w:eastAsia="en-US"/>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rPr>
      <w:rFonts w:cs="Times New Roman"/>
    </w:rPr>
  </w:style>
  <w:style w:type="paragraph" w:styleId="ListParagraph">
    <w:name w:val="List Paragraph"/>
    <w:basedOn w:val="Normal"/>
    <w:uiPriority w:val="34"/>
    <w:qFormat/>
    <w:rsid w:val="00304367"/>
    <w:pPr>
      <w:ind w:left="720"/>
      <w:contextualSpacing/>
    </w:pPr>
  </w:style>
  <w:style w:type="paragraph" w:styleId="BalloonText">
    <w:name w:val="Balloon Text"/>
    <w:basedOn w:val="Normal"/>
    <w:link w:val="BalloonTextChar"/>
    <w:uiPriority w:val="99"/>
    <w:semiHidden/>
    <w:unhideWhenUsed/>
    <w:rsid w:val="00C806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674"/>
    <w:rPr>
      <w:rFonts w:ascii="Tahoma" w:hAnsi="Tahoma" w:cs="Tahoma"/>
      <w:sz w:val="16"/>
      <w:szCs w:val="16"/>
      <w:lang w:val="x-none" w:eastAsia="en-US"/>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rPr>
      <w:sz w:val="16"/>
      <w:szCs w:val="16"/>
    </w:rPr>
  </w:style>
  <w:style w:type="paragraph" w:styleId="Revision">
    <w:name w:val="Revision"/>
    <w:hidden/>
    <w:uiPriority w:val="99"/>
    <w:semiHidden/>
    <w:rsid w:val="009754F0"/>
    <w:rPr>
      <w:sz w:val="24"/>
      <w:lang w:eastAsia="en-US"/>
    </w:rPr>
  </w:style>
  <w:style w:type="paragraph" w:styleId="CommentSubject">
    <w:name w:val="annotation subject"/>
    <w:basedOn w:val="CommentText"/>
    <w:next w:val="CommentText"/>
    <w:link w:val="CommentSubjectChar"/>
    <w:uiPriority w:val="99"/>
    <w:rsid w:val="008D5C34"/>
    <w:rPr>
      <w:b/>
      <w:bCs/>
    </w:rPr>
  </w:style>
  <w:style w:type="character" w:customStyle="1" w:styleId="CommentSubjectChar">
    <w:name w:val="Comment Subject Char"/>
    <w:basedOn w:val="CommentTextChar"/>
    <w:link w:val="CommentSubject"/>
    <w:uiPriority w:val="99"/>
    <w:rsid w:val="008D5C3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missionDate xmlns="0b8ecd65-cb64-458a-b938-130638f03c6d" xsi:nil="true"/>
    <Datereceived xmlns="0b8ecd65-cb64-458a-b938-130638f03c6d" xsi:nil="true"/>
    <lcf76f155ced4ddcb4097134ff3c332f xmlns="0b8ecd65-cb64-458a-b938-130638f03c6d">
      <Terms xmlns="http://schemas.microsoft.com/office/infopath/2007/PartnerControls"/>
    </lcf76f155ced4ddcb4097134ff3c332f>
    <tesr xmlns="0b8ecd65-cb64-458a-b938-130638f03c6d" xsi:nil="true"/>
    <ResponseReceived xmlns="0b8ecd65-cb64-458a-b938-130638f03c6d">true</ResponseReceived>
    <Social xmlns="0b8ecd65-cb64-458a-b938-130638f03c6d" xsi:nil="true"/>
    <DateCOFsemailed xmlns="0b8ecd65-cb64-458a-b938-130638f03c6d" xsi:nil="true"/>
    <Committee xmlns="0b8ecd65-cb64-458a-b938-130638f03c6d" xsi:nil="true"/>
    <Conductcheck xmlns="0b8ecd65-cb64-458a-b938-130638f03c6d" xsi:nil="true"/>
    <SolicitorResponseDue xmlns="0b8ecd65-cb64-458a-b938-130638f03c6d" xsi:nil="true"/>
    <Approvedby xmlns="0b8ecd65-cb64-458a-b938-130638f03c6d" xsi:nil="true"/>
    <Progress xmlns="0b8ecd65-cb64-458a-b938-130638f03c6d" xsi:nil="true"/>
    <COF_x002f_CPDEXNStatus xmlns="0b8ecd65-cb64-458a-b938-130638f03c6d" xsi:nil="true"/>
    <TaxCatchAll xmlns="209bc202-b6bb-43a5-868f-07f45dd17d58" xsi:nil="true"/>
    <Status xmlns="0b8ecd65-cb64-458a-b938-130638f03c6d" xsi:nil="true"/>
    <DateofApproval xmlns="0b8ecd65-cb64-458a-b938-130638f03c6d" xsi:nil="true"/>
    <Notes xmlns="0b8ecd65-cb64-458a-b938-130638f03c6d" xsi:nil="true"/>
    <Month xmlns="0b8ecd65-cb64-458a-b938-130638f03c6d" xsi:nil="true"/>
    <DateandTime xmlns="0b8ecd65-cb64-458a-b938-130638f03c6d" xsi:nil="true"/>
    <FolderAccess xmlns="0b8ecd65-cb64-458a-b938-130638f03c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FD26276A744244ADC8F46CD07D24D7" ma:contentTypeVersion="44" ma:contentTypeDescription="Create a new document." ma:contentTypeScope="" ma:versionID="e77bab13211842d7b78046af9c6595c2">
  <xsd:schema xmlns:xsd="http://www.w3.org/2001/XMLSchema" xmlns:xs="http://www.w3.org/2001/XMLSchema" xmlns:p="http://schemas.microsoft.com/office/2006/metadata/properties" xmlns:ns2="209bc202-b6bb-43a5-868f-07f45dd17d58" xmlns:ns3="0b8ecd65-cb64-458a-b938-130638f03c6d" targetNamespace="http://schemas.microsoft.com/office/2006/metadata/properties" ma:root="true" ma:fieldsID="c6011991bdf24b22e0608cc73cd47099" ns2:_="" ns3:_="">
    <xsd:import namespace="209bc202-b6bb-43a5-868f-07f45dd17d58"/>
    <xsd:import namespace="0b8ecd65-cb64-458a-b938-130638f03c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Social" minOccurs="0"/>
                <xsd:element ref="ns3:MediaServiceOCR" minOccurs="0"/>
                <xsd:element ref="ns3:Month" minOccurs="0"/>
                <xsd:element ref="ns3:Committee" minOccurs="0"/>
                <xsd:element ref="ns3:MediaLengthInSeconds" minOccurs="0"/>
                <xsd:element ref="ns3:MediaServiceLocation" minOccurs="0"/>
                <xsd:element ref="ns3:Status" minOccurs="0"/>
                <xsd:element ref="ns3:tesr" minOccurs="0"/>
                <xsd:element ref="ns3:DateCOFsemailed" minOccurs="0"/>
                <xsd:element ref="ns3:Datereceived" minOccurs="0"/>
                <xsd:element ref="ns3:Notes" minOccurs="0"/>
                <xsd:element ref="ns3:MediaServiceObjectDetectorVersions" minOccurs="0"/>
                <xsd:element ref="ns3:Progress" minOccurs="0"/>
                <xsd:element ref="ns3:COF_x002f_CPDEXNStatus" minOccurs="0"/>
                <xsd:element ref="ns3:MediaServiceSearchProperties" minOccurs="0"/>
                <xsd:element ref="ns3:SolicitorResponseDue" minOccurs="0"/>
                <xsd:element ref="ns3:ResponseReceived" minOccurs="0"/>
                <xsd:element ref="ns3:Approvedby" minOccurs="0"/>
                <xsd:element ref="ns3:Conductcheck" minOccurs="0"/>
                <xsd:element ref="ns3:SubmissionDate" minOccurs="0"/>
                <xsd:element ref="ns3:DateofApproval" minOccurs="0"/>
                <xsd:element ref="ns3:FolderAccess" minOccurs="0"/>
                <xsd:element ref="ns3:Dateand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bc202-b6bb-43a5-868f-07f45dd17d58" elementFormDefault="qualified">
    <xsd:import namespace="http://schemas.microsoft.com/office/2006/documentManagement/types"/>
    <xsd:import namespace="http://schemas.microsoft.com/office/infopath/2007/PartnerControls"/>
    <xsd:element name="SharedWithUsers" ma:index="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401b7883-4cd8-4dcf-8547-6c80ee4bdc6e}" ma:internalName="TaxCatchAll" ma:readOnly="false" ma:showField="CatchAllData" ma:web="209bc202-b6bb-43a5-868f-07f45dd17d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8ecd65-cb64-458a-b938-130638f03c6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9574f9-e35b-4f83-b1ee-b8bcaaa79e8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Social" ma:index="18" nillable="true" ma:displayName="Event Type" ma:description="A tag for who is mainly running an event, both social and CPD" ma:format="Dropdown" ma:internalName="Social">
      <xsd:complexType>
        <xsd:complexContent>
          <xsd:extension base="dms:MultiChoice">
            <xsd:sequence>
              <xsd:element name="Value" maxOccurs="unbounded" minOccurs="0" nillable="true">
                <xsd:simpleType>
                  <xsd:restriction base="dms:Choice">
                    <xsd:enumeration value="ACT Law Society"/>
                    <xsd:enumeration value="Firm Requested Event"/>
                    <xsd:enumeration value="Committee"/>
                    <xsd:enumeration value="ACT Bar Association"/>
                  </xsd:restriction>
                </xsd:simpleType>
              </xsd:element>
            </xsd:sequence>
          </xsd:extension>
        </xsd:complexContent>
      </xsd:complexType>
    </xsd:element>
    <xsd:element name="MediaServiceOCR" ma:index="19" nillable="true" ma:displayName="Extracted Text" ma:internalName="MediaServiceOCR" ma:readOnly="true">
      <xsd:simpleType>
        <xsd:restriction base="dms:Note">
          <xsd:maxLength value="255"/>
        </xsd:restriction>
      </xsd:simpleType>
    </xsd:element>
    <xsd:element name="Month" ma:index="20" nillable="true" ma:displayName="Month" ma:description="Indicate what month of the year an event is in" ma:format="Dropdown" ma:internalName="Month">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Committee" ma:index="21" nillable="true" ma:displayName="Committee" ma:description="A choice of which committee is running/contributing to an event" ma:format="Dropdown" ma:internalName="Committee">
      <xsd:complexType>
        <xsd:complexContent>
          <xsd:extension base="dms:MultiChoice">
            <xsd:sequence>
              <xsd:element name="Value" maxOccurs="unbounded" minOccurs="0" nillable="true">
                <xsd:simpleType>
                  <xsd:restriction base="dms:Choice">
                    <xsd:enumeration value="Access to Justice and Inclusion"/>
                    <xsd:enumeration value="Alternative Dispute Resolution"/>
                    <xsd:enumeration value="Civil Litigation"/>
                    <xsd:enumeration value="Criminal Law"/>
                    <xsd:enumeration value="Elder Law and Succession Law"/>
                    <xsd:enumeration value="Employment Law"/>
                    <xsd:enumeration value="Family Law"/>
                    <xsd:enumeration value="Family Violence and Children"/>
                    <xsd:enumeration value="International Law"/>
                    <xsd:enumeration value="Legal Profession Act and Ethics"/>
                    <xsd:enumeration value="Military Law"/>
                    <xsd:enumeration value="Property Law"/>
                    <xsd:enumeration value="Government Law"/>
                    <xsd:enumeration value="New Lawyers"/>
                  </xsd:restriction>
                </xsd:simple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Status" ma:format="Dropdown" ma:internalName="Status">
      <xsd:simpleType>
        <xsd:restriction base="dms:Choice">
          <xsd:enumeration value="In Progress"/>
          <xsd:enumeration value="Completed"/>
          <xsd:enumeration value="To Monitor"/>
        </xsd:restriction>
      </xsd:simpleType>
    </xsd:element>
    <xsd:element name="tesr" ma:index="25" nillable="true" ma:displayName="Date of approval" ma:format="DateOnly" ma:internalName="tesr">
      <xsd:simpleType>
        <xsd:restriction base="dms:DateTime"/>
      </xsd:simpleType>
    </xsd:element>
    <xsd:element name="DateCOFsemailed" ma:index="26" nillable="true" ma:displayName="Date COFs/letters emailed" ma:format="Dropdown" ma:internalName="DateCOFsemailed">
      <xsd:simpleType>
        <xsd:restriction base="dms:Text">
          <xsd:maxLength value="255"/>
        </xsd:restriction>
      </xsd:simpleType>
    </xsd:element>
    <xsd:element name="Datereceived" ma:index="27" nillable="true" ma:displayName="Date Received" ma:format="DateOnly" ma:internalName="Datereceived">
      <xsd:simpleType>
        <xsd:restriction base="dms:DateTime"/>
      </xsd:simple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rogress" ma:index="30" nillable="true" ma:displayName="Progress" ma:format="Dropdown" ma:internalName="Progress">
      <xsd:simpleType>
        <xsd:restriction base="dms:Choice">
          <xsd:enumeration value="In Progress"/>
          <xsd:enumeration value="Complete"/>
        </xsd:restriction>
      </xsd:simpleType>
    </xsd:element>
    <xsd:element name="COF_x002f_CPDEXNStatus" ma:index="31" nillable="true" ma:displayName="COF/CPD EXN Status" ma:format="Dropdown" ma:internalName="COF_x002f_CPDEXNStatus">
      <xsd:complexType>
        <xsd:complexContent>
          <xsd:extension base="dms:MultiChoice">
            <xsd:sequence>
              <xsd:element name="Value" maxOccurs="unbounded" minOccurs="0" nillable="true">
                <xsd:simpleType>
                  <xsd:restriction base="dms:Choice">
                    <xsd:enumeration value="Approved"/>
                    <xsd:enumeration value="Pending approval"/>
                    <xsd:enumeration value="Hold issue"/>
                    <xsd:enumeration value="Hold for PS check"/>
                    <xsd:enumeration value="Urgent"/>
                  </xsd:restriction>
                </xsd:simpleType>
              </xsd:element>
            </xsd:sequence>
          </xsd:extension>
        </xsd:complexContent>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SolicitorResponseDue" ma:index="33" nillable="true" ma:displayName="Solicitor Response Due" ma:format="DateOnly" ma:internalName="SolicitorResponseDue">
      <xsd:simpleType>
        <xsd:restriction base="dms:DateTime"/>
      </xsd:simpleType>
    </xsd:element>
    <xsd:element name="ResponseReceived" ma:index="34" nillable="true" ma:displayName="Response Received" ma:default="1" ma:format="Dropdown" ma:internalName="ResponseReceived">
      <xsd:simpleType>
        <xsd:restriction base="dms:Boolean"/>
      </xsd:simpleType>
    </xsd:element>
    <xsd:element name="Approvedby" ma:index="35" nillable="true" ma:displayName="Approved by" ma:format="Dropdown" ma:internalName="Approvedby">
      <xsd:simpleType>
        <xsd:restriction base="dms:Text">
          <xsd:maxLength value="255"/>
        </xsd:restriction>
      </xsd:simpleType>
    </xsd:element>
    <xsd:element name="Conductcheck" ma:index="36" nillable="true" ma:displayName="Conduct check" ma:format="Dropdown" ma:internalName="Conductcheck">
      <xsd:simpleType>
        <xsd:restriction base="dms:Text">
          <xsd:maxLength value="255"/>
        </xsd:restriction>
      </xsd:simpleType>
    </xsd:element>
    <xsd:element name="SubmissionDate" ma:index="37" nillable="true" ma:displayName="Submission Date" ma:format="DateOnly" ma:internalName="SubmissionDate">
      <xsd:simpleType>
        <xsd:restriction base="dms:DateTime"/>
      </xsd:simpleType>
    </xsd:element>
    <xsd:element name="DateofApproval" ma:index="38" nillable="true" ma:displayName="Date of Approval" ma:format="Dropdown" ma:internalName="DateofApproval">
      <xsd:simpleType>
        <xsd:restriction base="dms:Text">
          <xsd:maxLength value="255"/>
        </xsd:restriction>
      </xsd:simpleType>
    </xsd:element>
    <xsd:element name="FolderAccess" ma:index="39" nillable="true" ma:displayName="Folder Access" ma:format="Dropdown" ma:internalName="FolderAccess">
      <xsd:simpleType>
        <xsd:restriction base="dms:Text">
          <xsd:maxLength value="255"/>
        </xsd:restriction>
      </xsd:simpleType>
    </xsd:element>
    <xsd:element name="DateandTime" ma:index="40" nillable="true" ma:displayName="Date and Time" ma:format="DateTime" ma:internalName="DateandTime">
      <xsd:simpleType>
        <xsd:restriction base="dms:DateTim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9EAE2-3E13-4EB2-ACE9-CA66A3FF1B81}">
  <ds:schemaRefs>
    <ds:schemaRef ds:uri="http://schemas.openxmlformats.org/officeDocument/2006/bibliography"/>
  </ds:schemaRefs>
</ds:datastoreItem>
</file>

<file path=customXml/itemProps2.xml><?xml version="1.0" encoding="utf-8"?>
<ds:datastoreItem xmlns:ds="http://schemas.openxmlformats.org/officeDocument/2006/customXml" ds:itemID="{621915EB-09C1-449E-91AF-E7DFFC149E01}">
  <ds:schemaRefs>
    <ds:schemaRef ds:uri="http://schemas.microsoft.com/office/2006/metadata/properties"/>
    <ds:schemaRef ds:uri="http://schemas.microsoft.com/office/infopath/2007/PartnerControls"/>
    <ds:schemaRef ds:uri="0b8ecd65-cb64-458a-b938-130638f03c6d"/>
    <ds:schemaRef ds:uri="209bc202-b6bb-43a5-868f-07f45dd17d58"/>
  </ds:schemaRefs>
</ds:datastoreItem>
</file>

<file path=customXml/itemProps3.xml><?xml version="1.0" encoding="utf-8"?>
<ds:datastoreItem xmlns:ds="http://schemas.openxmlformats.org/officeDocument/2006/customXml" ds:itemID="{0C1EF805-DAAC-41EF-92F5-17ADA6222BCB}">
  <ds:schemaRefs>
    <ds:schemaRef ds:uri="http://schemas.microsoft.com/sharepoint/v3/contenttype/forms"/>
  </ds:schemaRefs>
</ds:datastoreItem>
</file>

<file path=customXml/itemProps4.xml><?xml version="1.0" encoding="utf-8"?>
<ds:datastoreItem xmlns:ds="http://schemas.openxmlformats.org/officeDocument/2006/customXml" ds:itemID="{12D9BE7C-ABB5-4BF3-8887-E60CA4DD5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bc202-b6bb-43a5-868f-07f45dd17d58"/>
    <ds:schemaRef ds:uri="0b8ecd65-cb64-458a-b938-130638f03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1491</Words>
  <Characters>8605</Characters>
  <Application>Microsoft Office Word</Application>
  <DocSecurity>0</DocSecurity>
  <Lines>196</Lines>
  <Paragraphs>63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2015-11-17T01:32:00Z</cp:lastPrinted>
  <dcterms:created xsi:type="dcterms:W3CDTF">2026-06-19T04:15:00Z</dcterms:created>
  <dcterms:modified xsi:type="dcterms:W3CDTF">2026-06-19T04:15:00Z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0x01010023FD26276A744244ADC8F46CD07D24D7</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2026-06-19T04:09:19Z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3f694da1-7db4-45bc-b23c-a4fb62ee2677</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