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96B2" w14:textId="2A032066" w:rsidR="00C17FAB" w:rsidRPr="00520F36" w:rsidRDefault="000A0CDA" w:rsidP="006F4177">
      <w:pPr>
        <w:spacing w:before="120"/>
        <w:outlineLvl w:val="0"/>
        <w:rPr>
          <w:rFonts w:ascii="Arial" w:hAnsi="Arial" w:cs="Arial"/>
        </w:rPr>
      </w:pPr>
      <w:bookmarkStart w:id="0" w:name="_Toc44738651"/>
      <w:r>
        <w:rPr>
          <w:rFonts w:ascii="Arial" w:hAnsi="Arial" w:cs="Arial"/>
        </w:rPr>
        <w:t>A</w:t>
      </w:r>
      <w:r w:rsidR="00C17FAB" w:rsidRPr="00520F36">
        <w:rPr>
          <w:rFonts w:ascii="Arial" w:hAnsi="Arial" w:cs="Arial"/>
        </w:rPr>
        <w:t>ustralian Capital Territory</w:t>
      </w:r>
    </w:p>
    <w:p w14:paraId="68B7223F" w14:textId="23725B3A" w:rsidR="00C17FAB" w:rsidRPr="00520F36" w:rsidRDefault="00867840">
      <w:pPr>
        <w:pStyle w:val="Billname"/>
        <w:spacing w:before="700"/>
      </w:pPr>
      <w:r>
        <w:t>Duties</w:t>
      </w:r>
      <w:r w:rsidR="00FD75CE" w:rsidRPr="00520F36">
        <w:t xml:space="preserve"> (</w:t>
      </w:r>
      <w:r w:rsidR="00BD2818">
        <w:t xml:space="preserve">Pensioner </w:t>
      </w:r>
      <w:r w:rsidR="003B128C">
        <w:t xml:space="preserve">Duty Deferral </w:t>
      </w:r>
      <w:r w:rsidR="00BD2818">
        <w:t>Scheme</w:t>
      </w:r>
      <w:r w:rsidR="00BD2818" w:rsidRPr="001554AB">
        <w:t xml:space="preserve">) </w:t>
      </w:r>
      <w:r>
        <w:t>Determination</w:t>
      </w:r>
      <w:r w:rsidRPr="001554AB">
        <w:t xml:space="preserve"> </w:t>
      </w:r>
      <w:r w:rsidR="00EE2330" w:rsidRPr="001554AB">
        <w:t>20</w:t>
      </w:r>
      <w:r w:rsidR="00EE2330">
        <w:t>26</w:t>
      </w:r>
    </w:p>
    <w:p w14:paraId="54A9C731" w14:textId="3EE6A4FF" w:rsidR="00C17FAB" w:rsidRPr="00520F36" w:rsidRDefault="00D36662" w:rsidP="006F4177">
      <w:pPr>
        <w:spacing w:before="340"/>
        <w:outlineLvl w:val="0"/>
        <w:rPr>
          <w:rFonts w:ascii="Arial" w:hAnsi="Arial" w:cs="Arial"/>
          <w:b/>
          <w:bCs/>
        </w:rPr>
      </w:pPr>
      <w:r w:rsidRPr="00520F36">
        <w:rPr>
          <w:rFonts w:ascii="Arial" w:hAnsi="Arial" w:cs="Arial"/>
          <w:b/>
          <w:bCs/>
        </w:rPr>
        <w:t>Disallowable</w:t>
      </w:r>
      <w:r w:rsidR="002D7C60" w:rsidRPr="00520F36">
        <w:rPr>
          <w:rFonts w:ascii="Arial" w:hAnsi="Arial" w:cs="Arial"/>
          <w:b/>
          <w:bCs/>
        </w:rPr>
        <w:t xml:space="preserve"> instrument </w:t>
      </w:r>
      <w:r w:rsidR="00EE2330" w:rsidRPr="00520F36">
        <w:rPr>
          <w:rFonts w:ascii="Arial" w:hAnsi="Arial" w:cs="Arial"/>
          <w:b/>
          <w:bCs/>
        </w:rPr>
        <w:t>DI20</w:t>
      </w:r>
      <w:r w:rsidR="00EE2330">
        <w:rPr>
          <w:rFonts w:ascii="Arial" w:hAnsi="Arial" w:cs="Arial"/>
          <w:b/>
          <w:bCs/>
        </w:rPr>
        <w:t>26</w:t>
      </w:r>
      <w:r w:rsidR="00C17FAB" w:rsidRPr="00520F36">
        <w:rPr>
          <w:rFonts w:ascii="Arial" w:hAnsi="Arial" w:cs="Arial"/>
          <w:b/>
          <w:bCs/>
        </w:rPr>
        <w:t>–</w:t>
      </w:r>
      <w:r w:rsidR="001B357A">
        <w:rPr>
          <w:rFonts w:ascii="Arial" w:hAnsi="Arial" w:cs="Arial"/>
          <w:b/>
          <w:bCs/>
        </w:rPr>
        <w:t>141</w:t>
      </w:r>
    </w:p>
    <w:p w14:paraId="104B89C1" w14:textId="77777777" w:rsidR="00C17FAB" w:rsidRPr="00520F36" w:rsidRDefault="00C17FAB" w:rsidP="00DA3B00">
      <w:pPr>
        <w:pStyle w:val="madeunder"/>
        <w:spacing w:before="300" w:after="0"/>
      </w:pPr>
      <w:r w:rsidRPr="00520F36">
        <w:t xml:space="preserve">made under the  </w:t>
      </w:r>
    </w:p>
    <w:p w14:paraId="105E2A94" w14:textId="77777777" w:rsidR="00867840" w:rsidRPr="001554AB" w:rsidRDefault="00867840" w:rsidP="00867840">
      <w:pPr>
        <w:pStyle w:val="CoverActName"/>
        <w:spacing w:before="320" w:after="0"/>
        <w:outlineLvl w:val="0"/>
        <w:rPr>
          <w:rFonts w:cs="Arial"/>
          <w:sz w:val="20"/>
        </w:rPr>
      </w:pPr>
      <w:r>
        <w:rPr>
          <w:rFonts w:cs="Arial"/>
          <w:i/>
          <w:sz w:val="20"/>
        </w:rPr>
        <w:t>Duties</w:t>
      </w:r>
      <w:r w:rsidRPr="001554AB">
        <w:rPr>
          <w:rFonts w:cs="Arial"/>
          <w:i/>
          <w:sz w:val="20"/>
        </w:rPr>
        <w:t xml:space="preserve"> Act 1999</w:t>
      </w:r>
      <w:r w:rsidRPr="001554AB">
        <w:rPr>
          <w:rFonts w:cs="Arial"/>
          <w:sz w:val="20"/>
        </w:rPr>
        <w:t xml:space="preserve">, s </w:t>
      </w:r>
      <w:r>
        <w:rPr>
          <w:rFonts w:cs="Arial"/>
          <w:sz w:val="20"/>
        </w:rPr>
        <w:t>75AG</w:t>
      </w:r>
      <w:r w:rsidRPr="001554AB">
        <w:rPr>
          <w:rFonts w:cs="Arial"/>
          <w:sz w:val="20"/>
        </w:rPr>
        <w:t xml:space="preserve"> (</w:t>
      </w:r>
      <w:r>
        <w:rPr>
          <w:rFonts w:cs="Arial"/>
          <w:sz w:val="20"/>
        </w:rPr>
        <w:t>Duty deferral schemes</w:t>
      </w:r>
      <w:r w:rsidRPr="00115492">
        <w:rPr>
          <w:rFonts w:cs="Arial"/>
          <w:sz w:val="20"/>
        </w:rPr>
        <w:t>—determination</w:t>
      </w:r>
      <w:r w:rsidRPr="001554AB">
        <w:rPr>
          <w:rFonts w:cs="Arial"/>
          <w:sz w:val="20"/>
        </w:rPr>
        <w:t>)</w:t>
      </w:r>
    </w:p>
    <w:p w14:paraId="709CE081" w14:textId="77777777" w:rsidR="00C17FAB" w:rsidRPr="00520F36" w:rsidRDefault="00C17FAB" w:rsidP="005F4557">
      <w:pPr>
        <w:pStyle w:val="CoverActName"/>
        <w:spacing w:before="320" w:after="0"/>
        <w:outlineLvl w:val="0"/>
        <w:rPr>
          <w:rFonts w:cs="Arial"/>
          <w:bCs/>
          <w:sz w:val="28"/>
          <w:szCs w:val="28"/>
        </w:rPr>
      </w:pPr>
      <w:r w:rsidRPr="00520F36">
        <w:rPr>
          <w:rFonts w:cs="Arial"/>
          <w:bCs/>
          <w:sz w:val="28"/>
          <w:szCs w:val="28"/>
        </w:rPr>
        <w:t>EXPLANATORY STATEMENT</w:t>
      </w:r>
    </w:p>
    <w:p w14:paraId="4D5D9E49" w14:textId="77777777" w:rsidR="00C17FAB" w:rsidRPr="00520F36" w:rsidRDefault="00C17FAB">
      <w:pPr>
        <w:pStyle w:val="N-line3"/>
        <w:pBdr>
          <w:bottom w:val="none" w:sz="0" w:space="0" w:color="auto"/>
        </w:pBdr>
      </w:pPr>
    </w:p>
    <w:p w14:paraId="1B8E463D" w14:textId="77777777" w:rsidR="00C17FAB" w:rsidRPr="00520F36" w:rsidRDefault="00C17FAB">
      <w:pPr>
        <w:pStyle w:val="N-line3"/>
        <w:pBdr>
          <w:top w:val="single" w:sz="12" w:space="1" w:color="auto"/>
          <w:bottom w:val="none" w:sz="0" w:space="0" w:color="auto"/>
        </w:pBdr>
      </w:pPr>
    </w:p>
    <w:bookmarkEnd w:id="0"/>
    <w:p w14:paraId="3C296555" w14:textId="77777777" w:rsidR="00C07E4C" w:rsidRPr="00695278" w:rsidRDefault="00C07E4C" w:rsidP="00695278">
      <w:pPr>
        <w:keepNext/>
        <w:rPr>
          <w:rFonts w:ascii="Arial" w:hAnsi="Arial" w:cs="Arial"/>
          <w:b/>
          <w:sz w:val="26"/>
          <w:szCs w:val="26"/>
        </w:rPr>
      </w:pPr>
      <w:r w:rsidRPr="00695278">
        <w:rPr>
          <w:rFonts w:ascii="Arial" w:hAnsi="Arial" w:cs="Arial"/>
          <w:b/>
          <w:sz w:val="26"/>
          <w:szCs w:val="26"/>
        </w:rPr>
        <w:t>Background</w:t>
      </w:r>
    </w:p>
    <w:p w14:paraId="1B21392F" w14:textId="77777777" w:rsidR="00C07E4C" w:rsidRPr="00695278" w:rsidRDefault="00C07E4C" w:rsidP="00C07E4C">
      <w:pPr>
        <w:rPr>
          <w:szCs w:val="24"/>
        </w:rPr>
      </w:pPr>
    </w:p>
    <w:p w14:paraId="4AEBCC6B" w14:textId="225E99A6" w:rsidR="006F11E7" w:rsidRDefault="00B31B03" w:rsidP="00C77D03">
      <w:r>
        <w:t>D</w:t>
      </w:r>
      <w:r w:rsidR="006F11E7">
        <w:t xml:space="preserve">uty is </w:t>
      </w:r>
      <w:r>
        <w:t xml:space="preserve">ordinarily </w:t>
      </w:r>
      <w:r w:rsidR="006F11E7">
        <w:t xml:space="preserve">payable </w:t>
      </w:r>
      <w:r w:rsidR="008275AD">
        <w:t>at</w:t>
      </w:r>
      <w:r w:rsidR="007659B0">
        <w:t xml:space="preserve"> the times tabled in section 16 of the </w:t>
      </w:r>
      <w:r w:rsidR="007659B0" w:rsidRPr="007659B0">
        <w:rPr>
          <w:i/>
        </w:rPr>
        <w:t>Duties Act 1999</w:t>
      </w:r>
      <w:r w:rsidR="007659B0">
        <w:t xml:space="preserve"> (</w:t>
      </w:r>
      <w:r w:rsidR="007659B0" w:rsidRPr="002C2001">
        <w:t>the Duties Act</w:t>
      </w:r>
      <w:r w:rsidR="007659B0">
        <w:t xml:space="preserve">). </w:t>
      </w:r>
      <w:r w:rsidR="007659B0" w:rsidRPr="00E215B9">
        <w:t xml:space="preserve">For example, duty becomes payable on a transfer of dutiable property when the transfer is registered with the Registrar-General under the </w:t>
      </w:r>
      <w:r w:rsidR="007659B0" w:rsidRPr="00E215B9">
        <w:rPr>
          <w:i/>
        </w:rPr>
        <w:t>Land Titles Act 1925</w:t>
      </w:r>
      <w:r w:rsidR="007659B0" w:rsidRPr="00E215B9">
        <w:t>.</w:t>
      </w:r>
      <w:r w:rsidR="007659B0">
        <w:t xml:space="preserve"> </w:t>
      </w:r>
    </w:p>
    <w:p w14:paraId="530DFA83" w14:textId="77777777" w:rsidR="007659B0" w:rsidRDefault="007659B0" w:rsidP="00C77D03"/>
    <w:p w14:paraId="7078C786" w14:textId="35C27BD7" w:rsidR="00A104AD" w:rsidRDefault="00B31B03" w:rsidP="007659B0">
      <w:r>
        <w:t xml:space="preserve">Under Division 2.6A.2 of the Duties Act, the Minister may determine a scheme for deferring duty. </w:t>
      </w:r>
    </w:p>
    <w:p w14:paraId="4DB16379" w14:textId="77777777" w:rsidR="00A104AD" w:rsidRDefault="00A104AD" w:rsidP="007659B0"/>
    <w:p w14:paraId="65FCF4B9" w14:textId="439C5C92" w:rsidR="00916960" w:rsidRPr="00695278" w:rsidRDefault="00916960" w:rsidP="00695278">
      <w:pPr>
        <w:keepNext/>
        <w:rPr>
          <w:rFonts w:ascii="Arial" w:hAnsi="Arial" w:cs="Arial"/>
          <w:b/>
          <w:sz w:val="26"/>
          <w:szCs w:val="26"/>
        </w:rPr>
      </w:pPr>
      <w:r w:rsidRPr="00695278">
        <w:rPr>
          <w:rFonts w:ascii="Arial" w:hAnsi="Arial" w:cs="Arial"/>
          <w:b/>
          <w:sz w:val="26"/>
          <w:szCs w:val="26"/>
        </w:rPr>
        <w:t>Pensioner Duty Deferral Scheme</w:t>
      </w:r>
    </w:p>
    <w:p w14:paraId="08FE7321" w14:textId="77777777" w:rsidR="00916960" w:rsidRDefault="00916960" w:rsidP="003B128C"/>
    <w:p w14:paraId="6CB70EB0" w14:textId="5A3A261E" w:rsidR="000F77A6" w:rsidRDefault="00E215B9" w:rsidP="003B128C">
      <w:r>
        <w:t>T</w:t>
      </w:r>
      <w:r w:rsidR="00B31B03">
        <w:t xml:space="preserve">he </w:t>
      </w:r>
      <w:r w:rsidR="00B31B03" w:rsidRPr="004F4D09">
        <w:rPr>
          <w:i/>
          <w:iCs/>
        </w:rPr>
        <w:t>Duties (Pensioner Duty Deferral Scheme) Determination 202</w:t>
      </w:r>
      <w:r w:rsidR="00277051">
        <w:rPr>
          <w:i/>
          <w:iCs/>
        </w:rPr>
        <w:t>6</w:t>
      </w:r>
      <w:r w:rsidR="00B31B03">
        <w:t xml:space="preserve"> (</w:t>
      </w:r>
      <w:r w:rsidR="00B31B03" w:rsidRPr="002C2001">
        <w:t>the Determination</w:t>
      </w:r>
      <w:r w:rsidR="00B31B03" w:rsidRPr="00E215B9">
        <w:t xml:space="preserve">) </w:t>
      </w:r>
      <w:r>
        <w:t>continues</w:t>
      </w:r>
      <w:r w:rsidR="00D66061" w:rsidRPr="00E215B9">
        <w:t xml:space="preserve"> </w:t>
      </w:r>
      <w:r w:rsidR="00703FF6" w:rsidRPr="00E215B9">
        <w:t>the Pensioner Duty Deferral Scheme</w:t>
      </w:r>
      <w:r w:rsidR="00600AC7" w:rsidRPr="00E215B9">
        <w:t xml:space="preserve"> </w:t>
      </w:r>
      <w:r w:rsidR="002E1706">
        <w:t xml:space="preserve">(PDDS) </w:t>
      </w:r>
      <w:r>
        <w:t>which provides the</w:t>
      </w:r>
      <w:r w:rsidR="004F4D09" w:rsidRPr="00E215B9">
        <w:t xml:space="preserve"> opportunity to defer the payment of duty to all pensioners acquiring a property as a principal place of residence.</w:t>
      </w:r>
    </w:p>
    <w:p w14:paraId="42A6262A" w14:textId="41E93864" w:rsidR="00E215B9" w:rsidRDefault="00E215B9" w:rsidP="003B128C"/>
    <w:p w14:paraId="74B76800" w14:textId="77777777" w:rsidR="00A007DF" w:rsidRPr="00BF77B3" w:rsidRDefault="00A007DF" w:rsidP="00A007DF">
      <w:pPr>
        <w:rPr>
          <w:rFonts w:ascii="Arial" w:hAnsi="Arial" w:cs="Arial"/>
          <w:b/>
          <w:sz w:val="26"/>
          <w:szCs w:val="26"/>
        </w:rPr>
      </w:pPr>
      <w:r w:rsidRPr="00BF77B3">
        <w:rPr>
          <w:rFonts w:ascii="Arial" w:hAnsi="Arial" w:cs="Arial"/>
          <w:b/>
          <w:sz w:val="26"/>
          <w:szCs w:val="26"/>
        </w:rPr>
        <w:t>Updates</w:t>
      </w:r>
    </w:p>
    <w:p w14:paraId="3B1DCE7F" w14:textId="77777777" w:rsidR="00A007DF" w:rsidRPr="00BF77B3" w:rsidRDefault="00A007DF" w:rsidP="00A007DF"/>
    <w:p w14:paraId="709F3293" w14:textId="40913C46" w:rsidR="00277051" w:rsidRDefault="00A007DF" w:rsidP="00A007DF">
      <w:r>
        <w:t>Th</w:t>
      </w:r>
      <w:r w:rsidR="000B33F9">
        <w:t>e</w:t>
      </w:r>
      <w:r>
        <w:t xml:space="preserve"> Determination </w:t>
      </w:r>
      <w:r w:rsidR="000B16EF">
        <w:t xml:space="preserve">commences on </w:t>
      </w:r>
      <w:r w:rsidR="00051BBC">
        <w:t>1 July 202</w:t>
      </w:r>
      <w:r w:rsidR="00277051">
        <w:t>6</w:t>
      </w:r>
      <w:r w:rsidR="000B16EF">
        <w:t xml:space="preserve"> and </w:t>
      </w:r>
      <w:r>
        <w:t xml:space="preserve">replaces the </w:t>
      </w:r>
      <w:r w:rsidRPr="00D10244">
        <w:rPr>
          <w:i/>
        </w:rPr>
        <w:t>Duties (Pensioner Duty Deferral Scheme) Determination 202</w:t>
      </w:r>
      <w:r w:rsidR="00277051">
        <w:rPr>
          <w:i/>
        </w:rPr>
        <w:t>4</w:t>
      </w:r>
      <w:r>
        <w:t>, DI202</w:t>
      </w:r>
      <w:r w:rsidR="00277051">
        <w:t>4</w:t>
      </w:r>
      <w:r>
        <w:t>-</w:t>
      </w:r>
      <w:r w:rsidR="00277051">
        <w:t>180</w:t>
      </w:r>
      <w:r>
        <w:t xml:space="preserve">. </w:t>
      </w:r>
      <w:bookmarkStart w:id="1" w:name="_Hlk148506649"/>
    </w:p>
    <w:p w14:paraId="37AC0793" w14:textId="77777777" w:rsidR="00277051" w:rsidRDefault="00277051" w:rsidP="00277051"/>
    <w:p w14:paraId="079B9B09" w14:textId="1CB03650" w:rsidR="008F1A46" w:rsidRPr="004B3ABF" w:rsidRDefault="008F1A46" w:rsidP="00277051">
      <w:pPr>
        <w:rPr>
          <w:i/>
          <w:iCs/>
          <w:u w:val="single"/>
        </w:rPr>
      </w:pPr>
      <w:r w:rsidRPr="00620BAD">
        <w:rPr>
          <w:i/>
          <w:iCs/>
          <w:u w:val="single"/>
        </w:rPr>
        <w:t>DVA Gold Card and Service Pensions</w:t>
      </w:r>
    </w:p>
    <w:p w14:paraId="5DAB5B02" w14:textId="77777777" w:rsidR="00277051" w:rsidRDefault="00277051" w:rsidP="00277051">
      <w:r>
        <w:t xml:space="preserve">The eligibility criteria have been expanded to include service pensions being an aged service pension, invalidity service pensions or partner service pension under the </w:t>
      </w:r>
      <w:r w:rsidRPr="007315EB">
        <w:rPr>
          <w:i/>
          <w:iCs/>
        </w:rPr>
        <w:t>Veterans’ Entitlements Act 1986</w:t>
      </w:r>
      <w:r>
        <w:t xml:space="preserve"> (Cwlth) (‘VE Act’); noting Part III of the VE Act explores the eligibility criteria for these service pensions. </w:t>
      </w:r>
    </w:p>
    <w:p w14:paraId="11CF35F2" w14:textId="77777777" w:rsidR="00277051" w:rsidRDefault="00277051" w:rsidP="00277051"/>
    <w:p w14:paraId="55552CB3" w14:textId="77777777" w:rsidR="00277051" w:rsidRDefault="00277051" w:rsidP="00277051">
      <w:pPr>
        <w:spacing w:before="140"/>
      </w:pPr>
      <w:r>
        <w:t xml:space="preserve">The general eligibility criteria are outlined below: </w:t>
      </w:r>
    </w:p>
    <w:p w14:paraId="3FA0BA2D" w14:textId="77777777" w:rsidR="00277051" w:rsidRDefault="00277051" w:rsidP="00277051">
      <w:pPr>
        <w:pStyle w:val="ListParagraph"/>
        <w:numPr>
          <w:ilvl w:val="0"/>
          <w:numId w:val="21"/>
        </w:numPr>
        <w:spacing w:before="140"/>
        <w:contextualSpacing w:val="0"/>
      </w:pPr>
      <w:r>
        <w:t xml:space="preserve">age service pension: </w:t>
      </w:r>
    </w:p>
    <w:p w14:paraId="14132073" w14:textId="77777777" w:rsidR="00277051" w:rsidRDefault="00277051" w:rsidP="00277051">
      <w:pPr>
        <w:pStyle w:val="ListParagraph"/>
        <w:numPr>
          <w:ilvl w:val="1"/>
          <w:numId w:val="21"/>
        </w:numPr>
        <w:spacing w:before="140"/>
        <w:contextualSpacing w:val="0"/>
      </w:pPr>
      <w:r>
        <w:t>a person must be a veteran;</w:t>
      </w:r>
    </w:p>
    <w:p w14:paraId="3CD095EC" w14:textId="77777777" w:rsidR="00277051" w:rsidRDefault="00277051" w:rsidP="00277051">
      <w:pPr>
        <w:pStyle w:val="ListParagraph"/>
        <w:numPr>
          <w:ilvl w:val="1"/>
          <w:numId w:val="21"/>
        </w:numPr>
        <w:spacing w:before="140"/>
        <w:contextualSpacing w:val="0"/>
      </w:pPr>
      <w:r>
        <w:lastRenderedPageBreak/>
        <w:t xml:space="preserve">have rendered qualifying service; and </w:t>
      </w:r>
    </w:p>
    <w:p w14:paraId="291456C7" w14:textId="77777777" w:rsidR="00277051" w:rsidRDefault="00277051" w:rsidP="00277051">
      <w:pPr>
        <w:pStyle w:val="ListParagraph"/>
        <w:numPr>
          <w:ilvl w:val="1"/>
          <w:numId w:val="21"/>
        </w:numPr>
        <w:spacing w:before="140"/>
        <w:contextualSpacing w:val="0"/>
      </w:pPr>
      <w:r>
        <w:t xml:space="preserve">reached the pension age of 60 years old. </w:t>
      </w:r>
    </w:p>
    <w:p w14:paraId="0C51D42E" w14:textId="77777777" w:rsidR="00277051" w:rsidRDefault="00277051" w:rsidP="00277051">
      <w:pPr>
        <w:pStyle w:val="ListParagraph"/>
        <w:numPr>
          <w:ilvl w:val="0"/>
          <w:numId w:val="21"/>
        </w:numPr>
        <w:spacing w:before="140"/>
        <w:contextualSpacing w:val="0"/>
      </w:pPr>
      <w:r>
        <w:t>invalidity service pension</w:t>
      </w:r>
    </w:p>
    <w:p w14:paraId="3A45B1EB" w14:textId="77777777" w:rsidR="00277051" w:rsidRDefault="00277051" w:rsidP="00277051">
      <w:pPr>
        <w:pStyle w:val="ListParagraph"/>
        <w:numPr>
          <w:ilvl w:val="1"/>
          <w:numId w:val="21"/>
        </w:numPr>
        <w:spacing w:before="140"/>
        <w:contextualSpacing w:val="0"/>
      </w:pPr>
      <w:r>
        <w:t xml:space="preserve">a person must be a veteran; </w:t>
      </w:r>
    </w:p>
    <w:p w14:paraId="1EC7499B" w14:textId="77777777" w:rsidR="00277051" w:rsidRDefault="00277051" w:rsidP="00277051">
      <w:pPr>
        <w:pStyle w:val="ListParagraph"/>
        <w:numPr>
          <w:ilvl w:val="1"/>
          <w:numId w:val="21"/>
        </w:numPr>
        <w:spacing w:before="140"/>
        <w:contextualSpacing w:val="0"/>
      </w:pPr>
      <w:r>
        <w:t xml:space="preserve">has rendered qualifying service; and </w:t>
      </w:r>
    </w:p>
    <w:p w14:paraId="5E5F92DA" w14:textId="77777777" w:rsidR="00277051" w:rsidRDefault="00277051" w:rsidP="00277051">
      <w:pPr>
        <w:pStyle w:val="ListParagraph"/>
        <w:numPr>
          <w:ilvl w:val="1"/>
          <w:numId w:val="21"/>
        </w:numPr>
        <w:spacing w:before="140"/>
        <w:contextualSpacing w:val="0"/>
      </w:pPr>
      <w:r>
        <w:t xml:space="preserve">is permanently incapacitated for work in accordance with a determination under section 37AA of the VE Act. </w:t>
      </w:r>
    </w:p>
    <w:p w14:paraId="1391A358" w14:textId="77777777" w:rsidR="00277051" w:rsidRDefault="00277051" w:rsidP="00277051"/>
    <w:p w14:paraId="55341AE5" w14:textId="77777777" w:rsidR="00277051" w:rsidRDefault="00277051" w:rsidP="00277051">
      <w:r>
        <w:t xml:space="preserve">The eligibility for the partner service pension is much more varied. Generally, the person must be a member of a couple and their partner is a veteran receiving (or would receive if not for a disqualifying provision) the age service pension or the invalidity service pension. But the pension is also available in other circumstances if the veteran has passed away – refer to the Department of Veteran Affairs for further details. </w:t>
      </w:r>
    </w:p>
    <w:p w14:paraId="4AF8984F" w14:textId="77777777" w:rsidR="00277051" w:rsidRDefault="00277051" w:rsidP="00277051"/>
    <w:p w14:paraId="0187B9C7" w14:textId="35C359B4" w:rsidR="00A007DF" w:rsidRDefault="00277051" w:rsidP="00277051">
      <w:r>
        <w:t>The requirement for a transferee to have held a Veterans’ Affairs Gold Card for a continuous period of at least one year has been removed. In this instrument, it is sufficient that one transferee held a Veterans’ Affairs Gold Card on the transaction date.</w:t>
      </w:r>
    </w:p>
    <w:p w14:paraId="3A410060" w14:textId="77777777" w:rsidR="007A7CB4" w:rsidRDefault="007A7CB4" w:rsidP="00277051"/>
    <w:p w14:paraId="130B8BB9" w14:textId="77777777" w:rsidR="007A7CB4" w:rsidRPr="004B3ABF" w:rsidRDefault="007A7CB4" w:rsidP="007A7CB4">
      <w:pPr>
        <w:rPr>
          <w:i/>
          <w:iCs/>
          <w:u w:val="single"/>
        </w:rPr>
      </w:pPr>
      <w:r w:rsidRPr="004B3ABF">
        <w:rPr>
          <w:i/>
          <w:iCs/>
          <w:u w:val="single"/>
        </w:rPr>
        <w:t xml:space="preserve">Eligible home buyer </w:t>
      </w:r>
    </w:p>
    <w:p w14:paraId="3CFBFC3E" w14:textId="2ED6D956" w:rsidR="007A7CB4" w:rsidRDefault="007A7CB4" w:rsidP="007A7CB4">
      <w:r>
        <w:t xml:space="preserve">A specific definition of eligible home buyer has been included to remove any ambiguity that the </w:t>
      </w:r>
      <w:r w:rsidR="0064181A">
        <w:t>concession</w:t>
      </w:r>
      <w:r>
        <w:t xml:space="preserve"> is intended to benefit</w:t>
      </w:r>
      <w:r w:rsidR="00EB5146">
        <w:t xml:space="preserve"> only specific</w:t>
      </w:r>
      <w:r>
        <w:t xml:space="preserve"> individuals. An eligible home buyer </w:t>
      </w:r>
      <w:r w:rsidR="00EB5146">
        <w:t xml:space="preserve">must be </w:t>
      </w:r>
      <w:r>
        <w:t xml:space="preserve">an individual and does not include a company or any other instance where an individual acquires a property in another capacity, such as a trustee, partner in a partnership or as an agent. The </w:t>
      </w:r>
      <w:r w:rsidR="0064181A">
        <w:t>concession</w:t>
      </w:r>
      <w:r>
        <w:t xml:space="preserve"> is intended to benefit owner-occupiers. The definition of eligible transaction requires that a transferee is also an eligible home buyer. As a result, if an individual and a company sought to purchase the property as tenants in common, neither w</w:t>
      </w:r>
      <w:r w:rsidR="00EB5146">
        <w:t>ill</w:t>
      </w:r>
      <w:r>
        <w:t xml:space="preserve"> be eligible for the </w:t>
      </w:r>
      <w:r w:rsidR="0064181A">
        <w:t>concession</w:t>
      </w:r>
      <w:r>
        <w:t xml:space="preserve">. </w:t>
      </w:r>
    </w:p>
    <w:p w14:paraId="2A08ADAB" w14:textId="77777777" w:rsidR="007A7CB4" w:rsidRDefault="007A7CB4" w:rsidP="007A7CB4"/>
    <w:p w14:paraId="29FB361D" w14:textId="77777777" w:rsidR="007A7CB4" w:rsidRDefault="007A7CB4" w:rsidP="007A7CB4">
      <w:r>
        <w:t>An eligible home buyer must be 18 years of age. However, the Determination</w:t>
      </w:r>
      <w:r w:rsidRPr="006F5C06">
        <w:t xml:space="preserve"> gives the Commissioner the discretion to accept an eligible home buyer under 18 years of age if satisfied that it is fair and reasonable to do so.</w:t>
      </w:r>
    </w:p>
    <w:p w14:paraId="36DA6055" w14:textId="5635C49D" w:rsidR="007A7CB4" w:rsidRDefault="007A7CB4" w:rsidP="00277051"/>
    <w:p w14:paraId="6B069CBB" w14:textId="77777777" w:rsidR="006A0962" w:rsidRPr="00267AD9" w:rsidRDefault="006A0962" w:rsidP="006A0962">
      <w:pPr>
        <w:keepNext/>
        <w:rPr>
          <w:i/>
          <w:iCs/>
          <w:u w:val="single"/>
        </w:rPr>
      </w:pPr>
      <w:r w:rsidRPr="06C28001">
        <w:rPr>
          <w:i/>
          <w:iCs/>
          <w:u w:val="single"/>
        </w:rPr>
        <w:t>Unforeseen circumstance</w:t>
      </w:r>
    </w:p>
    <w:p w14:paraId="77B79596" w14:textId="77777777" w:rsidR="006A0962" w:rsidRPr="00892240" w:rsidRDefault="006A0962" w:rsidP="006A0962">
      <w:pPr>
        <w:keepNext/>
      </w:pPr>
      <w:r>
        <w:t xml:space="preserve">A specific definition of ‘unforeseen circumstance’ provides further guidance on how the residence start date may be extended or the residence period may be reduced. The definition of unforeseen circumstance introduces an objective test (reasonable person) to examine ‘a circumstance’ or circumstances with reference to the knowledge of the eligible home buyer on the transaction date. A circumstance is unforeseen if it is a circumstance that could not have been foreseen by a reasonable person with the knowledge of </w:t>
      </w:r>
      <w:r w:rsidRPr="00892240">
        <w:t xml:space="preserve">the </w:t>
      </w:r>
      <w:r w:rsidRPr="002914B5">
        <w:t>eligible home buyer</w:t>
      </w:r>
      <w:r w:rsidRPr="00892240">
        <w:t xml:space="preserve"> on the transaction date. If a circumstance could be foreseen by a reasonable person on the transaction date, then it is not an unforeseen circumstance.</w:t>
      </w:r>
    </w:p>
    <w:p w14:paraId="58F28BCF" w14:textId="77777777" w:rsidR="006A0962" w:rsidRPr="00892240" w:rsidRDefault="006A0962" w:rsidP="006A0962">
      <w:pPr>
        <w:keepNext/>
      </w:pPr>
    </w:p>
    <w:p w14:paraId="6BEA68D3" w14:textId="77777777" w:rsidR="006A0962" w:rsidRDefault="006A0962" w:rsidP="006A0962">
      <w:pPr>
        <w:keepNext/>
      </w:pPr>
      <w:r w:rsidRPr="00892240">
        <w:t xml:space="preserve">The transaction date is the relevant point in time for the assessment of whether the circumstance is unforeseen because it is the date the </w:t>
      </w:r>
      <w:r w:rsidRPr="002914B5">
        <w:t>eligible home buyer</w:t>
      </w:r>
      <w:r w:rsidRPr="00892240">
        <w:t xml:space="preserve"> has</w:t>
      </w:r>
      <w:r>
        <w:t xml:space="preserve"> incurred </w:t>
      </w:r>
      <w:r>
        <w:lastRenderedPageBreak/>
        <w:t xml:space="preserve">the duty liability. Frequently, the transaction date is the date when an agreement for the sale or transfer of land is entered (exchange of contract). </w:t>
      </w:r>
    </w:p>
    <w:p w14:paraId="1AC464AF" w14:textId="77777777" w:rsidR="006A0962" w:rsidRDefault="006A0962" w:rsidP="006A0962">
      <w:pPr>
        <w:keepNext/>
      </w:pPr>
    </w:p>
    <w:p w14:paraId="7B575521" w14:textId="77777777" w:rsidR="006A0962" w:rsidRDefault="006A0962" w:rsidP="006A0962">
      <w:pPr>
        <w:keepNext/>
      </w:pPr>
      <w:r>
        <w:t xml:space="preserve">The definition of knowledge includes both actual knowledge and constructive knowledge. Actual knowledge refers to the existence of knowledge subjectively in the mind of the eligible home buyer on the facts they knew related to the circumstances in issue. The inclusion of constructive knowledge is to ensure that a person cannot be wilfully blind or ignorant to circumstances to avoid something falling into the realm of their actual knowledge to make that circumstance ‘unforeseen’. The definition of constructive knowledge is based on the definition in section 297 of the </w:t>
      </w:r>
      <w:r>
        <w:rPr>
          <w:i/>
          <w:iCs/>
        </w:rPr>
        <w:t xml:space="preserve">Personal Properties Securities Act 2009 </w:t>
      </w:r>
      <w:r>
        <w:t xml:space="preserve">(Cwlth). </w:t>
      </w:r>
    </w:p>
    <w:p w14:paraId="6069BEBC" w14:textId="77777777" w:rsidR="006A0962" w:rsidRDefault="006A0962" w:rsidP="006A0962">
      <w:pPr>
        <w:keepNext/>
      </w:pPr>
    </w:p>
    <w:p w14:paraId="53C713ED" w14:textId="77777777" w:rsidR="006A0962" w:rsidRDefault="006A0962" w:rsidP="006A0962">
      <w:pPr>
        <w:keepNext/>
      </w:pPr>
      <w:r>
        <w:t xml:space="preserve">The definition of constructive knowledge includes in paragraph (a) includes general knowledge that an honest and prudent home buyer would ordinarily have when purchasing a property, whilst paragraph (b) includes the specific inquiries that ordinarily would have been made by an honest and prudent person with the specific actual knowledge of the eligible home buyer. </w:t>
      </w:r>
    </w:p>
    <w:p w14:paraId="17545EF1" w14:textId="77777777" w:rsidR="006A0962" w:rsidRDefault="006A0962" w:rsidP="006A0962">
      <w:pPr>
        <w:keepNext/>
      </w:pPr>
    </w:p>
    <w:bookmarkEnd w:id="1"/>
    <w:p w14:paraId="4E7B0113" w14:textId="035C7BE8" w:rsidR="004B3ABF" w:rsidRDefault="004B3ABF" w:rsidP="004B3ABF">
      <w:pPr>
        <w:keepNext/>
      </w:pPr>
      <w:r>
        <w:t xml:space="preserve">For example, if an eligible home buyer has unique circumstances or requirements that would cause an </w:t>
      </w:r>
      <w:r w:rsidR="00770D04">
        <w:t xml:space="preserve">honest </w:t>
      </w:r>
      <w:r>
        <w:t xml:space="preserve">and prudent person to conduct certain or additional inquiries to be satisfied in that situation, then those inquiries are assumed to have occurred. The eligible home buyer is deemed to constructively to have actual knowledge of the circumstance or circumstances from those inquiries. </w:t>
      </w:r>
    </w:p>
    <w:p w14:paraId="2B253849" w14:textId="77777777" w:rsidR="00A007DF" w:rsidRDefault="00A007DF" w:rsidP="003B128C"/>
    <w:p w14:paraId="5D2A471A" w14:textId="77777777" w:rsidR="00695278" w:rsidRPr="00D96ECB" w:rsidRDefault="00695278" w:rsidP="00695278">
      <w:pPr>
        <w:keepNext/>
        <w:rPr>
          <w:rFonts w:ascii="Arial" w:hAnsi="Arial" w:cs="Arial"/>
          <w:b/>
          <w:sz w:val="26"/>
          <w:szCs w:val="26"/>
        </w:rPr>
      </w:pPr>
      <w:r w:rsidRPr="00D96ECB">
        <w:rPr>
          <w:rFonts w:ascii="Arial" w:hAnsi="Arial" w:cs="Arial"/>
          <w:b/>
          <w:sz w:val="26"/>
          <w:szCs w:val="26"/>
        </w:rPr>
        <w:t>Eligible properties</w:t>
      </w:r>
    </w:p>
    <w:p w14:paraId="38F7E053" w14:textId="77777777" w:rsidR="00695278" w:rsidRDefault="00695278" w:rsidP="00695278">
      <w:pPr>
        <w:keepNext/>
      </w:pPr>
    </w:p>
    <w:p w14:paraId="39F686D7" w14:textId="633F5203" w:rsidR="00695278" w:rsidRPr="00D96ECB" w:rsidRDefault="00695278" w:rsidP="00695278">
      <w:pPr>
        <w:keepNext/>
      </w:pPr>
      <w:r w:rsidRPr="00D96ECB">
        <w:t>The</w:t>
      </w:r>
      <w:r>
        <w:t xml:space="preserve">re are two types of eligible property for the </w:t>
      </w:r>
      <w:r w:rsidR="002E1706">
        <w:t>PDDS</w:t>
      </w:r>
      <w:r>
        <w:t>:</w:t>
      </w:r>
      <w:r w:rsidRPr="00D96ECB">
        <w:t xml:space="preserve"> </w:t>
      </w:r>
      <w:r w:rsidRPr="00695278">
        <w:t>homes, and vacant land. Homes</w:t>
      </w:r>
      <w:r>
        <w:t xml:space="preserve"> may be new (including off the plan residential units) or established.</w:t>
      </w:r>
    </w:p>
    <w:p w14:paraId="15B1B2EF" w14:textId="54FF7473" w:rsidR="00695278" w:rsidRDefault="00695278" w:rsidP="003B128C"/>
    <w:p w14:paraId="398681A5" w14:textId="1C10BF87" w:rsidR="00847074" w:rsidRPr="004939FA" w:rsidRDefault="00847074" w:rsidP="00847074">
      <w:pPr>
        <w:keepNext/>
        <w:rPr>
          <w:rFonts w:ascii="Arial" w:hAnsi="Arial" w:cs="Arial"/>
          <w:b/>
          <w:sz w:val="26"/>
          <w:szCs w:val="26"/>
        </w:rPr>
      </w:pPr>
      <w:r w:rsidRPr="004939FA">
        <w:rPr>
          <w:rFonts w:ascii="Arial" w:hAnsi="Arial" w:cs="Arial"/>
          <w:b/>
          <w:sz w:val="26"/>
          <w:szCs w:val="26"/>
        </w:rPr>
        <w:t>Eligible transactions</w:t>
      </w:r>
    </w:p>
    <w:p w14:paraId="67234F7E" w14:textId="77777777" w:rsidR="00847074" w:rsidRDefault="00847074" w:rsidP="003B128C"/>
    <w:p w14:paraId="1089B543" w14:textId="2E45E982" w:rsidR="00847074" w:rsidRDefault="00847074" w:rsidP="00847074">
      <w:r w:rsidRPr="00A61F7C">
        <w:t xml:space="preserve">A transaction is deemed </w:t>
      </w:r>
      <w:r>
        <w:t xml:space="preserve">an </w:t>
      </w:r>
      <w:r w:rsidRPr="00A61F7C">
        <w:t xml:space="preserve">eligible </w:t>
      </w:r>
      <w:r>
        <w:t xml:space="preserve">transaction </w:t>
      </w:r>
      <w:r w:rsidRPr="00A61F7C">
        <w:t xml:space="preserve">if the eligibility requirements specified in the </w:t>
      </w:r>
      <w:r>
        <w:t xml:space="preserve">Determination </w:t>
      </w:r>
      <w:r w:rsidRPr="00A61F7C">
        <w:t>are met</w:t>
      </w:r>
      <w:r w:rsidR="00541BF0">
        <w:t>, including that the transaction date is on or after 1 July </w:t>
      </w:r>
      <w:r w:rsidR="002E1706">
        <w:t>2026</w:t>
      </w:r>
      <w:r w:rsidRPr="00A61F7C">
        <w:t>.</w:t>
      </w:r>
      <w:r>
        <w:t xml:space="preserve"> These eligibility requirements are:</w:t>
      </w:r>
    </w:p>
    <w:p w14:paraId="3F6C0E98" w14:textId="77777777" w:rsidR="00847074" w:rsidRDefault="00847074" w:rsidP="00847074"/>
    <w:p w14:paraId="197A083F" w14:textId="77777777" w:rsidR="00847074" w:rsidRPr="004B3ABF" w:rsidRDefault="00847074" w:rsidP="004B3ABF">
      <w:pPr>
        <w:spacing w:before="140"/>
        <w:rPr>
          <w:bCs/>
          <w:i/>
          <w:iCs/>
          <w:szCs w:val="24"/>
          <w:u w:val="single"/>
        </w:rPr>
      </w:pPr>
      <w:r w:rsidRPr="004B3ABF">
        <w:rPr>
          <w:bCs/>
          <w:i/>
          <w:iCs/>
          <w:szCs w:val="24"/>
          <w:u w:val="single"/>
        </w:rPr>
        <w:t xml:space="preserve">Pensioner requirement </w:t>
      </w:r>
    </w:p>
    <w:p w14:paraId="330583C7" w14:textId="6558026E" w:rsidR="004D64DC" w:rsidRPr="0066291F" w:rsidRDefault="004F477B" w:rsidP="004B3ABF">
      <w:pPr>
        <w:spacing w:before="140"/>
      </w:pPr>
      <w:r>
        <w:t xml:space="preserve">To be eligible for a duty deferral under </w:t>
      </w:r>
      <w:r w:rsidR="00D66061">
        <w:t>the Determination</w:t>
      </w:r>
      <w:r>
        <w:t xml:space="preserve">, a </w:t>
      </w:r>
      <w:r w:rsidR="000D7BC5">
        <w:t xml:space="preserve">transferee </w:t>
      </w:r>
      <w:r>
        <w:t>must</w:t>
      </w:r>
      <w:r w:rsidR="004B0456">
        <w:t xml:space="preserve"> </w:t>
      </w:r>
      <w:r>
        <w:t xml:space="preserve">be </w:t>
      </w:r>
      <w:r w:rsidR="004D64DC">
        <w:t xml:space="preserve">a </w:t>
      </w:r>
      <w:r w:rsidR="00D66061">
        <w:t xml:space="preserve">prescribed </w:t>
      </w:r>
      <w:r w:rsidR="004D64DC">
        <w:t>pensioner</w:t>
      </w:r>
      <w:r w:rsidR="00D66061">
        <w:t xml:space="preserve"> which, for the purposes of the Determination, means </w:t>
      </w:r>
      <w:r w:rsidR="004D64DC" w:rsidRPr="0066291F">
        <w:t>a person who</w:t>
      </w:r>
      <w:r w:rsidR="00D66061">
        <w:t>,</w:t>
      </w:r>
      <w:r w:rsidR="004D64DC" w:rsidRPr="0066291F">
        <w:t xml:space="preserve"> on the transaction date:</w:t>
      </w:r>
    </w:p>
    <w:p w14:paraId="759D4620" w14:textId="4D201CF7" w:rsidR="004D64DC" w:rsidRDefault="00703FF6" w:rsidP="004B3ABF">
      <w:pPr>
        <w:pStyle w:val="ListParagraph"/>
        <w:numPr>
          <w:ilvl w:val="0"/>
          <w:numId w:val="18"/>
        </w:numPr>
        <w:spacing w:before="140"/>
        <w:ind w:left="1145" w:hanging="425"/>
        <w:contextualSpacing w:val="0"/>
      </w:pPr>
      <w:r>
        <w:t>wa</w:t>
      </w:r>
      <w:r w:rsidR="00D66061">
        <w:t xml:space="preserve">s in receipt of </w:t>
      </w:r>
      <w:r w:rsidR="004D64DC" w:rsidRPr="008071CE">
        <w:t>a</w:t>
      </w:r>
      <w:r w:rsidR="003B59A2">
        <w:t xml:space="preserve"> Services Australia </w:t>
      </w:r>
      <w:r w:rsidR="004D64DC" w:rsidRPr="008071CE">
        <w:t>age pension or Department</w:t>
      </w:r>
      <w:r w:rsidR="00D66061">
        <w:t xml:space="preserve"> </w:t>
      </w:r>
      <w:r w:rsidR="004D64DC" w:rsidRPr="008071CE">
        <w:t>of</w:t>
      </w:r>
      <w:r w:rsidR="00D66061">
        <w:t xml:space="preserve"> </w:t>
      </w:r>
      <w:r w:rsidR="004D64DC" w:rsidRPr="008071CE">
        <w:t>Veterans’</w:t>
      </w:r>
      <w:r w:rsidR="00D66061">
        <w:t xml:space="preserve"> </w:t>
      </w:r>
      <w:r w:rsidR="004D64DC" w:rsidRPr="008071CE">
        <w:t>Affairs age pension equivalent; or</w:t>
      </w:r>
    </w:p>
    <w:p w14:paraId="2D983BDA" w14:textId="09961B34" w:rsidR="004D64DC" w:rsidRDefault="00703FF6" w:rsidP="004B3ABF">
      <w:pPr>
        <w:pStyle w:val="ListParagraph"/>
        <w:numPr>
          <w:ilvl w:val="0"/>
          <w:numId w:val="18"/>
        </w:numPr>
        <w:spacing w:before="140"/>
        <w:ind w:left="1146" w:hanging="426"/>
        <w:contextualSpacing w:val="0"/>
      </w:pPr>
      <w:r>
        <w:t>wa</w:t>
      </w:r>
      <w:r w:rsidR="00D66061">
        <w:t xml:space="preserve">s in receipt of </w:t>
      </w:r>
      <w:r w:rsidR="004D64DC" w:rsidRPr="008071CE">
        <w:t>a</w:t>
      </w:r>
      <w:r w:rsidR="003B59A2">
        <w:t xml:space="preserve"> Services Australia</w:t>
      </w:r>
      <w:r w:rsidR="004D64DC" w:rsidRPr="008071CE">
        <w:t xml:space="preserve"> disability support pension and was </w:t>
      </w:r>
      <w:r w:rsidR="004F4D09" w:rsidRPr="008071CE">
        <w:t>50</w:t>
      </w:r>
      <w:r w:rsidR="004F4D09">
        <w:t> </w:t>
      </w:r>
      <w:r w:rsidR="004D64DC" w:rsidRPr="008071CE">
        <w:t>years of age or older; or</w:t>
      </w:r>
    </w:p>
    <w:p w14:paraId="7F3A19A4" w14:textId="1A22D483" w:rsidR="00935B2E" w:rsidRDefault="00600AC7" w:rsidP="004B3ABF">
      <w:pPr>
        <w:spacing w:before="140"/>
        <w:ind w:left="1146" w:hanging="426"/>
      </w:pPr>
      <w:r w:rsidRPr="009A6826">
        <w:t xml:space="preserve">(c)  </w:t>
      </w:r>
      <w:r w:rsidR="004D64DC" w:rsidRPr="009A6826">
        <w:t>ha</w:t>
      </w:r>
      <w:r w:rsidR="00D66061" w:rsidRPr="009A6826">
        <w:t>s</w:t>
      </w:r>
      <w:r w:rsidR="004D64DC" w:rsidRPr="009A6826">
        <w:t xml:space="preserve"> held a Department of Veterans’ Affairs Gold Card</w:t>
      </w:r>
      <w:r w:rsidR="00277051">
        <w:t xml:space="preserve">; or </w:t>
      </w:r>
    </w:p>
    <w:p w14:paraId="7AE22805" w14:textId="076498DB" w:rsidR="00277051" w:rsidRDefault="00277051" w:rsidP="004B3ABF">
      <w:pPr>
        <w:spacing w:before="140"/>
        <w:ind w:left="1146" w:hanging="426"/>
      </w:pPr>
      <w:r>
        <w:t xml:space="preserve">(d) </w:t>
      </w:r>
      <w:r w:rsidR="00C03B75">
        <w:tab/>
      </w:r>
      <w:r>
        <w:t xml:space="preserve">received a service pension. </w:t>
      </w:r>
    </w:p>
    <w:p w14:paraId="2375CEF9" w14:textId="1F768BAF" w:rsidR="00847074" w:rsidRPr="004B3ABF" w:rsidRDefault="00847074" w:rsidP="004B3ABF">
      <w:pPr>
        <w:keepNext/>
        <w:spacing w:before="140"/>
        <w:rPr>
          <w:bCs/>
          <w:i/>
          <w:iCs/>
          <w:szCs w:val="24"/>
          <w:u w:val="single"/>
        </w:rPr>
      </w:pPr>
      <w:r w:rsidRPr="004B3ABF">
        <w:rPr>
          <w:bCs/>
          <w:i/>
          <w:iCs/>
          <w:szCs w:val="24"/>
          <w:u w:val="single"/>
        </w:rPr>
        <w:lastRenderedPageBreak/>
        <w:t>Residence requirements</w:t>
      </w:r>
    </w:p>
    <w:p w14:paraId="01213207" w14:textId="0CC6A909" w:rsidR="00935B2E" w:rsidRPr="00935B2E" w:rsidRDefault="00935B2E" w:rsidP="004B3ABF">
      <w:pPr>
        <w:spacing w:before="140"/>
        <w:rPr>
          <w:bCs/>
        </w:rPr>
      </w:pPr>
      <w:r w:rsidRPr="00935B2E">
        <w:rPr>
          <w:bCs/>
        </w:rPr>
        <w:t xml:space="preserve">At least one </w:t>
      </w:r>
      <w:r w:rsidR="00E25E53">
        <w:rPr>
          <w:bCs/>
        </w:rPr>
        <w:t>eligible home buyer</w:t>
      </w:r>
      <w:r w:rsidRPr="00935B2E">
        <w:rPr>
          <w:bCs/>
        </w:rPr>
        <w:t xml:space="preserve"> of the eligible property </w:t>
      </w:r>
      <w:r>
        <w:rPr>
          <w:bCs/>
        </w:rPr>
        <w:t xml:space="preserve">(being a pensioner or their domestic partner) </w:t>
      </w:r>
      <w:r w:rsidRPr="00935B2E">
        <w:rPr>
          <w:bCs/>
        </w:rPr>
        <w:t>must occupy the property as their principal place of residence continuously for a period of at least one year. That period must commence within one year of completion of the transfer for an eligible home, or the date that the certificate of occupancy that is issued following completion of construction of a home for vacant land. Some exemptions apply to the residence requirement</w:t>
      </w:r>
      <w:r w:rsidR="009205A2">
        <w:rPr>
          <w:bCs/>
        </w:rPr>
        <w:t>s</w:t>
      </w:r>
      <w:r w:rsidRPr="00935B2E">
        <w:rPr>
          <w:bCs/>
        </w:rPr>
        <w:t>.</w:t>
      </w:r>
    </w:p>
    <w:p w14:paraId="7188E046" w14:textId="77777777" w:rsidR="00935B2E" w:rsidRPr="00935B2E" w:rsidRDefault="00935B2E" w:rsidP="00935B2E">
      <w:pPr>
        <w:rPr>
          <w:bCs/>
        </w:rPr>
      </w:pPr>
    </w:p>
    <w:p w14:paraId="2B10E44E" w14:textId="77777777" w:rsidR="00935B2E" w:rsidRPr="00935B2E" w:rsidRDefault="00935B2E" w:rsidP="004B3ABF">
      <w:pPr>
        <w:rPr>
          <w:bCs/>
        </w:rPr>
      </w:pPr>
      <w:r w:rsidRPr="00935B2E">
        <w:rPr>
          <w:bCs/>
        </w:rPr>
        <w:t>The domestic partner of a transferee can only fulfil the residence requirements if they are a transferee themselves; that is, they are named in the grant, transfer or agreement and they hold a relevant interest in the property.</w:t>
      </w:r>
    </w:p>
    <w:p w14:paraId="4213418D" w14:textId="77777777" w:rsidR="00935B2E" w:rsidRPr="00935B2E" w:rsidRDefault="00935B2E" w:rsidP="00847074">
      <w:pPr>
        <w:ind w:left="720"/>
        <w:rPr>
          <w:bCs/>
        </w:rPr>
      </w:pPr>
    </w:p>
    <w:p w14:paraId="5BCD9F40" w14:textId="2223EFE3" w:rsidR="001D2D85" w:rsidRDefault="00935B2E" w:rsidP="004B3ABF">
      <w:r w:rsidRPr="00935B2E">
        <w:rPr>
          <w:bCs/>
        </w:rPr>
        <w:t xml:space="preserve">A principal place of residence is defined as the home a person primarily occupies, on an ongoing and permanent basis, as their settled or usual home. </w:t>
      </w:r>
      <w:r w:rsidR="001D2D85" w:rsidRPr="00390519">
        <w:t xml:space="preserve">However, </w:t>
      </w:r>
      <w:r w:rsidR="001D2D85">
        <w:t xml:space="preserve">an occupation that is </w:t>
      </w:r>
      <w:r w:rsidR="001D2D85" w:rsidRPr="00390519">
        <w:t>transient, temporary</w:t>
      </w:r>
      <w:r w:rsidR="001D70A5">
        <w:t>, unlawful</w:t>
      </w:r>
      <w:r w:rsidR="001D2D85" w:rsidRPr="00390519">
        <w:t xml:space="preserve"> or of a passing nature, is not sufficient to establish occupation as a principal place of residence</w:t>
      </w:r>
      <w:r w:rsidR="001D2D85">
        <w:t>.</w:t>
      </w:r>
    </w:p>
    <w:p w14:paraId="622401D3" w14:textId="77777777" w:rsidR="00E215B9" w:rsidRDefault="00E215B9" w:rsidP="00847074">
      <w:pPr>
        <w:ind w:left="720"/>
      </w:pPr>
    </w:p>
    <w:p w14:paraId="7D531864" w14:textId="2B0A6034" w:rsidR="00E215B9" w:rsidRPr="007C2BF5" w:rsidRDefault="00E215B9" w:rsidP="004B3ABF">
      <w:r w:rsidRPr="007C2BF5">
        <w:t>Th</w:t>
      </w:r>
      <w:r>
        <w:t xml:space="preserve">e Determination </w:t>
      </w:r>
      <w:r w:rsidRPr="007C2BF5">
        <w:t>gives the Commissioner the discretion to extend the time for a transferee to meet the residence requirement</w:t>
      </w:r>
      <w:r>
        <w:t>s</w:t>
      </w:r>
      <w:r w:rsidRPr="007C2BF5">
        <w:t xml:space="preserve">, to approve a residence period shorter than </w:t>
      </w:r>
      <w:r>
        <w:t>one</w:t>
      </w:r>
      <w:r w:rsidRPr="007C2BF5">
        <w:t xml:space="preserve"> year, or to exempt the transferee from the residence requirements, in the event of unforeseen circumstances. </w:t>
      </w:r>
    </w:p>
    <w:p w14:paraId="77DBBA12" w14:textId="77777777" w:rsidR="00E215B9" w:rsidRDefault="00E215B9" w:rsidP="00E215B9">
      <w:pPr>
        <w:ind w:left="720"/>
      </w:pPr>
    </w:p>
    <w:p w14:paraId="7CFAD3F8" w14:textId="77777777" w:rsidR="00724F11" w:rsidRPr="00867905" w:rsidRDefault="00724F11" w:rsidP="00867905">
      <w:r w:rsidRPr="00867905">
        <w:t xml:space="preserve">Examples of circumstances that do not meet the criteria of being an unforeseen circumstance are below. </w:t>
      </w:r>
    </w:p>
    <w:p w14:paraId="1E3119C6" w14:textId="77777777" w:rsidR="0052088C" w:rsidRPr="00867905" w:rsidRDefault="0052088C" w:rsidP="00867905"/>
    <w:p w14:paraId="3EA08DED" w14:textId="77777777" w:rsidR="00770D04" w:rsidRPr="00867905" w:rsidRDefault="00770D04" w:rsidP="00867905">
      <w:pPr>
        <w:rPr>
          <w:b/>
          <w:bCs/>
        </w:rPr>
      </w:pPr>
      <w:r w:rsidRPr="00867905">
        <w:rPr>
          <w:b/>
          <w:bCs/>
        </w:rPr>
        <w:t>Example 1 – foreseen circumstances (finance and construction)</w:t>
      </w:r>
    </w:p>
    <w:p w14:paraId="30719A76" w14:textId="77777777" w:rsidR="00770D04" w:rsidRPr="00867905" w:rsidRDefault="00770D04" w:rsidP="00867905">
      <w:r w:rsidRPr="00867905">
        <w:t xml:space="preserve">Bob and Jane purchased a vacant block of land in Canberra to build a home. After 12 months their house plans were approved and construction commenced, although there were delays during construction. </w:t>
      </w:r>
    </w:p>
    <w:p w14:paraId="113F60C9" w14:textId="77777777" w:rsidR="00770D04" w:rsidRPr="00867905" w:rsidRDefault="00770D04" w:rsidP="00867905"/>
    <w:p w14:paraId="4770B02C" w14:textId="77777777" w:rsidR="00770D04" w:rsidRPr="00867905" w:rsidRDefault="00770D04" w:rsidP="00867905">
      <w:r w:rsidRPr="00867905">
        <w:t>Bob and Jane were unable to maintain</w:t>
      </w:r>
      <w:r w:rsidRPr="00867905" w:rsidDel="003A14C4">
        <w:t xml:space="preserve"> </w:t>
      </w:r>
      <w:r w:rsidRPr="00867905">
        <w:t>their mortgage repayments with interest rate rises, increased construction costs and delays. They decided to sell the property and requested an exemption from the residency requirement.</w:t>
      </w:r>
    </w:p>
    <w:p w14:paraId="492367D1" w14:textId="77777777" w:rsidR="00770D04" w:rsidRPr="00867905" w:rsidRDefault="00770D04" w:rsidP="00867905"/>
    <w:p w14:paraId="6E52A2FA" w14:textId="77777777" w:rsidR="00770D04" w:rsidRPr="00867905" w:rsidRDefault="00770D04" w:rsidP="00867905">
      <w:r w:rsidRPr="00867905">
        <w:t>A foreseeable circumstance when purchasing a property, and claiming a concession with residency requirements, extends to the circumstances relevant to the transaction and the purchase of the property. It is foreseeable, when taking out a mortgage, that repayments may vary over time. It is also foreseeable, when constructing a house or undertaking building works, that construction may be delayed or that construction costs may increase.</w:t>
      </w:r>
    </w:p>
    <w:p w14:paraId="734339CB" w14:textId="77777777" w:rsidR="00770D04" w:rsidRPr="00867905" w:rsidRDefault="00770D04" w:rsidP="00867905"/>
    <w:p w14:paraId="750D0D04" w14:textId="77777777" w:rsidR="00770D04" w:rsidRPr="00867905" w:rsidRDefault="00770D04" w:rsidP="00867905">
      <w:r w:rsidRPr="00867905">
        <w:t>The fact that Bob and Jane experienced more than one foreseeable circumstance does not alter the character of those circumstances so as to make them unforeseen.</w:t>
      </w:r>
    </w:p>
    <w:p w14:paraId="10B93E6E" w14:textId="77777777" w:rsidR="00770D04" w:rsidRPr="00867905" w:rsidRDefault="00770D04" w:rsidP="00867905"/>
    <w:p w14:paraId="2D9CABB3" w14:textId="77777777" w:rsidR="00770D04" w:rsidRPr="00867905" w:rsidRDefault="00770D04" w:rsidP="00867905">
      <w:r w:rsidRPr="00867905">
        <w:t>The Commissioner would decline Bob and Jane’s request for an exemption from the residence period.</w:t>
      </w:r>
    </w:p>
    <w:p w14:paraId="6E73AC2B" w14:textId="77777777" w:rsidR="00770D04" w:rsidRPr="00867905" w:rsidRDefault="00770D04" w:rsidP="00867905"/>
    <w:p w14:paraId="05D49FC8" w14:textId="0D061ABC" w:rsidR="00770D04" w:rsidRPr="000850C8" w:rsidRDefault="00770D04" w:rsidP="00770D04">
      <w:pPr>
        <w:keepNext/>
        <w:spacing w:before="120"/>
        <w:rPr>
          <w:b/>
          <w:bCs/>
          <w:i/>
          <w:iCs/>
        </w:rPr>
      </w:pPr>
      <w:r w:rsidRPr="000850C8">
        <w:rPr>
          <w:b/>
          <w:bCs/>
          <w:i/>
          <w:iCs/>
        </w:rPr>
        <w:lastRenderedPageBreak/>
        <w:t xml:space="preserve">Example </w:t>
      </w:r>
      <w:r w:rsidR="00867905">
        <w:rPr>
          <w:b/>
          <w:bCs/>
          <w:i/>
          <w:iCs/>
        </w:rPr>
        <w:t>2</w:t>
      </w:r>
      <w:r w:rsidRPr="000850C8">
        <w:rPr>
          <w:b/>
          <w:bCs/>
          <w:i/>
          <w:iCs/>
        </w:rPr>
        <w:t xml:space="preserve"> – foreseen circumstance (medical appointments) </w:t>
      </w:r>
    </w:p>
    <w:p w14:paraId="49027666" w14:textId="77777777" w:rsidR="00770D04" w:rsidRDefault="00770D04" w:rsidP="00770D04">
      <w:pPr>
        <w:keepNext/>
        <w:spacing w:before="120"/>
      </w:pPr>
      <w:r w:rsidRPr="00F77E3A">
        <w:t xml:space="preserve">Rachel purchased </w:t>
      </w:r>
      <w:r>
        <w:t>an</w:t>
      </w:r>
      <w:r w:rsidRPr="00F77E3A">
        <w:t xml:space="preserve"> </w:t>
      </w:r>
      <w:r>
        <w:t xml:space="preserve">eligible </w:t>
      </w:r>
      <w:r w:rsidRPr="00F77E3A">
        <w:t xml:space="preserve">property and claimed the </w:t>
      </w:r>
      <w:r>
        <w:t>concession. However, Rachel</w:t>
      </w:r>
      <w:r w:rsidRPr="00F77E3A">
        <w:t xml:space="preserve"> had a pre-existing medical condition </w:t>
      </w:r>
      <w:r>
        <w:t xml:space="preserve">that required </w:t>
      </w:r>
      <w:r w:rsidRPr="00F77E3A">
        <w:t xml:space="preserve">travel to Sydney </w:t>
      </w:r>
      <w:r>
        <w:t xml:space="preserve">from time to time </w:t>
      </w:r>
      <w:r w:rsidRPr="00F77E3A">
        <w:t>for medical treatment.</w:t>
      </w:r>
    </w:p>
    <w:p w14:paraId="7E85107A" w14:textId="77777777" w:rsidR="00770D04" w:rsidRDefault="00770D04" w:rsidP="00770D04">
      <w:pPr>
        <w:keepNext/>
      </w:pPr>
    </w:p>
    <w:p w14:paraId="51D607F6" w14:textId="77777777" w:rsidR="00770D04" w:rsidRDefault="00770D04" w:rsidP="00770D04">
      <w:pPr>
        <w:keepNext/>
      </w:pPr>
      <w:r w:rsidRPr="00F77E3A">
        <w:t xml:space="preserve">Rachel </w:t>
      </w:r>
      <w:r>
        <w:t xml:space="preserve">was </w:t>
      </w:r>
      <w:r w:rsidRPr="00F77E3A">
        <w:t xml:space="preserve">aware of </w:t>
      </w:r>
      <w:r>
        <w:t xml:space="preserve">the requirement to travel </w:t>
      </w:r>
      <w:r w:rsidRPr="00F77E3A">
        <w:t xml:space="preserve">for </w:t>
      </w:r>
      <w:r>
        <w:t xml:space="preserve">treatment. It is </w:t>
      </w:r>
      <w:r w:rsidRPr="00F77E3A">
        <w:t xml:space="preserve">a circumstance that a reasonable person should consider </w:t>
      </w:r>
      <w:r>
        <w:t>when</w:t>
      </w:r>
      <w:r w:rsidRPr="00F77E3A">
        <w:t xml:space="preserve"> deciding </w:t>
      </w:r>
      <w:r>
        <w:t>to purchase a property and claim a duty concession with residency requirements attached.</w:t>
      </w:r>
    </w:p>
    <w:p w14:paraId="1AFC5B16" w14:textId="77777777" w:rsidR="00770D04" w:rsidRPr="00F77E3A" w:rsidRDefault="00770D04" w:rsidP="00770D04">
      <w:pPr>
        <w:keepNext/>
      </w:pPr>
    </w:p>
    <w:p w14:paraId="5E3F11FD" w14:textId="77777777" w:rsidR="00770D04" w:rsidRDefault="00770D04" w:rsidP="00770D04">
      <w:pPr>
        <w:keepNext/>
      </w:pPr>
      <w:r>
        <w:t>If Rachel applied to vary the residence period or the residence start date due to her medical condition or treatment, t</w:t>
      </w:r>
      <w:r w:rsidRPr="00F77E3A">
        <w:t>he Commissioner would decline Rachel’s application</w:t>
      </w:r>
      <w:r>
        <w:t>.</w:t>
      </w:r>
    </w:p>
    <w:p w14:paraId="74FD2900" w14:textId="77777777" w:rsidR="00867905" w:rsidRPr="00F77E3A" w:rsidRDefault="00867905" w:rsidP="00770D04">
      <w:pPr>
        <w:keepNext/>
      </w:pPr>
    </w:p>
    <w:p w14:paraId="457AF1F4" w14:textId="74665D9C" w:rsidR="00770D04" w:rsidRPr="000850C8" w:rsidRDefault="00770D04" w:rsidP="00770D04">
      <w:pPr>
        <w:keepNext/>
        <w:spacing w:before="120"/>
        <w:rPr>
          <w:b/>
          <w:bCs/>
          <w:i/>
          <w:iCs/>
        </w:rPr>
      </w:pPr>
      <w:r w:rsidRPr="000850C8">
        <w:rPr>
          <w:b/>
          <w:bCs/>
          <w:i/>
          <w:iCs/>
        </w:rPr>
        <w:t xml:space="preserve">Example </w:t>
      </w:r>
      <w:r w:rsidR="00867905">
        <w:rPr>
          <w:b/>
          <w:bCs/>
          <w:i/>
          <w:iCs/>
        </w:rPr>
        <w:t>3</w:t>
      </w:r>
      <w:r w:rsidRPr="000850C8">
        <w:rPr>
          <w:b/>
          <w:bCs/>
          <w:i/>
          <w:iCs/>
        </w:rPr>
        <w:t xml:space="preserve"> – foreseen circumstance (caring responsibilities)</w:t>
      </w:r>
    </w:p>
    <w:p w14:paraId="18A0FD7A" w14:textId="77777777" w:rsidR="00770D04" w:rsidRDefault="00770D04" w:rsidP="00770D04">
      <w:pPr>
        <w:keepNext/>
        <w:spacing w:before="120"/>
      </w:pPr>
      <w:r>
        <w:t>Charlotte’s father had a medical condition, and it was likely that he would require full time care in the future.</w:t>
      </w:r>
    </w:p>
    <w:p w14:paraId="7328F102" w14:textId="77777777" w:rsidR="00770D04" w:rsidRDefault="00770D04" w:rsidP="00770D04">
      <w:pPr>
        <w:keepNext/>
      </w:pPr>
    </w:p>
    <w:p w14:paraId="04B2C2B4" w14:textId="77777777" w:rsidR="00770D04" w:rsidRDefault="00770D04" w:rsidP="00770D04">
      <w:pPr>
        <w:keepNext/>
      </w:pPr>
      <w:r>
        <w:t xml:space="preserve">After relocating to Canberra for work Charlotte purchased an eligible property, claimed the concession and commenced living in the property from settlement.  During Charlotte’s 12-month residence period her father requires full time care. Charlotte returns to the family home in NSW to provide full time care for father. While this decision may be reasonable and appropriate for Charlotte’s personal </w:t>
      </w:r>
      <w:r w:rsidDel="00AC25ED">
        <w:t>and family circumstances</w:t>
      </w:r>
      <w:r>
        <w:t>,</w:t>
      </w:r>
      <w:r w:rsidDel="00AC25ED">
        <w:t xml:space="preserve"> it does not make it an unforeseen circumstance that prevents Charlotte from occupying her property in Canberra. </w:t>
      </w:r>
    </w:p>
    <w:p w14:paraId="58E4394C" w14:textId="77777777" w:rsidR="00770D04" w:rsidRDefault="00770D04" w:rsidP="00770D04">
      <w:pPr>
        <w:keepNext/>
      </w:pPr>
    </w:p>
    <w:p w14:paraId="46770482" w14:textId="77777777" w:rsidR="00770D04" w:rsidRDefault="00770D04" w:rsidP="00770D04">
      <w:pPr>
        <w:keepNext/>
      </w:pPr>
      <w:r>
        <w:t>If Charlotte were to request a reduction in, or an exemption from, the residence period or requirement due to her father’s health decline, claiming that it was sudden and unexpected, the Commissioner would decline Charlotte’s application.</w:t>
      </w:r>
      <w:r w:rsidRPr="00AC25ED">
        <w:t xml:space="preserve"> </w:t>
      </w:r>
    </w:p>
    <w:p w14:paraId="5EF4B848" w14:textId="77777777" w:rsidR="00770D04" w:rsidRDefault="00770D04" w:rsidP="00770D04">
      <w:pPr>
        <w:keepNext/>
      </w:pPr>
    </w:p>
    <w:p w14:paraId="6D4E7FD0" w14:textId="335D79C9" w:rsidR="00770D04" w:rsidRPr="000850C8" w:rsidRDefault="00770D04" w:rsidP="00770D04">
      <w:pPr>
        <w:keepNext/>
        <w:spacing w:before="120"/>
        <w:rPr>
          <w:b/>
          <w:bCs/>
          <w:i/>
          <w:iCs/>
        </w:rPr>
      </w:pPr>
      <w:r w:rsidRPr="000850C8">
        <w:rPr>
          <w:b/>
          <w:bCs/>
          <w:i/>
          <w:iCs/>
        </w:rPr>
        <w:t xml:space="preserve">Example </w:t>
      </w:r>
      <w:r w:rsidR="00867905">
        <w:rPr>
          <w:b/>
          <w:bCs/>
          <w:i/>
          <w:iCs/>
        </w:rPr>
        <w:t>4</w:t>
      </w:r>
      <w:r w:rsidRPr="000850C8">
        <w:rPr>
          <w:b/>
          <w:bCs/>
          <w:i/>
          <w:iCs/>
        </w:rPr>
        <w:t xml:space="preserve"> – constructive knowledge </w:t>
      </w:r>
    </w:p>
    <w:p w14:paraId="778A50B6" w14:textId="77777777" w:rsidR="00770D04" w:rsidRDefault="00770D04" w:rsidP="00770D04">
      <w:pPr>
        <w:spacing w:before="120"/>
      </w:pPr>
      <w:r w:rsidRPr="006F588B">
        <w:t xml:space="preserve">Liam was interstate when he signed a contract to purchase </w:t>
      </w:r>
      <w:r>
        <w:t>an</w:t>
      </w:r>
      <w:r w:rsidRPr="006F588B">
        <w:t xml:space="preserve"> </w:t>
      </w:r>
      <w:r>
        <w:t xml:space="preserve">eligible </w:t>
      </w:r>
      <w:r w:rsidRPr="006F588B">
        <w:t>property as his new family home</w:t>
      </w:r>
      <w:r>
        <w:t xml:space="preserve"> and did not </w:t>
      </w:r>
      <w:r w:rsidRPr="006F588B">
        <w:t>undertak</w:t>
      </w:r>
      <w:r>
        <w:t xml:space="preserve">e </w:t>
      </w:r>
      <w:r w:rsidRPr="006F588B">
        <w:t xml:space="preserve">an in-person inspection of the property. </w:t>
      </w:r>
      <w:r>
        <w:t xml:space="preserve">Shortly after </w:t>
      </w:r>
      <w:r w:rsidRPr="006F588B">
        <w:t xml:space="preserve">settlement, Liam moved into the property and formed the view that it </w:t>
      </w:r>
      <w:r>
        <w:t xml:space="preserve">did not fit the needs of his </w:t>
      </w:r>
      <w:r w:rsidRPr="006F588B">
        <w:t>family</w:t>
      </w:r>
      <w:r>
        <w:t xml:space="preserve"> and decided to </w:t>
      </w:r>
      <w:r w:rsidRPr="006F588B">
        <w:t>sell the property</w:t>
      </w:r>
      <w:r>
        <w:t>.</w:t>
      </w:r>
    </w:p>
    <w:p w14:paraId="10474397" w14:textId="77777777" w:rsidR="00770D04" w:rsidRDefault="00770D04" w:rsidP="00770D04">
      <w:pPr>
        <w:spacing w:before="120"/>
      </w:pPr>
      <w:r>
        <w:t xml:space="preserve">Liam </w:t>
      </w:r>
      <w:r w:rsidRPr="006F588B">
        <w:t>submitted a written request</w:t>
      </w:r>
      <w:r>
        <w:t xml:space="preserve"> </w:t>
      </w:r>
      <w:r w:rsidRPr="006F588B">
        <w:t>that the residence period be shortened to five months</w:t>
      </w:r>
      <w:r>
        <w:t>,</w:t>
      </w:r>
      <w:r w:rsidRPr="006F588B">
        <w:t xml:space="preserve"> </w:t>
      </w:r>
      <w:r>
        <w:t>the period he occupied</w:t>
      </w:r>
      <w:r w:rsidRPr="006F588B">
        <w:t xml:space="preserve"> the property, on the basis that the property was not suitable for his family.</w:t>
      </w:r>
    </w:p>
    <w:p w14:paraId="18F8B9DF" w14:textId="77777777" w:rsidR="00770D04" w:rsidRPr="006F588B" w:rsidRDefault="00770D04" w:rsidP="00770D04"/>
    <w:p w14:paraId="18FF5477" w14:textId="77777777" w:rsidR="00770D04" w:rsidRDefault="00770D04" w:rsidP="00770D04">
      <w:r w:rsidRPr="006F588B">
        <w:t xml:space="preserve">Liam had the opportunity to inspect the </w:t>
      </w:r>
      <w:r>
        <w:t>eligible property</w:t>
      </w:r>
      <w:r w:rsidRPr="006F588B">
        <w:t xml:space="preserve"> </w:t>
      </w:r>
      <w:r>
        <w:t xml:space="preserve">in person, or conduct due diligence by other means, to </w:t>
      </w:r>
      <w:r w:rsidRPr="006F588B">
        <w:t xml:space="preserve">determine </w:t>
      </w:r>
      <w:r>
        <w:t>whether</w:t>
      </w:r>
      <w:r w:rsidRPr="006F588B">
        <w:t xml:space="preserve"> it was suitable for his circumstances. A reasonable person would </w:t>
      </w:r>
      <w:r>
        <w:t>have</w:t>
      </w:r>
      <w:r w:rsidRPr="006F588B">
        <w:t xml:space="preserve"> </w:t>
      </w:r>
      <w:r>
        <w:t xml:space="preserve">inspected the property, made enquiries or other arrangements to determine whether it was suitable </w:t>
      </w:r>
      <w:r w:rsidRPr="006F588B">
        <w:t>before entering into a contract to purchase it. These are inquiries that ordinarily would be made by an honest and prudent person in that situation. Liam is taken to have constructive knowledge of the relevant circumstances, because a person cannot rely on wilful blindness to create a circumstance that is unforeseen to them personally merely because it is not within their actual knowledge.</w:t>
      </w:r>
    </w:p>
    <w:p w14:paraId="16581267" w14:textId="77777777" w:rsidR="00770D04" w:rsidRPr="006F588B" w:rsidRDefault="00770D04" w:rsidP="00770D04"/>
    <w:p w14:paraId="4BC6C399" w14:textId="77777777" w:rsidR="00770D04" w:rsidRDefault="00770D04" w:rsidP="00770D04">
      <w:r w:rsidRPr="006F588B">
        <w:lastRenderedPageBreak/>
        <w:t xml:space="preserve">Liam </w:t>
      </w:r>
      <w:r>
        <w:t>has</w:t>
      </w:r>
      <w:r w:rsidRPr="006F588B">
        <w:t xml:space="preserve"> constructive knowledge of the size of the property, and a reasonable person would have considered whether the property was suitable. It was therefore a foreseeable circumstance.</w:t>
      </w:r>
      <w:r w:rsidRPr="009E0E6C">
        <w:t xml:space="preserve"> </w:t>
      </w:r>
    </w:p>
    <w:p w14:paraId="234A97AE" w14:textId="77777777" w:rsidR="00770D04" w:rsidRDefault="00770D04" w:rsidP="00770D04"/>
    <w:p w14:paraId="7FA9B28B" w14:textId="77777777" w:rsidR="00770D04" w:rsidRPr="006F588B" w:rsidRDefault="00770D04" w:rsidP="00770D04">
      <w:r>
        <w:t xml:space="preserve">The Commissioner would decline an </w:t>
      </w:r>
      <w:r w:rsidRPr="006F588B">
        <w:t xml:space="preserve">application to </w:t>
      </w:r>
      <w:r>
        <w:t>shorten</w:t>
      </w:r>
      <w:r w:rsidRPr="006F588B">
        <w:t xml:space="preserve"> the residence period to five months</w:t>
      </w:r>
      <w:r>
        <w:t>.</w:t>
      </w:r>
    </w:p>
    <w:p w14:paraId="20D36EEF" w14:textId="77777777" w:rsidR="00724F11" w:rsidRDefault="00724F11" w:rsidP="009E6BC0"/>
    <w:p w14:paraId="5A479E0F" w14:textId="370A4A5C" w:rsidR="00E215B9" w:rsidRDefault="00E215B9" w:rsidP="004B3ABF">
      <w:r>
        <w:t>The Commissioner can exercise d</w:t>
      </w:r>
      <w:r w:rsidRPr="00565168">
        <w:t>iscretion</w:t>
      </w:r>
      <w:r>
        <w:t xml:space="preserve"> in relation to residence</w:t>
      </w:r>
      <w:r w:rsidRPr="00565168">
        <w:t xml:space="preserve"> </w:t>
      </w:r>
      <w:r>
        <w:t xml:space="preserve">requirements only </w:t>
      </w:r>
      <w:r w:rsidRPr="00565168">
        <w:t xml:space="preserve">where a written request to exercise them is made within 18 months </w:t>
      </w:r>
      <w:r w:rsidRPr="00390519">
        <w:t>of completion of the</w:t>
      </w:r>
      <w:r>
        <w:t xml:space="preserve"> transfer for a home</w:t>
      </w:r>
      <w:r w:rsidRPr="00390519">
        <w:t xml:space="preserve">, or the date </w:t>
      </w:r>
      <w:r>
        <w:t>that</w:t>
      </w:r>
      <w:r w:rsidRPr="00390519">
        <w:t xml:space="preserve"> the certificate of occupancy that is issued following co</w:t>
      </w:r>
      <w:r>
        <w:t>mpletion of construction of a home for vacant land.</w:t>
      </w:r>
    </w:p>
    <w:p w14:paraId="241073D4" w14:textId="77777777" w:rsidR="008B28F2" w:rsidRDefault="008B28F2" w:rsidP="00C07E4C">
      <w:pPr>
        <w:rPr>
          <w:b/>
        </w:rPr>
      </w:pPr>
    </w:p>
    <w:p w14:paraId="01430CEF" w14:textId="77777777" w:rsidR="00F9355E" w:rsidRPr="00F44C41" w:rsidRDefault="00F9355E" w:rsidP="00F9355E">
      <w:pPr>
        <w:keepNext/>
        <w:rPr>
          <w:rFonts w:ascii="Arial" w:hAnsi="Arial" w:cs="Arial"/>
          <w:b/>
          <w:sz w:val="26"/>
          <w:szCs w:val="26"/>
        </w:rPr>
      </w:pPr>
      <w:r w:rsidRPr="00F62620">
        <w:rPr>
          <w:rFonts w:ascii="Arial" w:hAnsi="Arial" w:cs="Arial"/>
          <w:b/>
          <w:sz w:val="26"/>
          <w:szCs w:val="26"/>
        </w:rPr>
        <w:t xml:space="preserve">Failure to comply with </w:t>
      </w:r>
      <w:r w:rsidRPr="00160FF7">
        <w:rPr>
          <w:rFonts w:ascii="Arial" w:hAnsi="Arial" w:cs="Arial"/>
          <w:b/>
          <w:sz w:val="26"/>
          <w:szCs w:val="26"/>
        </w:rPr>
        <w:t>requirements</w:t>
      </w:r>
    </w:p>
    <w:p w14:paraId="0453CACD" w14:textId="77777777" w:rsidR="00F9355E" w:rsidRDefault="00F9355E" w:rsidP="00F9355E">
      <w:pPr>
        <w:keepNext/>
      </w:pPr>
    </w:p>
    <w:p w14:paraId="1D97C0C4" w14:textId="1E6F438C" w:rsidR="00F9355E" w:rsidRPr="00160FF7" w:rsidRDefault="00F9355E" w:rsidP="00F9355E">
      <w:r>
        <w:t xml:space="preserve">If a transaction ceases to be an eligible transaction—for example, </w:t>
      </w:r>
      <w:r w:rsidR="00932FF9">
        <w:t xml:space="preserve">a </w:t>
      </w:r>
      <w:r w:rsidR="0052088C">
        <w:t>pensioner</w:t>
      </w:r>
      <w:r w:rsidR="00932FF9">
        <w:t xml:space="preserve"> failed to meet the residence period</w:t>
      </w:r>
      <w:r>
        <w:t>—the Determination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t>the transferee</w:t>
      </w:r>
      <w:r w:rsidRPr="00160FF7">
        <w:t xml:space="preserve"> first becomes </w:t>
      </w:r>
      <w:r>
        <w:t xml:space="preserve">aware </w:t>
      </w:r>
      <w:r w:rsidRPr="00160FF7">
        <w:t>that the requirement will not be complied with (whichever comes first).</w:t>
      </w:r>
    </w:p>
    <w:p w14:paraId="61CAD735" w14:textId="77777777" w:rsidR="00F9355E" w:rsidRDefault="00F9355E" w:rsidP="00F9355E"/>
    <w:p w14:paraId="3DAEE90E" w14:textId="17B9464B" w:rsidR="00F9355E" w:rsidRDefault="00F9355E" w:rsidP="00F9355E">
      <w:r w:rsidRPr="00160FF7">
        <w:t>If the transaction ceases to be an</w:t>
      </w:r>
      <w:r w:rsidRPr="005F597E">
        <w:t xml:space="preserve"> </w:t>
      </w:r>
      <w:r>
        <w:t>eligible transaction</w:t>
      </w:r>
      <w:r w:rsidRPr="00160FF7">
        <w:t xml:space="preserve">, </w:t>
      </w:r>
      <w:r w:rsidR="00083C38">
        <w:t xml:space="preserve">the </w:t>
      </w:r>
      <w:r>
        <w:t>duty</w:t>
      </w:r>
      <w:r w:rsidR="00083C38">
        <w:t xml:space="preserve"> deferred will become payable</w:t>
      </w:r>
      <w:r>
        <w:t xml:space="preserve">. </w:t>
      </w:r>
    </w:p>
    <w:p w14:paraId="7A2F8351" w14:textId="77777777" w:rsidR="00F9355E" w:rsidRDefault="00F9355E" w:rsidP="00F9355E"/>
    <w:p w14:paraId="73DBF8E3" w14:textId="42808900" w:rsidR="00167566" w:rsidRPr="000B33F9" w:rsidRDefault="00167566" w:rsidP="00167566">
      <w:r w:rsidRPr="000B33F9">
        <w:t xml:space="preserve">As the transferee is liable duty from the transaction date, a liability to pay the duty arises from 14 days after the transfer is registered with the registrar-general under section 16 (1) ‘Table 16 Items 1 and 3’ of the </w:t>
      </w:r>
      <w:r w:rsidRPr="000B33F9">
        <w:rPr>
          <w:i/>
          <w:iCs/>
        </w:rPr>
        <w:t>Duties Act 1999</w:t>
      </w:r>
      <w:r w:rsidRPr="000B33F9">
        <w:t>. A tax default arises if the tax is not paid within 14 days and penalty tax applies under section</w:t>
      </w:r>
      <w:r w:rsidR="000B33F9" w:rsidRPr="000B33F9">
        <w:t>s</w:t>
      </w:r>
      <w:r w:rsidRPr="000B33F9">
        <w:t xml:space="preserve"> 31 (1)</w:t>
      </w:r>
      <w:r w:rsidR="000B33F9" w:rsidRPr="000B33F9">
        <w:t xml:space="preserve">, (2), </w:t>
      </w:r>
      <w:r w:rsidR="00EF5330">
        <w:t>or</w:t>
      </w:r>
      <w:r w:rsidR="000B33F9" w:rsidRPr="000B33F9">
        <w:t xml:space="preserve"> (4)</w:t>
      </w:r>
      <w:r w:rsidRPr="000B33F9">
        <w:t xml:space="preserve"> of the </w:t>
      </w:r>
      <w:r w:rsidRPr="000B33F9">
        <w:rPr>
          <w:i/>
          <w:iCs/>
        </w:rPr>
        <w:t>Taxation Administration Act 1999</w:t>
      </w:r>
      <w:r w:rsidRPr="000B33F9">
        <w:t xml:space="preserve"> (TA Act), unless the Commissioner is satisfied that section 31 (5) applies, such as taking reasonable care to comply with a tax law. Interest also applies to a tax default and is calculated daily under section 25 (1) of the TA Act. Interest therefore is imposed from the 15</w:t>
      </w:r>
      <w:r w:rsidRPr="000B33F9">
        <w:rPr>
          <w:vertAlign w:val="superscript"/>
        </w:rPr>
        <w:t>th</w:t>
      </w:r>
      <w:r w:rsidRPr="000B33F9">
        <w:t xml:space="preserve"> day after the transfer is registered with the registrar-general until the purchaser pays the unpaid tax. This can include penalty tax if a purchaser failed to meet the criteria for an ‘eligible transaction’ under section </w:t>
      </w:r>
      <w:r w:rsidR="00133791">
        <w:t>4</w:t>
      </w:r>
      <w:r w:rsidRPr="000B33F9">
        <w:t xml:space="preserve"> of the Determination and by definition includes the residence period requirements. </w:t>
      </w:r>
    </w:p>
    <w:p w14:paraId="58E80D28" w14:textId="77777777" w:rsidR="00167566" w:rsidRPr="000B33F9" w:rsidRDefault="00167566" w:rsidP="00167566"/>
    <w:p w14:paraId="594D9890" w14:textId="77777777" w:rsidR="00167566" w:rsidRPr="000B33F9" w:rsidRDefault="00167566" w:rsidP="00167566">
      <w:r w:rsidRPr="000B33F9">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10E2AEC5" w14:textId="77777777" w:rsidR="00167566" w:rsidRPr="000B33F9" w:rsidRDefault="00167566" w:rsidP="00167566"/>
    <w:p w14:paraId="635788F7" w14:textId="77777777" w:rsidR="00167566" w:rsidRDefault="00167566" w:rsidP="00167566">
      <w:r w:rsidRPr="000B33F9">
        <w:t>The TA Act also provides a range of offences which may apply, such as for the avoidance of tax and failing to notify the Commissioner.</w:t>
      </w:r>
      <w:r>
        <w:t xml:space="preserve"> </w:t>
      </w:r>
    </w:p>
    <w:p w14:paraId="35AEDA20" w14:textId="77777777" w:rsidR="00867905" w:rsidRDefault="00867905" w:rsidP="00167566"/>
    <w:p w14:paraId="72FB997E" w14:textId="77777777" w:rsidR="00867905" w:rsidRDefault="00867905" w:rsidP="00167566"/>
    <w:p w14:paraId="693B1A76" w14:textId="77777777" w:rsidR="00867905" w:rsidRDefault="00867905" w:rsidP="001D7467">
      <w:pPr>
        <w:keepNext/>
        <w:rPr>
          <w:rFonts w:ascii="Arial" w:hAnsi="Arial" w:cs="Arial"/>
          <w:b/>
          <w:sz w:val="26"/>
          <w:szCs w:val="26"/>
        </w:rPr>
      </w:pPr>
    </w:p>
    <w:p w14:paraId="114268A5" w14:textId="01D526B8" w:rsidR="005C73CE" w:rsidRDefault="00A0434D" w:rsidP="001D7467">
      <w:pPr>
        <w:keepNext/>
        <w:rPr>
          <w:rFonts w:ascii="Arial" w:hAnsi="Arial" w:cs="Arial"/>
          <w:b/>
          <w:sz w:val="26"/>
          <w:szCs w:val="26"/>
        </w:rPr>
      </w:pPr>
      <w:r w:rsidRPr="00695278">
        <w:rPr>
          <w:rFonts w:ascii="Arial" w:hAnsi="Arial" w:cs="Arial"/>
          <w:b/>
          <w:sz w:val="26"/>
          <w:szCs w:val="26"/>
        </w:rPr>
        <w:t xml:space="preserve">Conditions of </w:t>
      </w:r>
      <w:r w:rsidR="00916960" w:rsidRPr="00695278">
        <w:rPr>
          <w:rFonts w:ascii="Arial" w:hAnsi="Arial" w:cs="Arial"/>
          <w:b/>
          <w:sz w:val="26"/>
          <w:szCs w:val="26"/>
        </w:rPr>
        <w:t>Duty Deferral</w:t>
      </w:r>
    </w:p>
    <w:p w14:paraId="3DA3D27B" w14:textId="77777777" w:rsidR="001D7467" w:rsidRPr="00695278" w:rsidRDefault="001D7467" w:rsidP="00695278">
      <w:pPr>
        <w:keepNext/>
        <w:rPr>
          <w:rFonts w:ascii="Arial" w:hAnsi="Arial" w:cs="Arial"/>
          <w:b/>
          <w:sz w:val="26"/>
          <w:szCs w:val="26"/>
        </w:rPr>
      </w:pPr>
    </w:p>
    <w:p w14:paraId="336D08EC" w14:textId="3214D9DF" w:rsidR="0079709A" w:rsidRDefault="004B0456" w:rsidP="00C07E4C">
      <w:r>
        <w:t xml:space="preserve">A duty deferral arrangement </w:t>
      </w:r>
      <w:r w:rsidR="00703FF6">
        <w:t xml:space="preserve">determined </w:t>
      </w:r>
      <w:r>
        <w:t xml:space="preserve">under Division 2.6A.2 </w:t>
      </w:r>
      <w:r w:rsidR="00703FF6">
        <w:t xml:space="preserve">of the Duties Act </w:t>
      </w:r>
      <w:r>
        <w:t>may be subject to conditions</w:t>
      </w:r>
      <w:r w:rsidR="00E215B9">
        <w:t>—</w:t>
      </w:r>
      <w:r>
        <w:t xml:space="preserve">refer </w:t>
      </w:r>
      <w:r w:rsidR="009F7509">
        <w:t xml:space="preserve">to </w:t>
      </w:r>
      <w:r>
        <w:t xml:space="preserve">section 75AG (3) and section </w:t>
      </w:r>
      <w:r w:rsidR="00DF690B">
        <w:t>75AJ of the Duties Act</w:t>
      </w:r>
      <w:r>
        <w:t xml:space="preserve">. </w:t>
      </w:r>
    </w:p>
    <w:p w14:paraId="78FC0D23" w14:textId="77777777" w:rsidR="0079709A" w:rsidRDefault="0079709A" w:rsidP="00C07E4C"/>
    <w:p w14:paraId="7890FBE3" w14:textId="3016696D" w:rsidR="008275AD" w:rsidRPr="00520F36" w:rsidRDefault="00703FF6" w:rsidP="00C07E4C">
      <w:r>
        <w:t>The Determination sets conditions on duty deferrals:</w:t>
      </w:r>
    </w:p>
    <w:p w14:paraId="0D1AA1DA" w14:textId="77777777" w:rsidR="0079709A" w:rsidRDefault="0079709A" w:rsidP="0079709A"/>
    <w:p w14:paraId="04EA4C82" w14:textId="5C919B78" w:rsidR="00935B2E" w:rsidRPr="0052088C" w:rsidRDefault="00935B2E" w:rsidP="0052088C">
      <w:pPr>
        <w:rPr>
          <w:i/>
          <w:iCs/>
          <w:u w:val="single"/>
        </w:rPr>
      </w:pPr>
      <w:r w:rsidRPr="0052088C">
        <w:rPr>
          <w:i/>
          <w:iCs/>
          <w:u w:val="single"/>
        </w:rPr>
        <w:t>Application</w:t>
      </w:r>
    </w:p>
    <w:p w14:paraId="44068C5C" w14:textId="59063597" w:rsidR="00935B2E" w:rsidRDefault="00935B2E" w:rsidP="00935B2E">
      <w:pPr>
        <w:pStyle w:val="ListParagraph"/>
        <w:ind w:left="426"/>
      </w:pPr>
    </w:p>
    <w:p w14:paraId="5E42CA61" w14:textId="74F96022" w:rsidR="00935B2E" w:rsidRDefault="00935B2E" w:rsidP="0052088C">
      <w:r>
        <w:t>An eligible person must apply to the Commissioner for the deferred payment of duty</w:t>
      </w:r>
      <w:r w:rsidR="00051BBC">
        <w:t>—</w:t>
      </w:r>
      <w:r>
        <w:t xml:space="preserve">refer to section 75AH of the Duties Act. The application must be made at the same time the instrument of transfer for the property is lodged with the </w:t>
      </w:r>
      <w:r w:rsidR="00541BF0">
        <w:t>r</w:t>
      </w:r>
      <w:r>
        <w:t>egistrar-</w:t>
      </w:r>
      <w:r w:rsidR="00541BF0">
        <w:t>g</w:t>
      </w:r>
      <w:r>
        <w:t xml:space="preserve">eneral under the </w:t>
      </w:r>
      <w:r w:rsidRPr="00ED10BE">
        <w:rPr>
          <w:i/>
          <w:iCs/>
        </w:rPr>
        <w:t>Land Ti</w:t>
      </w:r>
      <w:r w:rsidR="00086655" w:rsidRPr="00ED10BE">
        <w:rPr>
          <w:i/>
          <w:iCs/>
        </w:rPr>
        <w:t>t</w:t>
      </w:r>
      <w:r w:rsidRPr="00ED10BE">
        <w:rPr>
          <w:i/>
          <w:iCs/>
        </w:rPr>
        <w:t>les Act 1925.</w:t>
      </w:r>
    </w:p>
    <w:p w14:paraId="0E836834" w14:textId="77777777" w:rsidR="00935B2E" w:rsidRDefault="00935B2E" w:rsidP="00935B2E">
      <w:pPr>
        <w:pStyle w:val="ListParagraph"/>
        <w:ind w:left="426"/>
      </w:pPr>
    </w:p>
    <w:p w14:paraId="2DCF9116" w14:textId="11DE60A2" w:rsidR="0079709A" w:rsidRPr="0052088C" w:rsidRDefault="0079709A" w:rsidP="0052088C">
      <w:pPr>
        <w:rPr>
          <w:i/>
          <w:iCs/>
          <w:u w:val="single"/>
        </w:rPr>
      </w:pPr>
      <w:r w:rsidRPr="0052088C">
        <w:rPr>
          <w:i/>
          <w:iCs/>
          <w:u w:val="single"/>
        </w:rPr>
        <w:t>Interest</w:t>
      </w:r>
    </w:p>
    <w:p w14:paraId="0EFDB1B7" w14:textId="77777777" w:rsidR="00A0434D" w:rsidRPr="005F4557" w:rsidRDefault="00A0434D" w:rsidP="00C07E4C">
      <w:pPr>
        <w:rPr>
          <w:sz w:val="12"/>
          <w:szCs w:val="12"/>
        </w:rPr>
      </w:pPr>
    </w:p>
    <w:p w14:paraId="35978037" w14:textId="46483E25" w:rsidR="0079709A" w:rsidRDefault="0079709A" w:rsidP="0052088C">
      <w:r>
        <w:t xml:space="preserve">Interest at the market rate </w:t>
      </w:r>
      <w:r w:rsidR="00DF690B">
        <w:t xml:space="preserve">(determined under </w:t>
      </w:r>
      <w:r w:rsidR="008B28F2">
        <w:t xml:space="preserve">section 26 of </w:t>
      </w:r>
      <w:r w:rsidR="00DF690B">
        <w:t>the</w:t>
      </w:r>
      <w:r w:rsidR="00380C77">
        <w:t xml:space="preserve"> TA</w:t>
      </w:r>
      <w:r w:rsidR="00133791">
        <w:t xml:space="preserve"> </w:t>
      </w:r>
      <w:r w:rsidR="00380C77">
        <w:t>A</w:t>
      </w:r>
      <w:r w:rsidR="00133791">
        <w:t>ct</w:t>
      </w:r>
      <w:r w:rsidR="00DF690B">
        <w:t xml:space="preserve">) </w:t>
      </w:r>
      <w:r>
        <w:t xml:space="preserve">will be payable on the deferred amount of duty </w:t>
      </w:r>
      <w:r w:rsidR="000A4BA4">
        <w:t>for as long as the amount of duty remains unpaid</w:t>
      </w:r>
      <w:r>
        <w:t>.</w:t>
      </w:r>
    </w:p>
    <w:p w14:paraId="101E8371" w14:textId="77777777" w:rsidR="0079709A" w:rsidRDefault="0079709A" w:rsidP="00C07E4C"/>
    <w:p w14:paraId="7DA54822" w14:textId="77777777" w:rsidR="0079709A" w:rsidRPr="0052088C" w:rsidRDefault="0079709A" w:rsidP="0052088C">
      <w:pPr>
        <w:rPr>
          <w:i/>
          <w:iCs/>
          <w:u w:val="single"/>
        </w:rPr>
      </w:pPr>
      <w:r w:rsidRPr="0052088C">
        <w:rPr>
          <w:i/>
          <w:iCs/>
          <w:u w:val="single"/>
        </w:rPr>
        <w:t xml:space="preserve">Payment of deferred </w:t>
      </w:r>
      <w:r w:rsidR="000A4BA4" w:rsidRPr="0052088C">
        <w:rPr>
          <w:i/>
          <w:iCs/>
          <w:u w:val="single"/>
        </w:rPr>
        <w:t>amount</w:t>
      </w:r>
    </w:p>
    <w:p w14:paraId="48CD487F" w14:textId="289B006D" w:rsidR="00A82A9D" w:rsidRPr="005F4557" w:rsidRDefault="00A82A9D" w:rsidP="00C07E4C">
      <w:pPr>
        <w:rPr>
          <w:sz w:val="12"/>
          <w:szCs w:val="12"/>
        </w:rPr>
      </w:pPr>
    </w:p>
    <w:p w14:paraId="1F3F6712" w14:textId="521D172C" w:rsidR="00CB5A12" w:rsidRPr="0066291F" w:rsidRDefault="000A4BA4" w:rsidP="0052088C">
      <w:pPr>
        <w:spacing w:after="140"/>
      </w:pPr>
      <w:r w:rsidRPr="0066291F">
        <w:t>The deferred duty and any interest that accrues must be paid when</w:t>
      </w:r>
      <w:r w:rsidR="00CB5A12" w:rsidRPr="0066291F">
        <w:t>:</w:t>
      </w:r>
    </w:p>
    <w:p w14:paraId="22530992" w14:textId="1DB27D0D" w:rsidR="00CB5A12" w:rsidRPr="0066291F" w:rsidRDefault="000A4BA4" w:rsidP="00ED10BE">
      <w:pPr>
        <w:pStyle w:val="ListParagraph"/>
        <w:numPr>
          <w:ilvl w:val="0"/>
          <w:numId w:val="16"/>
        </w:numPr>
        <w:ind w:left="993" w:hanging="568"/>
      </w:pPr>
      <w:r w:rsidRPr="0066291F">
        <w:t>the property is transferred to an</w:t>
      </w:r>
      <w:r w:rsidR="007F669E" w:rsidRPr="0066291F">
        <w:t xml:space="preserve">y </w:t>
      </w:r>
      <w:r w:rsidRPr="0066291F">
        <w:t>other person</w:t>
      </w:r>
      <w:r w:rsidR="00BB5C97" w:rsidRPr="0066291F">
        <w:t>;</w:t>
      </w:r>
      <w:r w:rsidR="007B4484">
        <w:t xml:space="preserve"> or</w:t>
      </w:r>
    </w:p>
    <w:p w14:paraId="32772769" w14:textId="009D2BAB" w:rsidR="00CB5A12" w:rsidRPr="0066291F" w:rsidRDefault="00B30776" w:rsidP="00ED10BE">
      <w:pPr>
        <w:pStyle w:val="ListParagraph"/>
        <w:numPr>
          <w:ilvl w:val="0"/>
          <w:numId w:val="16"/>
        </w:numPr>
        <w:ind w:left="993" w:hanging="568"/>
      </w:pPr>
      <w:r w:rsidRPr="0066291F">
        <w:t>t</w:t>
      </w:r>
      <w:r w:rsidR="00CB5A12" w:rsidRPr="0066291F">
        <w:t xml:space="preserve">he interest in the property held by the </w:t>
      </w:r>
      <w:r w:rsidR="00BB5C97" w:rsidRPr="0066291F">
        <w:t>‘</w:t>
      </w:r>
      <w:r w:rsidR="00CB5A12" w:rsidRPr="0066291F">
        <w:t>pensioner</w:t>
      </w:r>
      <w:r w:rsidR="00BB5C97" w:rsidRPr="0066291F">
        <w:t>’</w:t>
      </w:r>
      <w:r w:rsidR="00CB5A12" w:rsidRPr="0066291F">
        <w:t xml:space="preserve"> for the purposes of the transaction</w:t>
      </w:r>
      <w:r w:rsidR="00BB5C97" w:rsidRPr="0066291F">
        <w:t>,</w:t>
      </w:r>
      <w:r w:rsidR="00CB5A12" w:rsidRPr="0066291F">
        <w:t xml:space="preserve"> is transferred</w:t>
      </w:r>
      <w:r w:rsidR="00BB5C97" w:rsidRPr="0066291F">
        <w:t xml:space="preserve"> </w:t>
      </w:r>
      <w:r w:rsidR="00CB5A12" w:rsidRPr="0066291F">
        <w:t>to:</w:t>
      </w:r>
    </w:p>
    <w:p w14:paraId="7157977D" w14:textId="625F4356" w:rsidR="00CB5A12" w:rsidRPr="0066291F" w:rsidRDefault="00CB5A12" w:rsidP="00ED10BE">
      <w:pPr>
        <w:pStyle w:val="ListParagraph"/>
        <w:numPr>
          <w:ilvl w:val="0"/>
          <w:numId w:val="17"/>
        </w:numPr>
        <w:ind w:left="1560" w:hanging="589"/>
      </w:pPr>
      <w:r w:rsidRPr="0066291F">
        <w:t>another transferee;</w:t>
      </w:r>
      <w:r w:rsidR="00ED10BE">
        <w:t xml:space="preserve"> or</w:t>
      </w:r>
    </w:p>
    <w:p w14:paraId="4FDA6FEE" w14:textId="49BB0592" w:rsidR="00CB5A12" w:rsidRPr="0066291F" w:rsidRDefault="00CB5A12" w:rsidP="00ED10BE">
      <w:pPr>
        <w:ind w:left="1560" w:hanging="589"/>
      </w:pPr>
      <w:r w:rsidRPr="0066291F">
        <w:t xml:space="preserve">(ii) </w:t>
      </w:r>
      <w:r w:rsidR="00B30776" w:rsidRPr="0066291F">
        <w:tab/>
      </w:r>
      <w:r w:rsidRPr="0066291F">
        <w:t>an administrator or executor of the estate of the pensioner</w:t>
      </w:r>
      <w:r w:rsidR="00BB5C97" w:rsidRPr="0066291F">
        <w:t xml:space="preserve"> (includes a transfer by transmission application);</w:t>
      </w:r>
      <w:r w:rsidR="00086655">
        <w:t xml:space="preserve"> or</w:t>
      </w:r>
    </w:p>
    <w:p w14:paraId="239DF523" w14:textId="4682CEAE" w:rsidR="00CB5A12" w:rsidRPr="0066291F" w:rsidRDefault="00CB5A12" w:rsidP="00ED10BE">
      <w:pPr>
        <w:ind w:left="1560" w:hanging="589"/>
      </w:pPr>
      <w:r w:rsidRPr="0066291F">
        <w:t>(iii)</w:t>
      </w:r>
      <w:r w:rsidR="00B30776" w:rsidRPr="0066291F">
        <w:tab/>
      </w:r>
      <w:r w:rsidRPr="0066291F">
        <w:t xml:space="preserve">any other person. </w:t>
      </w:r>
    </w:p>
    <w:p w14:paraId="20C1CAA6" w14:textId="77777777" w:rsidR="000A4BA4" w:rsidRDefault="000A4BA4" w:rsidP="0066291F">
      <w:pPr>
        <w:pStyle w:val="ListParagraph"/>
      </w:pPr>
    </w:p>
    <w:p w14:paraId="45880DC2" w14:textId="4ECB15B6" w:rsidR="000A4BA4" w:rsidRDefault="000A4BA4" w:rsidP="004A0477">
      <w:r w:rsidRPr="0066291F">
        <w:t xml:space="preserve">Any duty payable is a debt owing to the Territory and is a first charge on the interest </w:t>
      </w:r>
      <w:r w:rsidR="000B33F9">
        <w:t xml:space="preserve">in the property </w:t>
      </w:r>
      <w:r w:rsidRPr="0066291F">
        <w:t xml:space="preserve">held by an owner </w:t>
      </w:r>
      <w:r w:rsidR="000B33F9">
        <w:t xml:space="preserve">and </w:t>
      </w:r>
      <w:r w:rsidRPr="0066291F">
        <w:t xml:space="preserve">takes priority over other interests – see section 5 </w:t>
      </w:r>
      <w:r w:rsidR="00B71D59" w:rsidRPr="0066291F">
        <w:t xml:space="preserve">of the Duties Act </w:t>
      </w:r>
      <w:r w:rsidRPr="0066291F">
        <w:t>and section 56H of the</w:t>
      </w:r>
      <w:r w:rsidR="00380C77">
        <w:t xml:space="preserve"> TA</w:t>
      </w:r>
      <w:r w:rsidR="000B33F9">
        <w:t xml:space="preserve"> </w:t>
      </w:r>
      <w:r w:rsidR="00380C77">
        <w:t>A</w:t>
      </w:r>
      <w:r w:rsidR="000B33F9">
        <w:t>ct</w:t>
      </w:r>
      <w:r w:rsidRPr="0066291F">
        <w:t>.</w:t>
      </w:r>
    </w:p>
    <w:p w14:paraId="4135C230" w14:textId="77777777" w:rsidR="007B4484" w:rsidRDefault="007B4484" w:rsidP="004A0477"/>
    <w:p w14:paraId="36E94B68" w14:textId="5C402E6B" w:rsidR="006724AD" w:rsidRDefault="00A007DF" w:rsidP="001D7467">
      <w:pPr>
        <w:keepNext/>
        <w:rPr>
          <w:rFonts w:ascii="Arial" w:hAnsi="Arial" w:cs="Arial"/>
          <w:b/>
          <w:sz w:val="26"/>
          <w:szCs w:val="26"/>
        </w:rPr>
      </w:pPr>
      <w:r>
        <w:rPr>
          <w:rFonts w:ascii="Arial" w:hAnsi="Arial" w:cs="Arial"/>
          <w:b/>
          <w:sz w:val="26"/>
          <w:szCs w:val="26"/>
        </w:rPr>
        <w:t>Operation</w:t>
      </w:r>
    </w:p>
    <w:p w14:paraId="240A36E9" w14:textId="77777777" w:rsidR="006724AD" w:rsidRPr="00E215B9" w:rsidRDefault="006724AD" w:rsidP="000A4BA4">
      <w:pPr>
        <w:rPr>
          <w:b/>
          <w:highlight w:val="yellow"/>
        </w:rPr>
      </w:pPr>
    </w:p>
    <w:p w14:paraId="498C1F5A" w14:textId="7805666C" w:rsidR="002D05A9" w:rsidRPr="00A007DF" w:rsidRDefault="00B31B03" w:rsidP="002D05A9">
      <w:pPr>
        <w:pStyle w:val="Amain"/>
        <w:tabs>
          <w:tab w:val="clear" w:pos="500"/>
          <w:tab w:val="clear" w:pos="700"/>
          <w:tab w:val="right" w:pos="-284"/>
          <w:tab w:val="left" w:pos="567"/>
        </w:tabs>
        <w:spacing w:before="0" w:after="0"/>
        <w:ind w:left="0" w:firstLine="0"/>
        <w:jc w:val="left"/>
        <w:outlineLvl w:val="9"/>
      </w:pPr>
      <w:r w:rsidRPr="00A007DF">
        <w:t>D</w:t>
      </w:r>
      <w:r w:rsidR="0011786A" w:rsidRPr="00A007DF">
        <w:t xml:space="preserve">uty </w:t>
      </w:r>
      <w:r w:rsidR="00DA410E" w:rsidRPr="00A007DF">
        <w:t xml:space="preserve">deferrals approved under </w:t>
      </w:r>
      <w:r w:rsidRPr="00A007DF">
        <w:t xml:space="preserve">the </w:t>
      </w:r>
      <w:r w:rsidR="00C34E51" w:rsidRPr="00A007DF">
        <w:t>Determination</w:t>
      </w:r>
      <w:r w:rsidR="00C34E51" w:rsidRPr="00A007DF">
        <w:rPr>
          <w:i/>
          <w:iCs/>
        </w:rPr>
        <w:t xml:space="preserve"> </w:t>
      </w:r>
      <w:r w:rsidR="00A665DB" w:rsidRPr="00A007DF">
        <w:t xml:space="preserve">(and its conditions of approval) </w:t>
      </w:r>
      <w:r w:rsidR="00DA410E" w:rsidRPr="00A007DF">
        <w:t xml:space="preserve">will continue to apply </w:t>
      </w:r>
      <w:r w:rsidR="009A6826" w:rsidRPr="00A007DF">
        <w:t xml:space="preserve">should the </w:t>
      </w:r>
      <w:r w:rsidR="00703FF6" w:rsidRPr="00A007DF">
        <w:t xml:space="preserve">Determination </w:t>
      </w:r>
      <w:r w:rsidR="009A6826" w:rsidRPr="00A007DF">
        <w:t xml:space="preserve">cease </w:t>
      </w:r>
      <w:r w:rsidR="00DA410E" w:rsidRPr="00A007DF">
        <w:t>until the</w:t>
      </w:r>
      <w:r w:rsidR="00896DB3" w:rsidRPr="00A007DF">
        <w:t xml:space="preserve"> duty </w:t>
      </w:r>
      <w:r w:rsidR="0014009A" w:rsidRPr="00A007DF">
        <w:t xml:space="preserve">amount </w:t>
      </w:r>
      <w:r w:rsidR="00896DB3" w:rsidRPr="00A007DF">
        <w:t xml:space="preserve">deferred and any accrued interest is </w:t>
      </w:r>
      <w:r w:rsidR="00DA410E" w:rsidRPr="00A007DF">
        <w:t xml:space="preserve">paid </w:t>
      </w:r>
      <w:r w:rsidR="0014009A" w:rsidRPr="00A007DF">
        <w:t>in full</w:t>
      </w:r>
      <w:r w:rsidR="00896DB3" w:rsidRPr="00A007DF">
        <w:t xml:space="preserve">. </w:t>
      </w:r>
      <w:r w:rsidR="002D05A9" w:rsidRPr="00A007DF">
        <w:t xml:space="preserve">Similarly, the Determination does not affect the operation of deferrals granted under previous instruments for the operation of the Pensioner Duty Deferral Scheme. </w:t>
      </w:r>
    </w:p>
    <w:p w14:paraId="7DB3AABF" w14:textId="1F9B9A70" w:rsidR="00896DB3" w:rsidRPr="0066291F" w:rsidRDefault="00896DB3" w:rsidP="00695278">
      <w:pPr>
        <w:spacing w:before="140"/>
      </w:pPr>
    </w:p>
    <w:p w14:paraId="5E43F21F" w14:textId="77777777" w:rsidR="000E22E8" w:rsidRPr="0053158D" w:rsidRDefault="000E22E8" w:rsidP="000E22E8">
      <w:pPr>
        <w:keepNext/>
        <w:rPr>
          <w:rFonts w:ascii="Arial" w:hAnsi="Arial" w:cs="Arial"/>
          <w:b/>
          <w:sz w:val="26"/>
          <w:szCs w:val="26"/>
        </w:rPr>
      </w:pPr>
      <w:r w:rsidRPr="0053158D">
        <w:rPr>
          <w:rFonts w:ascii="Arial" w:hAnsi="Arial" w:cs="Arial"/>
          <w:b/>
          <w:sz w:val="26"/>
          <w:szCs w:val="26"/>
        </w:rPr>
        <w:t>Revocation</w:t>
      </w:r>
      <w:r>
        <w:rPr>
          <w:rFonts w:ascii="Arial" w:hAnsi="Arial" w:cs="Arial"/>
          <w:b/>
          <w:sz w:val="26"/>
          <w:szCs w:val="26"/>
        </w:rPr>
        <w:t xml:space="preserve"> </w:t>
      </w:r>
    </w:p>
    <w:p w14:paraId="6FAC8605" w14:textId="77777777" w:rsidR="000E22E8" w:rsidRPr="0053158D" w:rsidRDefault="000E22E8" w:rsidP="000E22E8"/>
    <w:p w14:paraId="489E6A32" w14:textId="2FD48131" w:rsidR="000E22E8" w:rsidRDefault="000E22E8" w:rsidP="000E22E8">
      <w:pPr>
        <w:rPr>
          <w:lang w:val="en-US"/>
        </w:rPr>
      </w:pPr>
      <w:r>
        <w:t xml:space="preserve">Section </w:t>
      </w:r>
      <w:r w:rsidR="00E55B9F">
        <w:t xml:space="preserve">9 </w:t>
      </w:r>
      <w:r>
        <w:t>of th</w:t>
      </w:r>
      <w:r w:rsidR="000B33F9">
        <w:t>e</w:t>
      </w:r>
      <w:r>
        <w:t xml:space="preserve"> Determination </w:t>
      </w:r>
      <w:r w:rsidRPr="0053158D">
        <w:t>revokes</w:t>
      </w:r>
      <w:r w:rsidRPr="0053158D">
        <w:rPr>
          <w:i/>
        </w:rPr>
        <w:t xml:space="preserve"> </w:t>
      </w:r>
      <w:r w:rsidRPr="0053158D">
        <w:t>DI20</w:t>
      </w:r>
      <w:r>
        <w:t>2</w:t>
      </w:r>
      <w:r w:rsidR="008452E7">
        <w:t>4</w:t>
      </w:r>
      <w:r w:rsidRPr="0053158D">
        <w:t>-</w:t>
      </w:r>
      <w:r w:rsidR="008452E7">
        <w:t>180</w:t>
      </w:r>
      <w:r w:rsidRPr="00DC7B99">
        <w:t>.</w:t>
      </w:r>
      <w:r w:rsidRPr="0053158D">
        <w:t xml:space="preserve"> </w:t>
      </w:r>
    </w:p>
    <w:p w14:paraId="6C693529" w14:textId="7D54D24C" w:rsidR="00B31B03" w:rsidRDefault="00B31B03"/>
    <w:p w14:paraId="55D72235" w14:textId="77777777" w:rsidR="00896DB3" w:rsidRDefault="00896DB3"/>
    <w:p w14:paraId="58A79A13" w14:textId="006FBFF3" w:rsidR="00AA6B8B" w:rsidRDefault="00AA6B8B"/>
    <w:sectPr w:rsidR="00AA6B8B" w:rsidSect="004A047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135"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51EE" w14:textId="77777777" w:rsidR="00AA413F" w:rsidRDefault="00AA413F" w:rsidP="00C17FAB">
      <w:r>
        <w:separator/>
      </w:r>
    </w:p>
  </w:endnote>
  <w:endnote w:type="continuationSeparator" w:id="0">
    <w:p w14:paraId="6D2DC02E" w14:textId="77777777" w:rsidR="00AA413F" w:rsidRDefault="00AA413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335F" w14:textId="77777777" w:rsidR="00C66151" w:rsidRDefault="00C66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C800" w14:textId="25DB3646" w:rsidR="00942866" w:rsidRPr="00C66151" w:rsidRDefault="00C66151" w:rsidP="00C66151">
    <w:pPr>
      <w:pStyle w:val="Footer"/>
      <w:jc w:val="center"/>
      <w:rPr>
        <w:rFonts w:cs="Arial"/>
        <w:sz w:val="14"/>
      </w:rPr>
    </w:pPr>
    <w:r w:rsidRPr="00C6615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1E3E" w14:textId="77777777" w:rsidR="00C66151" w:rsidRDefault="00C6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40CE" w14:textId="77777777" w:rsidR="00AA413F" w:rsidRDefault="00AA413F" w:rsidP="00C17FAB">
      <w:r>
        <w:separator/>
      </w:r>
    </w:p>
  </w:footnote>
  <w:footnote w:type="continuationSeparator" w:id="0">
    <w:p w14:paraId="35612026" w14:textId="77777777" w:rsidR="00AA413F" w:rsidRDefault="00AA413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D198" w14:textId="77777777" w:rsidR="00C66151" w:rsidRDefault="00C66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7FB2" w14:textId="77777777" w:rsidR="00C66151" w:rsidRDefault="00C66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D4AB" w14:textId="77777777" w:rsidR="00C66151" w:rsidRDefault="00C66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34144"/>
    <w:multiLevelType w:val="hybridMultilevel"/>
    <w:tmpl w:val="0B9A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E67479"/>
    <w:multiLevelType w:val="hybridMultilevel"/>
    <w:tmpl w:val="0F3E0C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671568"/>
    <w:multiLevelType w:val="hybridMultilevel"/>
    <w:tmpl w:val="996C3D50"/>
    <w:lvl w:ilvl="0" w:tplc="02640ED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14416C"/>
    <w:multiLevelType w:val="hybridMultilevel"/>
    <w:tmpl w:val="B57247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1F335A"/>
    <w:multiLevelType w:val="hybridMultilevel"/>
    <w:tmpl w:val="C31A709E"/>
    <w:lvl w:ilvl="0" w:tplc="18EC8AF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8F6636"/>
    <w:multiLevelType w:val="hybridMultilevel"/>
    <w:tmpl w:val="39A49D4E"/>
    <w:lvl w:ilvl="0" w:tplc="370ADA82">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1747C0"/>
    <w:multiLevelType w:val="hybridMultilevel"/>
    <w:tmpl w:val="C2E8C6EE"/>
    <w:lvl w:ilvl="0" w:tplc="C328525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4714EF"/>
    <w:multiLevelType w:val="hybridMultilevel"/>
    <w:tmpl w:val="DA581434"/>
    <w:lvl w:ilvl="0" w:tplc="FBACBD1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322A27"/>
    <w:multiLevelType w:val="hybridMultilevel"/>
    <w:tmpl w:val="BBD0B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70AD7C41"/>
    <w:multiLevelType w:val="hybridMultilevel"/>
    <w:tmpl w:val="053AE3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E4F40AE4">
      <w:start w:val="1"/>
      <w:numFmt w:val="lowerRoman"/>
      <w:lvlText w:val="%3."/>
      <w:lvlJc w:val="right"/>
      <w:pPr>
        <w:ind w:left="2160" w:hanging="180"/>
      </w:pPr>
      <w:rPr>
        <w:i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62940164">
    <w:abstractNumId w:val="2"/>
  </w:num>
  <w:num w:numId="2" w16cid:durableId="879634587">
    <w:abstractNumId w:val="0"/>
  </w:num>
  <w:num w:numId="3" w16cid:durableId="71045780">
    <w:abstractNumId w:val="3"/>
  </w:num>
  <w:num w:numId="4" w16cid:durableId="486633263">
    <w:abstractNumId w:val="9"/>
  </w:num>
  <w:num w:numId="5" w16cid:durableId="465973155">
    <w:abstractNumId w:val="18"/>
  </w:num>
  <w:num w:numId="6" w16cid:durableId="975137078">
    <w:abstractNumId w:val="1"/>
  </w:num>
  <w:num w:numId="7" w16cid:durableId="242496198">
    <w:abstractNumId w:val="7"/>
  </w:num>
  <w:num w:numId="8" w16cid:durableId="1834833274">
    <w:abstractNumId w:val="8"/>
  </w:num>
  <w:num w:numId="9" w16cid:durableId="1157768882">
    <w:abstractNumId w:val="20"/>
  </w:num>
  <w:num w:numId="10" w16cid:durableId="1802843506">
    <w:abstractNumId w:val="19"/>
  </w:num>
  <w:num w:numId="11" w16cid:durableId="1361006893">
    <w:abstractNumId w:val="5"/>
  </w:num>
  <w:num w:numId="12" w16cid:durableId="1210414004">
    <w:abstractNumId w:val="11"/>
  </w:num>
  <w:num w:numId="13" w16cid:durableId="1248733980">
    <w:abstractNumId w:val="13"/>
  </w:num>
  <w:num w:numId="14" w16cid:durableId="934096843">
    <w:abstractNumId w:val="10"/>
  </w:num>
  <w:num w:numId="15" w16cid:durableId="2048018215">
    <w:abstractNumId w:val="17"/>
  </w:num>
  <w:num w:numId="16" w16cid:durableId="742215090">
    <w:abstractNumId w:val="6"/>
  </w:num>
  <w:num w:numId="17" w16cid:durableId="2025859610">
    <w:abstractNumId w:val="12"/>
  </w:num>
  <w:num w:numId="18" w16cid:durableId="1775903741">
    <w:abstractNumId w:val="16"/>
  </w:num>
  <w:num w:numId="19" w16cid:durableId="538738561">
    <w:abstractNumId w:val="14"/>
  </w:num>
  <w:num w:numId="20" w16cid:durableId="1350570563">
    <w:abstractNumId w:val="4"/>
  </w:num>
  <w:num w:numId="21" w16cid:durableId="18036461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115B2"/>
    <w:rsid w:val="0001555E"/>
    <w:rsid w:val="00036FD6"/>
    <w:rsid w:val="000370B7"/>
    <w:rsid w:val="00043137"/>
    <w:rsid w:val="0004401B"/>
    <w:rsid w:val="00044A47"/>
    <w:rsid w:val="00044D06"/>
    <w:rsid w:val="00047F7C"/>
    <w:rsid w:val="00051BBC"/>
    <w:rsid w:val="0005616A"/>
    <w:rsid w:val="000620F8"/>
    <w:rsid w:val="00083C38"/>
    <w:rsid w:val="00084151"/>
    <w:rsid w:val="00084A95"/>
    <w:rsid w:val="00086655"/>
    <w:rsid w:val="000A0CDA"/>
    <w:rsid w:val="000A4950"/>
    <w:rsid w:val="000A4BA4"/>
    <w:rsid w:val="000A69CC"/>
    <w:rsid w:val="000B16EF"/>
    <w:rsid w:val="000B33F9"/>
    <w:rsid w:val="000B47B3"/>
    <w:rsid w:val="000C0320"/>
    <w:rsid w:val="000C406A"/>
    <w:rsid w:val="000D7351"/>
    <w:rsid w:val="000D7BC5"/>
    <w:rsid w:val="000E22E8"/>
    <w:rsid w:val="000F71A8"/>
    <w:rsid w:val="000F77A6"/>
    <w:rsid w:val="00104E59"/>
    <w:rsid w:val="0010787E"/>
    <w:rsid w:val="0011786A"/>
    <w:rsid w:val="0013287B"/>
    <w:rsid w:val="00133791"/>
    <w:rsid w:val="0014009A"/>
    <w:rsid w:val="00141623"/>
    <w:rsid w:val="00143E2D"/>
    <w:rsid w:val="0015449C"/>
    <w:rsid w:val="001546D9"/>
    <w:rsid w:val="00163067"/>
    <w:rsid w:val="00167566"/>
    <w:rsid w:val="00175FAA"/>
    <w:rsid w:val="001B357A"/>
    <w:rsid w:val="001B3D5A"/>
    <w:rsid w:val="001D2D85"/>
    <w:rsid w:val="001D70A5"/>
    <w:rsid w:val="001D7467"/>
    <w:rsid w:val="001F588D"/>
    <w:rsid w:val="001F780B"/>
    <w:rsid w:val="00233323"/>
    <w:rsid w:val="00244B5E"/>
    <w:rsid w:val="00256FA9"/>
    <w:rsid w:val="00266C34"/>
    <w:rsid w:val="00276BAF"/>
    <w:rsid w:val="00277051"/>
    <w:rsid w:val="002838D3"/>
    <w:rsid w:val="00284688"/>
    <w:rsid w:val="00295B06"/>
    <w:rsid w:val="00295F8A"/>
    <w:rsid w:val="002A3727"/>
    <w:rsid w:val="002A6EDD"/>
    <w:rsid w:val="002C2001"/>
    <w:rsid w:val="002C747B"/>
    <w:rsid w:val="002D05A9"/>
    <w:rsid w:val="002D24F1"/>
    <w:rsid w:val="002D2A83"/>
    <w:rsid w:val="002D3299"/>
    <w:rsid w:val="002D3524"/>
    <w:rsid w:val="002D3959"/>
    <w:rsid w:val="002D6F30"/>
    <w:rsid w:val="002D7523"/>
    <w:rsid w:val="002D7C60"/>
    <w:rsid w:val="002E1706"/>
    <w:rsid w:val="00324663"/>
    <w:rsid w:val="003268E2"/>
    <w:rsid w:val="00330BF5"/>
    <w:rsid w:val="0033212D"/>
    <w:rsid w:val="003555C6"/>
    <w:rsid w:val="003642CE"/>
    <w:rsid w:val="00375AE7"/>
    <w:rsid w:val="00380C77"/>
    <w:rsid w:val="0038342A"/>
    <w:rsid w:val="00387BAB"/>
    <w:rsid w:val="003A2713"/>
    <w:rsid w:val="003A5656"/>
    <w:rsid w:val="003B128C"/>
    <w:rsid w:val="003B2344"/>
    <w:rsid w:val="003B59A2"/>
    <w:rsid w:val="003C158F"/>
    <w:rsid w:val="003C338B"/>
    <w:rsid w:val="003C69D1"/>
    <w:rsid w:val="003F111B"/>
    <w:rsid w:val="003F5C2E"/>
    <w:rsid w:val="0047377C"/>
    <w:rsid w:val="004925A5"/>
    <w:rsid w:val="004A0477"/>
    <w:rsid w:val="004B0456"/>
    <w:rsid w:val="004B3ABF"/>
    <w:rsid w:val="004D3328"/>
    <w:rsid w:val="004D64DC"/>
    <w:rsid w:val="004E6ED0"/>
    <w:rsid w:val="004F28EB"/>
    <w:rsid w:val="004F477B"/>
    <w:rsid w:val="004F4D09"/>
    <w:rsid w:val="004F5001"/>
    <w:rsid w:val="005035B3"/>
    <w:rsid w:val="0052088C"/>
    <w:rsid w:val="00520F36"/>
    <w:rsid w:val="00541BF0"/>
    <w:rsid w:val="00545537"/>
    <w:rsid w:val="005477AA"/>
    <w:rsid w:val="00574C6E"/>
    <w:rsid w:val="00577C99"/>
    <w:rsid w:val="005830EC"/>
    <w:rsid w:val="00583D94"/>
    <w:rsid w:val="005B0A55"/>
    <w:rsid w:val="005C73CE"/>
    <w:rsid w:val="005D4519"/>
    <w:rsid w:val="005D7612"/>
    <w:rsid w:val="005E0D3B"/>
    <w:rsid w:val="005F29A0"/>
    <w:rsid w:val="005F4557"/>
    <w:rsid w:val="005F6AF3"/>
    <w:rsid w:val="00600AC7"/>
    <w:rsid w:val="006174F0"/>
    <w:rsid w:val="006252C9"/>
    <w:rsid w:val="00635DA5"/>
    <w:rsid w:val="00636F0A"/>
    <w:rsid w:val="0064181A"/>
    <w:rsid w:val="00646C67"/>
    <w:rsid w:val="00656F3F"/>
    <w:rsid w:val="0066291F"/>
    <w:rsid w:val="00670A96"/>
    <w:rsid w:val="006724AD"/>
    <w:rsid w:val="00687ED0"/>
    <w:rsid w:val="00695278"/>
    <w:rsid w:val="006A0962"/>
    <w:rsid w:val="006A45E0"/>
    <w:rsid w:val="006A5048"/>
    <w:rsid w:val="006A550B"/>
    <w:rsid w:val="006A7FB3"/>
    <w:rsid w:val="006C5788"/>
    <w:rsid w:val="006C7109"/>
    <w:rsid w:val="006C7D45"/>
    <w:rsid w:val="006D2B49"/>
    <w:rsid w:val="006D2FC8"/>
    <w:rsid w:val="006D4AC8"/>
    <w:rsid w:val="006F11E7"/>
    <w:rsid w:val="006F4177"/>
    <w:rsid w:val="006F7283"/>
    <w:rsid w:val="00703FF6"/>
    <w:rsid w:val="00724F11"/>
    <w:rsid w:val="00727AA5"/>
    <w:rsid w:val="0073417E"/>
    <w:rsid w:val="007346AC"/>
    <w:rsid w:val="00746B93"/>
    <w:rsid w:val="00746C1D"/>
    <w:rsid w:val="00750038"/>
    <w:rsid w:val="007659B0"/>
    <w:rsid w:val="00770D04"/>
    <w:rsid w:val="00771DEB"/>
    <w:rsid w:val="007819E5"/>
    <w:rsid w:val="0079709A"/>
    <w:rsid w:val="007A7CB4"/>
    <w:rsid w:val="007B4484"/>
    <w:rsid w:val="007D28F9"/>
    <w:rsid w:val="007F669E"/>
    <w:rsid w:val="00803D9B"/>
    <w:rsid w:val="008145EA"/>
    <w:rsid w:val="00815B1B"/>
    <w:rsid w:val="008275AD"/>
    <w:rsid w:val="00831E29"/>
    <w:rsid w:val="00832A8B"/>
    <w:rsid w:val="008452E7"/>
    <w:rsid w:val="00847074"/>
    <w:rsid w:val="00850A49"/>
    <w:rsid w:val="00860C3C"/>
    <w:rsid w:val="0086346C"/>
    <w:rsid w:val="00867840"/>
    <w:rsid w:val="00867905"/>
    <w:rsid w:val="00885E97"/>
    <w:rsid w:val="00896DB3"/>
    <w:rsid w:val="008A5EC7"/>
    <w:rsid w:val="008B28F2"/>
    <w:rsid w:val="008C0A45"/>
    <w:rsid w:val="008F1A46"/>
    <w:rsid w:val="009102FF"/>
    <w:rsid w:val="00915D31"/>
    <w:rsid w:val="00916960"/>
    <w:rsid w:val="009205A2"/>
    <w:rsid w:val="009255AF"/>
    <w:rsid w:val="00930A10"/>
    <w:rsid w:val="00932FF9"/>
    <w:rsid w:val="00933FCC"/>
    <w:rsid w:val="00935B2E"/>
    <w:rsid w:val="00942226"/>
    <w:rsid w:val="00942866"/>
    <w:rsid w:val="00953D64"/>
    <w:rsid w:val="00986FE3"/>
    <w:rsid w:val="009943F3"/>
    <w:rsid w:val="00994473"/>
    <w:rsid w:val="009A6826"/>
    <w:rsid w:val="009A7F4C"/>
    <w:rsid w:val="009D4FC2"/>
    <w:rsid w:val="009D7400"/>
    <w:rsid w:val="009E0024"/>
    <w:rsid w:val="009E46E7"/>
    <w:rsid w:val="009E4891"/>
    <w:rsid w:val="009E6158"/>
    <w:rsid w:val="009E6BC0"/>
    <w:rsid w:val="009F7509"/>
    <w:rsid w:val="00A007DF"/>
    <w:rsid w:val="00A0434D"/>
    <w:rsid w:val="00A05764"/>
    <w:rsid w:val="00A104AD"/>
    <w:rsid w:val="00A20A8C"/>
    <w:rsid w:val="00A32971"/>
    <w:rsid w:val="00A40327"/>
    <w:rsid w:val="00A438C9"/>
    <w:rsid w:val="00A56DE4"/>
    <w:rsid w:val="00A65BCC"/>
    <w:rsid w:val="00A665DB"/>
    <w:rsid w:val="00A67C0A"/>
    <w:rsid w:val="00A82A9D"/>
    <w:rsid w:val="00A84C4F"/>
    <w:rsid w:val="00A87FA6"/>
    <w:rsid w:val="00A96525"/>
    <w:rsid w:val="00AA413F"/>
    <w:rsid w:val="00AA6B8B"/>
    <w:rsid w:val="00AE2586"/>
    <w:rsid w:val="00AF2831"/>
    <w:rsid w:val="00B254AC"/>
    <w:rsid w:val="00B30776"/>
    <w:rsid w:val="00B31B03"/>
    <w:rsid w:val="00B474F6"/>
    <w:rsid w:val="00B71D59"/>
    <w:rsid w:val="00B82282"/>
    <w:rsid w:val="00BB5C97"/>
    <w:rsid w:val="00BC61FF"/>
    <w:rsid w:val="00BD2818"/>
    <w:rsid w:val="00BE45A4"/>
    <w:rsid w:val="00C03B75"/>
    <w:rsid w:val="00C04517"/>
    <w:rsid w:val="00C07E4C"/>
    <w:rsid w:val="00C17FAB"/>
    <w:rsid w:val="00C3498C"/>
    <w:rsid w:val="00C34E51"/>
    <w:rsid w:val="00C614AD"/>
    <w:rsid w:val="00C66151"/>
    <w:rsid w:val="00C66225"/>
    <w:rsid w:val="00C77D03"/>
    <w:rsid w:val="00C80CE3"/>
    <w:rsid w:val="00C90047"/>
    <w:rsid w:val="00CA11F6"/>
    <w:rsid w:val="00CA540C"/>
    <w:rsid w:val="00CA7C09"/>
    <w:rsid w:val="00CB46F5"/>
    <w:rsid w:val="00CB5A12"/>
    <w:rsid w:val="00CB6874"/>
    <w:rsid w:val="00CE2DC9"/>
    <w:rsid w:val="00CE599C"/>
    <w:rsid w:val="00CF0B1F"/>
    <w:rsid w:val="00CF1C02"/>
    <w:rsid w:val="00D00C96"/>
    <w:rsid w:val="00D13F6F"/>
    <w:rsid w:val="00D3463A"/>
    <w:rsid w:val="00D36662"/>
    <w:rsid w:val="00D44937"/>
    <w:rsid w:val="00D45330"/>
    <w:rsid w:val="00D56FBF"/>
    <w:rsid w:val="00D624E7"/>
    <w:rsid w:val="00D66061"/>
    <w:rsid w:val="00D7192A"/>
    <w:rsid w:val="00D72B24"/>
    <w:rsid w:val="00DA1B90"/>
    <w:rsid w:val="00DA3B00"/>
    <w:rsid w:val="00DA410E"/>
    <w:rsid w:val="00DB08D0"/>
    <w:rsid w:val="00DB7D86"/>
    <w:rsid w:val="00DC022E"/>
    <w:rsid w:val="00DC4C6D"/>
    <w:rsid w:val="00DF690B"/>
    <w:rsid w:val="00E02896"/>
    <w:rsid w:val="00E05B50"/>
    <w:rsid w:val="00E215B9"/>
    <w:rsid w:val="00E21CC7"/>
    <w:rsid w:val="00E25E53"/>
    <w:rsid w:val="00E52774"/>
    <w:rsid w:val="00E534C1"/>
    <w:rsid w:val="00E55B9F"/>
    <w:rsid w:val="00E60E52"/>
    <w:rsid w:val="00E64DA7"/>
    <w:rsid w:val="00E72B5E"/>
    <w:rsid w:val="00E809D1"/>
    <w:rsid w:val="00E82AD3"/>
    <w:rsid w:val="00E8487E"/>
    <w:rsid w:val="00E849AA"/>
    <w:rsid w:val="00EB1068"/>
    <w:rsid w:val="00EB2F3D"/>
    <w:rsid w:val="00EB365D"/>
    <w:rsid w:val="00EB466E"/>
    <w:rsid w:val="00EB5146"/>
    <w:rsid w:val="00ED10BE"/>
    <w:rsid w:val="00ED46EE"/>
    <w:rsid w:val="00ED6089"/>
    <w:rsid w:val="00EE2330"/>
    <w:rsid w:val="00EE3561"/>
    <w:rsid w:val="00EE47CE"/>
    <w:rsid w:val="00EE50D0"/>
    <w:rsid w:val="00EF5330"/>
    <w:rsid w:val="00F119D0"/>
    <w:rsid w:val="00F438A6"/>
    <w:rsid w:val="00F43DFE"/>
    <w:rsid w:val="00F441F6"/>
    <w:rsid w:val="00F51E5C"/>
    <w:rsid w:val="00F64549"/>
    <w:rsid w:val="00F9355E"/>
    <w:rsid w:val="00FB6069"/>
    <w:rsid w:val="00FC277C"/>
    <w:rsid w:val="00FD75CE"/>
    <w:rsid w:val="00FF091E"/>
    <w:rsid w:val="00FF3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85415"/>
  <w15:docId w15:val="{C613F87D-B3BC-45CB-868E-9427CDD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DocumentMap">
    <w:name w:val="Document Map"/>
    <w:basedOn w:val="Normal"/>
    <w:link w:val="DocumentMapChar"/>
    <w:uiPriority w:val="99"/>
    <w:semiHidden/>
    <w:unhideWhenUsed/>
    <w:rsid w:val="006F4177"/>
    <w:rPr>
      <w:rFonts w:ascii="Tahoma" w:hAnsi="Tahoma" w:cs="Tahoma"/>
      <w:sz w:val="16"/>
      <w:szCs w:val="16"/>
    </w:rPr>
  </w:style>
  <w:style w:type="character" w:customStyle="1" w:styleId="DocumentMapChar">
    <w:name w:val="Document Map Char"/>
    <w:basedOn w:val="DefaultParagraphFont"/>
    <w:link w:val="DocumentMap"/>
    <w:uiPriority w:val="99"/>
    <w:semiHidden/>
    <w:rsid w:val="006F4177"/>
    <w:rPr>
      <w:rFonts w:ascii="Tahoma" w:hAnsi="Tahoma" w:cs="Tahoma"/>
      <w:sz w:val="16"/>
      <w:szCs w:val="16"/>
      <w:lang w:eastAsia="en-US"/>
    </w:rPr>
  </w:style>
  <w:style w:type="paragraph" w:styleId="ListParagraph">
    <w:name w:val="List Paragraph"/>
    <w:basedOn w:val="Normal"/>
    <w:uiPriority w:val="34"/>
    <w:qFormat/>
    <w:rsid w:val="00656F3F"/>
    <w:pPr>
      <w:ind w:left="720"/>
      <w:contextualSpacing/>
    </w:pPr>
  </w:style>
  <w:style w:type="character" w:styleId="CommentReference">
    <w:name w:val="annotation reference"/>
    <w:basedOn w:val="DefaultParagraphFont"/>
    <w:uiPriority w:val="99"/>
    <w:unhideWhenUsed/>
    <w:rsid w:val="00A84C4F"/>
    <w:rPr>
      <w:sz w:val="16"/>
      <w:szCs w:val="16"/>
    </w:rPr>
  </w:style>
  <w:style w:type="paragraph" w:styleId="CommentText">
    <w:name w:val="annotation text"/>
    <w:basedOn w:val="Normal"/>
    <w:link w:val="CommentTextChar"/>
    <w:uiPriority w:val="99"/>
    <w:unhideWhenUsed/>
    <w:rsid w:val="00A84C4F"/>
    <w:rPr>
      <w:sz w:val="20"/>
    </w:rPr>
  </w:style>
  <w:style w:type="character" w:customStyle="1" w:styleId="CommentTextChar">
    <w:name w:val="Comment Text Char"/>
    <w:basedOn w:val="DefaultParagraphFont"/>
    <w:link w:val="CommentText"/>
    <w:uiPriority w:val="99"/>
    <w:rsid w:val="00A84C4F"/>
    <w:rPr>
      <w:lang w:eastAsia="en-US"/>
    </w:rPr>
  </w:style>
  <w:style w:type="paragraph" w:styleId="CommentSubject">
    <w:name w:val="annotation subject"/>
    <w:basedOn w:val="CommentText"/>
    <w:next w:val="CommentText"/>
    <w:link w:val="CommentSubjectChar"/>
    <w:uiPriority w:val="99"/>
    <w:semiHidden/>
    <w:unhideWhenUsed/>
    <w:rsid w:val="00A84C4F"/>
    <w:rPr>
      <w:b/>
      <w:bCs/>
    </w:rPr>
  </w:style>
  <w:style w:type="character" w:customStyle="1" w:styleId="CommentSubjectChar">
    <w:name w:val="Comment Subject Char"/>
    <w:basedOn w:val="CommentTextChar"/>
    <w:link w:val="CommentSubject"/>
    <w:uiPriority w:val="99"/>
    <w:semiHidden/>
    <w:rsid w:val="00A84C4F"/>
    <w:rPr>
      <w:b/>
      <w:bCs/>
      <w:lang w:eastAsia="en-US"/>
    </w:rPr>
  </w:style>
  <w:style w:type="paragraph" w:styleId="BalloonText">
    <w:name w:val="Balloon Text"/>
    <w:basedOn w:val="Normal"/>
    <w:link w:val="BalloonTextChar"/>
    <w:uiPriority w:val="99"/>
    <w:semiHidden/>
    <w:unhideWhenUsed/>
    <w:rsid w:val="00A84C4F"/>
    <w:rPr>
      <w:rFonts w:ascii="Tahoma" w:hAnsi="Tahoma" w:cs="Tahoma"/>
      <w:sz w:val="16"/>
      <w:szCs w:val="16"/>
    </w:rPr>
  </w:style>
  <w:style w:type="character" w:customStyle="1" w:styleId="BalloonTextChar">
    <w:name w:val="Balloon Text Char"/>
    <w:basedOn w:val="DefaultParagraphFont"/>
    <w:link w:val="BalloonText"/>
    <w:uiPriority w:val="99"/>
    <w:semiHidden/>
    <w:rsid w:val="00A84C4F"/>
    <w:rPr>
      <w:rFonts w:ascii="Tahoma" w:hAnsi="Tahoma" w:cs="Tahoma"/>
      <w:sz w:val="16"/>
      <w:szCs w:val="16"/>
      <w:lang w:eastAsia="en-US"/>
    </w:rPr>
  </w:style>
  <w:style w:type="paragraph" w:styleId="Revision">
    <w:name w:val="Revision"/>
    <w:hidden/>
    <w:uiPriority w:val="99"/>
    <w:semiHidden/>
    <w:rsid w:val="0023332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6430-E462-459E-BE7D-5312E08A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2655</Words>
  <Characters>14041</Characters>
  <Application>Microsoft Office Word</Application>
  <DocSecurity>0</DocSecurity>
  <Lines>324</Lines>
  <Paragraphs>97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2021-05-26T06:24:00Z</cp:lastPrinted>
  <dcterms:created xsi:type="dcterms:W3CDTF">2026-06-25T04:45:00Z</dcterms:created>
  <dcterms:modified xsi:type="dcterms:W3CDTF">2026-06-25T04:45:00Z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2024-05-30T04:37:32Z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02161bf7-1339-4fc3-a019-abc4b1272b32</vt:lpwstr>
  </property>
  <property fmtid="{D5CDD505-2E9C-101B-9397-08002B2CF9AE}" pid="8" name="MSIP_Label_69af8531-eb46-4968-8cb3-105d2f5ea87e_ContentBits">
    <vt:lpwstr>0</vt:lpwstr>
  </property>
</Properties>
</file>