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16DB" w14:textId="77777777" w:rsidR="00F75C58" w:rsidRDefault="00F75C58">
      <w:pPr>
        <w:spacing w:before="120"/>
        <w:outlineLvl w:val="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13AECBF1" w14:textId="4FA07394" w:rsidR="00F75C58" w:rsidRDefault="00F75C58">
      <w:pPr>
        <w:pStyle w:val="Billname"/>
        <w:spacing w:before="700"/>
      </w:pPr>
      <w:r>
        <w:t>Taxation Administration (Amounts Payable</w:t>
      </w:r>
      <w:r w:rsidR="00A506A5" w:rsidRPr="00A506A5">
        <w:t>—</w:t>
      </w:r>
      <w:r>
        <w:t xml:space="preserve">Motor Vehicle Duty) Determination </w:t>
      </w:r>
      <w:r w:rsidR="00505D44">
        <w:t>2026</w:t>
      </w:r>
    </w:p>
    <w:p w14:paraId="33D2A41C" w14:textId="3B74A4FD" w:rsidR="00F75C58" w:rsidRDefault="00F75C58">
      <w:pPr>
        <w:spacing w:before="240" w:after="60"/>
        <w:outlineLvl w:val="0"/>
        <w:rPr>
          <w:rFonts w:ascii="Arial" w:hAnsi="Arial" w:cs="Arial"/>
          <w:b/>
          <w:bCs/>
          <w:vertAlign w:val="superscript"/>
        </w:rPr>
      </w:pPr>
      <w:r>
        <w:rPr>
          <w:rFonts w:ascii="Arial" w:hAnsi="Arial" w:cs="Arial"/>
          <w:b/>
          <w:bCs/>
        </w:rPr>
        <w:t xml:space="preserve">Disallowable instrument </w:t>
      </w:r>
      <w:r w:rsidR="00505D44">
        <w:rPr>
          <w:rFonts w:ascii="Arial" w:hAnsi="Arial" w:cs="Arial"/>
          <w:b/>
          <w:bCs/>
        </w:rPr>
        <w:t>DI2026</w:t>
      </w:r>
      <w:r w:rsidR="00D516ED">
        <w:rPr>
          <w:rFonts w:ascii="Arial" w:hAnsi="Arial" w:cs="Arial"/>
          <w:b/>
          <w:bCs/>
        </w:rPr>
        <w:t>-</w:t>
      </w:r>
      <w:r w:rsidR="00D9071B">
        <w:rPr>
          <w:rFonts w:ascii="Arial" w:hAnsi="Arial" w:cs="Arial"/>
          <w:b/>
          <w:bCs/>
        </w:rPr>
        <w:t>154</w:t>
      </w:r>
    </w:p>
    <w:p w14:paraId="32EE8B8E" w14:textId="77777777" w:rsidR="00F75C58" w:rsidRDefault="00F75C58">
      <w:pPr>
        <w:pStyle w:val="madeunder"/>
        <w:spacing w:before="240" w:after="120"/>
      </w:pPr>
      <w:r>
        <w:t xml:space="preserve">made under the  </w:t>
      </w:r>
    </w:p>
    <w:p w14:paraId="046CA812" w14:textId="77777777" w:rsidR="00F75C58" w:rsidRDefault="00F75C58">
      <w:pPr>
        <w:pStyle w:val="CoverActName"/>
        <w:rPr>
          <w:sz w:val="20"/>
          <w:szCs w:val="20"/>
        </w:rPr>
      </w:pPr>
      <w:r>
        <w:rPr>
          <w:i/>
          <w:iCs/>
          <w:sz w:val="20"/>
          <w:szCs w:val="20"/>
        </w:rPr>
        <w:t>Taxation Administration Act 1999</w:t>
      </w:r>
      <w:r>
        <w:rPr>
          <w:sz w:val="20"/>
          <w:szCs w:val="20"/>
        </w:rPr>
        <w:t>, section 139 (Determination of amounts payable under tax laws)</w:t>
      </w:r>
    </w:p>
    <w:p w14:paraId="57787A14" w14:textId="77777777" w:rsidR="00F75C58" w:rsidRDefault="00F75C58">
      <w:pPr>
        <w:spacing w:before="360"/>
        <w:ind w:right="565"/>
        <w:outlineLvl w:val="0"/>
        <w:rPr>
          <w:rFonts w:ascii="Arial" w:hAnsi="Arial" w:cs="Arial"/>
          <w:b/>
          <w:bCs/>
          <w:sz w:val="28"/>
          <w:szCs w:val="28"/>
        </w:rPr>
      </w:pPr>
      <w:r>
        <w:rPr>
          <w:rFonts w:ascii="Arial" w:hAnsi="Arial" w:cs="Arial"/>
          <w:b/>
          <w:bCs/>
          <w:sz w:val="28"/>
          <w:szCs w:val="28"/>
        </w:rPr>
        <w:t>EXPLANATORY STATEMENT</w:t>
      </w:r>
    </w:p>
    <w:p w14:paraId="43F02C4E" w14:textId="77777777" w:rsidR="00F75C58" w:rsidRDefault="00F75C58">
      <w:pPr>
        <w:pStyle w:val="N-line3"/>
        <w:pBdr>
          <w:bottom w:val="none" w:sz="0" w:space="0" w:color="auto"/>
        </w:pBdr>
      </w:pPr>
    </w:p>
    <w:p w14:paraId="6FE07A69" w14:textId="77777777" w:rsidR="00F75C58" w:rsidRDefault="00F75C58">
      <w:pPr>
        <w:pStyle w:val="N-line3"/>
        <w:pBdr>
          <w:top w:val="single" w:sz="12" w:space="1" w:color="auto"/>
          <w:bottom w:val="none" w:sz="0" w:space="0" w:color="auto"/>
        </w:pBdr>
      </w:pPr>
    </w:p>
    <w:bookmarkEnd w:id="0"/>
    <w:p w14:paraId="11C4F254" w14:textId="77777777" w:rsidR="00F75C58" w:rsidRDefault="00F75C58">
      <w:pPr>
        <w:autoSpaceDE w:val="0"/>
        <w:autoSpaceDN w:val="0"/>
        <w:adjustRightInd w:val="0"/>
        <w:spacing w:before="120" w:after="120"/>
        <w:rPr>
          <w:rFonts w:ascii="Arial" w:hAnsi="Arial" w:cs="Arial"/>
          <w:b/>
          <w:lang w:eastAsia="en-AU"/>
        </w:rPr>
      </w:pPr>
      <w:r>
        <w:rPr>
          <w:rFonts w:ascii="Arial" w:hAnsi="Arial" w:cs="Arial"/>
          <w:b/>
          <w:lang w:eastAsia="en-AU"/>
        </w:rPr>
        <w:t>Purpose</w:t>
      </w:r>
    </w:p>
    <w:p w14:paraId="4B912E72" w14:textId="77777777" w:rsidR="00F75C58" w:rsidRDefault="00F75C58" w:rsidP="000E0A4B">
      <w:pPr>
        <w:autoSpaceDE w:val="0"/>
        <w:autoSpaceDN w:val="0"/>
        <w:adjustRightInd w:val="0"/>
        <w:spacing w:before="120" w:after="120"/>
        <w:rPr>
          <w:lang w:eastAsia="en-AU"/>
        </w:rPr>
      </w:pPr>
      <w:r>
        <w:rPr>
          <w:lang w:eastAsia="en-AU"/>
        </w:rPr>
        <w:t xml:space="preserve">The purpose of this instrument is to determine the </w:t>
      </w:r>
      <w:r w:rsidR="004124C7">
        <w:rPr>
          <w:lang w:eastAsia="en-AU"/>
        </w:rPr>
        <w:t xml:space="preserve">differential </w:t>
      </w:r>
      <w:r>
        <w:rPr>
          <w:lang w:eastAsia="en-AU"/>
        </w:rPr>
        <w:t xml:space="preserve">amounts of duty payable on the </w:t>
      </w:r>
      <w:r w:rsidR="00ED5156">
        <w:rPr>
          <w:lang w:eastAsia="en-AU"/>
        </w:rPr>
        <w:t xml:space="preserve">application to </w:t>
      </w:r>
      <w:r>
        <w:rPr>
          <w:lang w:eastAsia="en-AU"/>
        </w:rPr>
        <w:t>regist</w:t>
      </w:r>
      <w:r w:rsidR="00ED5156">
        <w:rPr>
          <w:lang w:eastAsia="en-AU"/>
        </w:rPr>
        <w:t>e</w:t>
      </w:r>
      <w:r>
        <w:rPr>
          <w:lang w:eastAsia="en-AU"/>
        </w:rPr>
        <w:t xml:space="preserve">r </w:t>
      </w:r>
      <w:r w:rsidR="00ED5156">
        <w:rPr>
          <w:lang w:eastAsia="en-AU"/>
        </w:rPr>
        <w:t>a motor vehicle</w:t>
      </w:r>
      <w:r>
        <w:rPr>
          <w:lang w:eastAsia="en-AU"/>
        </w:rPr>
        <w:t>.</w:t>
      </w:r>
    </w:p>
    <w:p w14:paraId="1BAFB285" w14:textId="225B0738" w:rsidR="00F75C58" w:rsidRDefault="0008444E" w:rsidP="005A4C5E">
      <w:pPr>
        <w:autoSpaceDE w:val="0"/>
        <w:autoSpaceDN w:val="0"/>
        <w:adjustRightInd w:val="0"/>
        <w:spacing w:before="120"/>
        <w:rPr>
          <w:rFonts w:ascii="Arial" w:hAnsi="Arial" w:cs="Arial"/>
          <w:b/>
          <w:lang w:eastAsia="en-AU"/>
        </w:rPr>
      </w:pPr>
      <w:r>
        <w:rPr>
          <w:rFonts w:ascii="Arial" w:hAnsi="Arial" w:cs="Arial"/>
          <w:b/>
          <w:lang w:eastAsia="en-AU"/>
        </w:rPr>
        <w:t>Background</w:t>
      </w:r>
    </w:p>
    <w:p w14:paraId="3E604965" w14:textId="7FF9A869" w:rsidR="00F75C58" w:rsidRDefault="00F75C58" w:rsidP="000E0A4B">
      <w:pPr>
        <w:autoSpaceDE w:val="0"/>
        <w:autoSpaceDN w:val="0"/>
        <w:adjustRightInd w:val="0"/>
        <w:spacing w:before="120" w:after="120"/>
        <w:rPr>
          <w:lang w:eastAsia="en-AU"/>
        </w:rPr>
      </w:pPr>
      <w:r>
        <w:rPr>
          <w:lang w:eastAsia="en-AU"/>
        </w:rPr>
        <w:t xml:space="preserve">The </w:t>
      </w:r>
      <w:r w:rsidRPr="002F1A03">
        <w:rPr>
          <w:i/>
          <w:iCs/>
          <w:lang w:eastAsia="en-AU"/>
        </w:rPr>
        <w:t>Taxation Administration Act 1999</w:t>
      </w:r>
      <w:r>
        <w:rPr>
          <w:i/>
          <w:iCs/>
          <w:lang w:eastAsia="en-AU"/>
        </w:rPr>
        <w:t xml:space="preserve"> </w:t>
      </w:r>
      <w:r>
        <w:rPr>
          <w:lang w:eastAsia="en-AU"/>
        </w:rPr>
        <w:t>(TAA) deals with the administration of various tax laws relating to the imposition and collection of certain taxes, duties and licence fees.</w:t>
      </w:r>
    </w:p>
    <w:p w14:paraId="0EEC808F" w14:textId="77777777" w:rsidR="005434F8" w:rsidRDefault="00F75C58" w:rsidP="000E0A4B">
      <w:pPr>
        <w:autoSpaceDE w:val="0"/>
        <w:autoSpaceDN w:val="0"/>
        <w:adjustRightInd w:val="0"/>
        <w:spacing w:before="120" w:after="120"/>
        <w:rPr>
          <w:lang w:eastAsia="en-AU"/>
        </w:rPr>
      </w:pPr>
      <w:r>
        <w:rPr>
          <w:lang w:eastAsia="en-AU"/>
        </w:rPr>
        <w:t xml:space="preserve">Section 139 of the TAA empowers the Minister to determine the amount of taxes, duties and licence fees payable under a tax law, including under the </w:t>
      </w:r>
      <w:r w:rsidRPr="000E0A4B">
        <w:rPr>
          <w:i/>
          <w:iCs/>
          <w:lang w:eastAsia="en-AU"/>
        </w:rPr>
        <w:t>Duties Act 1999</w:t>
      </w:r>
      <w:r>
        <w:rPr>
          <w:lang w:eastAsia="en-AU"/>
        </w:rPr>
        <w:t xml:space="preserve"> (the Duties Act).</w:t>
      </w:r>
    </w:p>
    <w:p w14:paraId="220CB1C3" w14:textId="31F21BD0" w:rsidR="00F75C58" w:rsidRDefault="00370C4A" w:rsidP="000E0A4B">
      <w:pPr>
        <w:autoSpaceDE w:val="0"/>
        <w:autoSpaceDN w:val="0"/>
        <w:adjustRightInd w:val="0"/>
        <w:spacing w:before="120" w:after="120"/>
        <w:rPr>
          <w:lang w:eastAsia="en-AU"/>
        </w:rPr>
      </w:pPr>
      <w:r>
        <w:rPr>
          <w:lang w:eastAsia="en-AU"/>
        </w:rPr>
        <w:t>Part 9.1 of t</w:t>
      </w:r>
      <w:r w:rsidR="005434F8">
        <w:rPr>
          <w:lang w:eastAsia="en-AU"/>
        </w:rPr>
        <w:t>he Duties Act imposes motor vehicle registration duty on the application to register a motor vehicle</w:t>
      </w:r>
      <w:r w:rsidR="003E1822">
        <w:rPr>
          <w:lang w:eastAsia="en-AU"/>
        </w:rPr>
        <w:t xml:space="preserve"> by a new owner</w:t>
      </w:r>
      <w:r w:rsidR="005434F8">
        <w:rPr>
          <w:lang w:eastAsia="en-AU"/>
        </w:rPr>
        <w:t xml:space="preserve">. </w:t>
      </w:r>
    </w:p>
    <w:p w14:paraId="645C3F0F" w14:textId="70AC25B5" w:rsidR="00A506A5" w:rsidRDefault="00A506A5" w:rsidP="000E0A4B">
      <w:pPr>
        <w:autoSpaceDE w:val="0"/>
        <w:autoSpaceDN w:val="0"/>
        <w:adjustRightInd w:val="0"/>
        <w:spacing w:before="120" w:after="120"/>
        <w:rPr>
          <w:lang w:eastAsia="en-AU"/>
        </w:rPr>
      </w:pPr>
      <w:r>
        <w:rPr>
          <w:lang w:eastAsia="en-AU"/>
        </w:rPr>
        <w:t xml:space="preserve">This instrument </w:t>
      </w:r>
      <w:r w:rsidR="00BC4B2C">
        <w:rPr>
          <w:lang w:eastAsia="en-AU"/>
        </w:rPr>
        <w:t xml:space="preserve">is the </w:t>
      </w:r>
      <w:r w:rsidR="00BC4B2C">
        <w:rPr>
          <w:i/>
          <w:iCs/>
          <w:lang w:eastAsia="en-AU"/>
        </w:rPr>
        <w:t xml:space="preserve">Taxation Administration (Amounts Payable </w:t>
      </w:r>
      <w:r w:rsidR="00BC4B2C" w:rsidRPr="00886A28">
        <w:rPr>
          <w:i/>
          <w:iCs/>
          <w:lang w:eastAsia="en-AU"/>
        </w:rPr>
        <w:t>—Motor Vehicle Duty) Determination 202</w:t>
      </w:r>
      <w:r w:rsidR="00BC4B2C">
        <w:rPr>
          <w:i/>
          <w:iCs/>
          <w:lang w:eastAsia="en-AU"/>
        </w:rPr>
        <w:t>6</w:t>
      </w:r>
      <w:r w:rsidR="00BC4B2C">
        <w:rPr>
          <w:lang w:eastAsia="en-AU"/>
        </w:rPr>
        <w:t xml:space="preserve">. This instrument </w:t>
      </w:r>
      <w:r w:rsidR="00DE13DE">
        <w:rPr>
          <w:lang w:eastAsia="en-AU"/>
        </w:rPr>
        <w:t xml:space="preserve">commences on 1 </w:t>
      </w:r>
      <w:r w:rsidR="008B52DB">
        <w:rPr>
          <w:lang w:eastAsia="en-AU"/>
        </w:rPr>
        <w:t xml:space="preserve">February 2027 and revokes </w:t>
      </w:r>
      <w:r>
        <w:rPr>
          <w:lang w:eastAsia="en-AU"/>
        </w:rPr>
        <w:t xml:space="preserve">the </w:t>
      </w:r>
      <w:r w:rsidRPr="00886A28">
        <w:rPr>
          <w:i/>
          <w:iCs/>
          <w:lang w:eastAsia="en-AU"/>
        </w:rPr>
        <w:t xml:space="preserve">Taxation Administration (Amounts Payable—Motor Vehicle Duty) Determination </w:t>
      </w:r>
      <w:r w:rsidR="00C04E8E" w:rsidRPr="00886A28">
        <w:rPr>
          <w:i/>
          <w:iCs/>
          <w:lang w:eastAsia="en-AU"/>
        </w:rPr>
        <w:t>202</w:t>
      </w:r>
      <w:r w:rsidR="00C04E8E">
        <w:rPr>
          <w:i/>
          <w:iCs/>
          <w:lang w:eastAsia="en-AU"/>
        </w:rPr>
        <w:t>5</w:t>
      </w:r>
      <w:r>
        <w:rPr>
          <w:lang w:eastAsia="en-AU"/>
        </w:rPr>
        <w:t xml:space="preserve">, </w:t>
      </w:r>
      <w:r w:rsidR="00505D44">
        <w:rPr>
          <w:lang w:eastAsia="en-AU"/>
        </w:rPr>
        <w:t>DI2025-152</w:t>
      </w:r>
      <w:r>
        <w:rPr>
          <w:lang w:eastAsia="en-AU"/>
        </w:rPr>
        <w:t>.</w:t>
      </w:r>
    </w:p>
    <w:p w14:paraId="5C0C4813" w14:textId="77777777" w:rsidR="00794383" w:rsidRPr="00886A28" w:rsidRDefault="00794383" w:rsidP="00886A28">
      <w:pPr>
        <w:autoSpaceDE w:val="0"/>
        <w:autoSpaceDN w:val="0"/>
        <w:adjustRightInd w:val="0"/>
        <w:spacing w:before="120"/>
        <w:rPr>
          <w:bCs/>
          <w:u w:val="single"/>
          <w:lang w:eastAsia="en-AU"/>
        </w:rPr>
      </w:pPr>
      <w:r w:rsidRPr="00886A28">
        <w:rPr>
          <w:bCs/>
          <w:u w:val="single"/>
          <w:lang w:eastAsia="en-AU"/>
        </w:rPr>
        <w:t>Vehicle Emission Reduction Scheme</w:t>
      </w:r>
    </w:p>
    <w:p w14:paraId="5E35F09E" w14:textId="657893C5" w:rsidR="00794383" w:rsidRDefault="00794383" w:rsidP="000E0A4B">
      <w:pPr>
        <w:autoSpaceDE w:val="0"/>
        <w:autoSpaceDN w:val="0"/>
        <w:adjustRightInd w:val="0"/>
        <w:spacing w:before="120" w:after="120"/>
        <w:rPr>
          <w:lang w:eastAsia="en-AU"/>
        </w:rPr>
      </w:pPr>
      <w:r>
        <w:rPr>
          <w:lang w:eastAsia="en-AU"/>
        </w:rPr>
        <w:t xml:space="preserve">The Vehicle Emission Reduction Scheme (VERS) charges duty based on rating categories. </w:t>
      </w:r>
      <w:r w:rsidR="00CB3C82">
        <w:rPr>
          <w:lang w:eastAsia="en-AU"/>
        </w:rPr>
        <w:t>The rating category of a motor vehicle depends on its</w:t>
      </w:r>
      <w:r>
        <w:rPr>
          <w:lang w:eastAsia="en-AU"/>
        </w:rPr>
        <w:t xml:space="preserve"> environmental performance as measured b</w:t>
      </w:r>
      <w:r w:rsidR="00CB3C82">
        <w:rPr>
          <w:lang w:eastAsia="en-AU"/>
        </w:rPr>
        <w:t>y</w:t>
      </w:r>
      <w:r>
        <w:rPr>
          <w:lang w:eastAsia="en-AU"/>
        </w:rPr>
        <w:t xml:space="preserve"> the grams of</w:t>
      </w:r>
      <w:r w:rsidR="00CB3C82">
        <w:rPr>
          <w:lang w:eastAsia="en-AU"/>
        </w:rPr>
        <w:t xml:space="preserve"> carbon dioxide</w:t>
      </w:r>
      <w:r>
        <w:rPr>
          <w:lang w:eastAsia="en-AU"/>
        </w:rPr>
        <w:t xml:space="preserve"> </w:t>
      </w:r>
      <w:r w:rsidR="00CB3C82">
        <w:rPr>
          <w:lang w:eastAsia="en-AU"/>
        </w:rPr>
        <w:t>(</w:t>
      </w:r>
      <w:r>
        <w:rPr>
          <w:lang w:eastAsia="en-AU"/>
        </w:rPr>
        <w:t>CO</w:t>
      </w:r>
      <w:r w:rsidR="006844DF">
        <w:rPr>
          <w:vertAlign w:val="subscript"/>
          <w:lang w:eastAsia="en-AU"/>
        </w:rPr>
        <w:t>2</w:t>
      </w:r>
      <w:r w:rsidR="00CB3C82" w:rsidRPr="00CB3C82">
        <w:rPr>
          <w:lang w:eastAsia="en-AU"/>
        </w:rPr>
        <w:t>)</w:t>
      </w:r>
      <w:r>
        <w:rPr>
          <w:lang w:eastAsia="en-AU"/>
        </w:rPr>
        <w:t xml:space="preserve"> emitte</w:t>
      </w:r>
      <w:r w:rsidR="00CB3C82">
        <w:rPr>
          <w:lang w:eastAsia="en-AU"/>
        </w:rPr>
        <w:t>d by the vehicle per kilometre.</w:t>
      </w:r>
    </w:p>
    <w:p w14:paraId="33C9643B" w14:textId="77777777" w:rsidR="00683826" w:rsidRDefault="00683826">
      <w:r>
        <w:br w:type="page"/>
      </w:r>
    </w:p>
    <w:p w14:paraId="4B83FD90" w14:textId="77777777" w:rsidR="007F0762" w:rsidRPr="005D44D9" w:rsidRDefault="00611D1A" w:rsidP="007F0762">
      <w:pPr>
        <w:autoSpaceDE w:val="0"/>
        <w:autoSpaceDN w:val="0"/>
        <w:adjustRightInd w:val="0"/>
        <w:spacing w:before="120" w:after="120"/>
        <w:rPr>
          <w:rFonts w:ascii="Arial" w:hAnsi="Arial" w:cs="Arial"/>
          <w:b/>
        </w:rPr>
      </w:pPr>
      <w:r>
        <w:rPr>
          <w:rFonts w:ascii="Arial" w:hAnsi="Arial" w:cs="Arial"/>
          <w:b/>
        </w:rPr>
        <w:lastRenderedPageBreak/>
        <w:t>Updates</w:t>
      </w:r>
    </w:p>
    <w:p w14:paraId="4AE96271" w14:textId="2F2B80B2" w:rsidR="00DE13DE" w:rsidRDefault="00E10097" w:rsidP="00666BCB">
      <w:pPr>
        <w:pStyle w:val="paragraph"/>
        <w:spacing w:before="0" w:beforeAutospacing="0" w:after="120" w:afterAutospacing="0"/>
        <w:textAlignment w:val="baseline"/>
        <w:rPr>
          <w:iCs/>
        </w:rPr>
      </w:pPr>
      <w:r>
        <w:rPr>
          <w:iCs/>
        </w:rPr>
        <w:t xml:space="preserve">On and after 1 February 2027 a </w:t>
      </w:r>
      <w:r w:rsidR="00416302">
        <w:rPr>
          <w:iCs/>
        </w:rPr>
        <w:t>n</w:t>
      </w:r>
      <w:r w:rsidR="00DE13DE">
        <w:rPr>
          <w:iCs/>
        </w:rPr>
        <w:t>ew rate of duty will be imposed for vehicles</w:t>
      </w:r>
      <w:r w:rsidR="00416302">
        <w:rPr>
          <w:iCs/>
        </w:rPr>
        <w:t xml:space="preserve">. </w:t>
      </w:r>
      <w:r w:rsidR="008B52DB">
        <w:rPr>
          <w:iCs/>
        </w:rPr>
        <w:t xml:space="preserve">The rate of duty for </w:t>
      </w:r>
      <w:r w:rsidR="00E97943">
        <w:rPr>
          <w:iCs/>
        </w:rPr>
        <w:t xml:space="preserve">Category A, </w:t>
      </w:r>
      <w:r w:rsidR="00B815F9">
        <w:rPr>
          <w:iCs/>
        </w:rPr>
        <w:t xml:space="preserve">Category </w:t>
      </w:r>
      <w:r w:rsidR="00E97943">
        <w:rPr>
          <w:iCs/>
        </w:rPr>
        <w:t xml:space="preserve">AA, </w:t>
      </w:r>
      <w:r w:rsidR="00B815F9">
        <w:rPr>
          <w:iCs/>
        </w:rPr>
        <w:t xml:space="preserve">Category </w:t>
      </w:r>
      <w:r w:rsidR="00E97943">
        <w:rPr>
          <w:iCs/>
        </w:rPr>
        <w:t xml:space="preserve">AAA </w:t>
      </w:r>
      <w:r w:rsidR="0000279E">
        <w:rPr>
          <w:iCs/>
        </w:rPr>
        <w:t>remain</w:t>
      </w:r>
      <w:r w:rsidR="008B52DB">
        <w:rPr>
          <w:iCs/>
        </w:rPr>
        <w:t xml:space="preserve"> unchanged</w:t>
      </w:r>
      <w:r w:rsidR="00E97943">
        <w:rPr>
          <w:iCs/>
        </w:rPr>
        <w:t>.</w:t>
      </w:r>
      <w:r w:rsidR="0000279E">
        <w:rPr>
          <w:iCs/>
        </w:rPr>
        <w:t xml:space="preserve"> </w:t>
      </w:r>
    </w:p>
    <w:p w14:paraId="392824BE" w14:textId="279F791D" w:rsidR="0000279E" w:rsidRDefault="0000279E" w:rsidP="00666BCB">
      <w:pPr>
        <w:pStyle w:val="paragraph"/>
        <w:spacing w:before="0" w:beforeAutospacing="0" w:after="120" w:afterAutospacing="0"/>
        <w:textAlignment w:val="baseline"/>
        <w:rPr>
          <w:iCs/>
        </w:rPr>
      </w:pPr>
      <w:r>
        <w:rPr>
          <w:iCs/>
        </w:rPr>
        <w:t xml:space="preserve">Duty rates are increasing for Category </w:t>
      </w:r>
      <w:r w:rsidR="00926322">
        <w:rPr>
          <w:iCs/>
        </w:rPr>
        <w:t xml:space="preserve">B, C, D and non-rated vehicles under $80,000. </w:t>
      </w:r>
    </w:p>
    <w:p w14:paraId="111949AC" w14:textId="5F2AE7CF" w:rsidR="008018B4" w:rsidRDefault="00826AC7" w:rsidP="00666BCB">
      <w:pPr>
        <w:pStyle w:val="paragraph"/>
        <w:spacing w:before="0" w:beforeAutospacing="0" w:after="120" w:afterAutospacing="0"/>
        <w:textAlignment w:val="baseline"/>
        <w:rPr>
          <w:iCs/>
        </w:rPr>
      </w:pPr>
      <w:r>
        <w:rPr>
          <w:iCs/>
        </w:rPr>
        <w:t>The definition</w:t>
      </w:r>
      <w:r w:rsidR="008018B4">
        <w:rPr>
          <w:iCs/>
        </w:rPr>
        <w:t xml:space="preserve"> for used eligible hybrids and used eligible PHEVs has been removed and now they are included in the definition of a non-rated vehicle. </w:t>
      </w:r>
    </w:p>
    <w:p w14:paraId="4918ED50" w14:textId="1BC242A7" w:rsidR="00F75C58" w:rsidRPr="004D630A" w:rsidRDefault="00F75C58" w:rsidP="00BE3E68">
      <w:pPr>
        <w:pStyle w:val="paragraph"/>
        <w:spacing w:before="240" w:beforeAutospacing="0" w:after="120" w:afterAutospacing="0"/>
        <w:textAlignment w:val="baseline"/>
      </w:pPr>
      <w:r w:rsidRPr="004D630A">
        <w:rPr>
          <w:rFonts w:ascii="Arial" w:hAnsi="Arial" w:cs="Arial"/>
          <w:b/>
        </w:rPr>
        <w:t>Determination</w:t>
      </w:r>
    </w:p>
    <w:p w14:paraId="0E75151E" w14:textId="2BFE2F50" w:rsidR="00C23BE9" w:rsidRDefault="00D9420C" w:rsidP="00A81BFF">
      <w:pPr>
        <w:autoSpaceDE w:val="0"/>
        <w:autoSpaceDN w:val="0"/>
        <w:adjustRightInd w:val="0"/>
        <w:spacing w:before="120" w:after="120"/>
      </w:pPr>
      <w:r w:rsidRPr="004D630A">
        <w:t>For the purpose</w:t>
      </w:r>
      <w:r w:rsidR="00F75C58" w:rsidRPr="004D630A">
        <w:t xml:space="preserve"> of section 208 </w:t>
      </w:r>
      <w:r w:rsidR="00745795" w:rsidRPr="004D630A">
        <w:t xml:space="preserve">(1) </w:t>
      </w:r>
      <w:r w:rsidR="00F75C58" w:rsidRPr="004D630A">
        <w:t>of the Duties Act, column 2</w:t>
      </w:r>
      <w:r w:rsidR="006A5ACE">
        <w:t xml:space="preserve"> </w:t>
      </w:r>
      <w:r w:rsidR="00AD6A19">
        <w:t>T</w:t>
      </w:r>
      <w:r w:rsidR="00E64BE6" w:rsidRPr="004D630A">
        <w:t xml:space="preserve">able </w:t>
      </w:r>
      <w:r w:rsidR="00907EFA" w:rsidRPr="004D630A">
        <w:t xml:space="preserve">1 </w:t>
      </w:r>
      <w:r w:rsidR="00745795" w:rsidRPr="004D630A">
        <w:t>(i</w:t>
      </w:r>
      <w:r w:rsidR="00F75C58" w:rsidRPr="004D630A">
        <w:t>n</w:t>
      </w:r>
      <w:r w:rsidR="005F44FB" w:rsidRPr="004D630A">
        <w:t> </w:t>
      </w:r>
      <w:r w:rsidR="00531EC7" w:rsidRPr="004D630A">
        <w:t>section</w:t>
      </w:r>
      <w:r w:rsidR="000508A7" w:rsidRPr="004D630A">
        <w:t xml:space="preserve"> </w:t>
      </w:r>
      <w:r w:rsidR="00AD6A19">
        <w:t>6</w:t>
      </w:r>
      <w:r w:rsidR="000508A7" w:rsidRPr="004D630A">
        <w:t xml:space="preserve"> of the instrument) </w:t>
      </w:r>
      <w:r w:rsidR="00040CAE">
        <w:t>sets out the</w:t>
      </w:r>
      <w:r w:rsidR="00F75C58" w:rsidRPr="004D630A">
        <w:t xml:space="preserve"> amount of duty payable on the application to register motor vehicles that correspond to the vehicle </w:t>
      </w:r>
      <w:r w:rsidR="00EF2152" w:rsidRPr="004D630A">
        <w:t>categories</w:t>
      </w:r>
      <w:r w:rsidR="00F75C58" w:rsidRPr="004D630A">
        <w:t xml:space="preserve"> in column</w:t>
      </w:r>
      <w:r w:rsidR="00ED5156" w:rsidRPr="004D630A">
        <w:t> </w:t>
      </w:r>
      <w:r w:rsidRPr="004D630A">
        <w:t>1.</w:t>
      </w:r>
      <w:r w:rsidR="00EF2152" w:rsidRPr="004D630A">
        <w:t xml:space="preserve"> </w:t>
      </w:r>
    </w:p>
    <w:p w14:paraId="1C530820" w14:textId="026D31A1" w:rsidR="00C23BE9" w:rsidRDefault="00D9420C" w:rsidP="00A81BFF">
      <w:pPr>
        <w:autoSpaceDE w:val="0"/>
        <w:autoSpaceDN w:val="0"/>
        <w:adjustRightInd w:val="0"/>
        <w:spacing w:before="120" w:after="120"/>
      </w:pPr>
      <w:r w:rsidRPr="004D630A">
        <w:t>For the purpose of section 208 (2), column</w:t>
      </w:r>
      <w:r w:rsidR="008B52DB">
        <w:t xml:space="preserve"> </w:t>
      </w:r>
      <w:r w:rsidRPr="004D630A">
        <w:t xml:space="preserve">2 of </w:t>
      </w:r>
      <w:r w:rsidR="00AD6A19">
        <w:t>T</w:t>
      </w:r>
      <w:r w:rsidRPr="004D630A">
        <w:t xml:space="preserve">able </w:t>
      </w:r>
      <w:r w:rsidR="006A5ACE">
        <w:t>2</w:t>
      </w:r>
      <w:r w:rsidR="006A5ACE" w:rsidRPr="004D630A">
        <w:t xml:space="preserve"> </w:t>
      </w:r>
      <w:r w:rsidRPr="004D630A">
        <w:t xml:space="preserve">(also in </w:t>
      </w:r>
      <w:r w:rsidR="00531EC7" w:rsidRPr="004D630A">
        <w:t>section</w:t>
      </w:r>
      <w:r w:rsidRPr="004D630A">
        <w:t xml:space="preserve"> </w:t>
      </w:r>
      <w:r w:rsidR="00AD6A19">
        <w:t>6</w:t>
      </w:r>
      <w:r w:rsidR="00AD6A19" w:rsidRPr="004D630A">
        <w:t xml:space="preserve"> </w:t>
      </w:r>
      <w:r w:rsidRPr="004D630A">
        <w:t xml:space="preserve">of the instrument) </w:t>
      </w:r>
      <w:r w:rsidR="00040CAE">
        <w:t>sets out</w:t>
      </w:r>
      <w:r w:rsidRPr="004D630A">
        <w:t xml:space="preserve"> the duty payable in relation to vehicles that correspond to the </w:t>
      </w:r>
      <w:r w:rsidR="0051490C" w:rsidRPr="004D630A">
        <w:t>categories</w:t>
      </w:r>
      <w:r w:rsidRPr="004D630A">
        <w:t xml:space="preserve"> in column 1</w:t>
      </w:r>
      <w:r w:rsidR="006A5ACE">
        <w:t xml:space="preserve"> for vehicles valued between $45,000 and $80,000</w:t>
      </w:r>
      <w:r w:rsidRPr="004D630A">
        <w:t>.</w:t>
      </w:r>
      <w:r w:rsidR="00EF2152" w:rsidRPr="004D630A">
        <w:t xml:space="preserve"> </w:t>
      </w:r>
    </w:p>
    <w:p w14:paraId="3232B6CB" w14:textId="6CF04749" w:rsidR="00C23BE9" w:rsidRDefault="006A5ACE" w:rsidP="00A81BFF">
      <w:pPr>
        <w:autoSpaceDE w:val="0"/>
        <w:autoSpaceDN w:val="0"/>
        <w:adjustRightInd w:val="0"/>
        <w:spacing w:before="120" w:after="120"/>
      </w:pPr>
      <w:r w:rsidRPr="004D630A">
        <w:t>For the purpose of section 208 (2), column</w:t>
      </w:r>
      <w:r w:rsidR="008B52DB">
        <w:t xml:space="preserve"> </w:t>
      </w:r>
      <w:r>
        <w:t>2</w:t>
      </w:r>
      <w:r w:rsidRPr="004D630A">
        <w:t xml:space="preserve"> of </w:t>
      </w:r>
      <w:r>
        <w:t>T</w:t>
      </w:r>
      <w:r w:rsidRPr="004D630A">
        <w:t xml:space="preserve">able </w:t>
      </w:r>
      <w:r>
        <w:t>3</w:t>
      </w:r>
      <w:r w:rsidRPr="004D630A">
        <w:t xml:space="preserve"> (also in section </w:t>
      </w:r>
      <w:r>
        <w:t>6</w:t>
      </w:r>
      <w:r w:rsidRPr="004D630A">
        <w:t xml:space="preserve"> of the instrument) </w:t>
      </w:r>
      <w:r>
        <w:t>sets out</w:t>
      </w:r>
      <w:r w:rsidRPr="004D630A">
        <w:t xml:space="preserve"> the duty payable in relation to vehicles that correspond to the categories in column 1</w:t>
      </w:r>
      <w:r>
        <w:t xml:space="preserve"> for vehicles valued over $80,000</w:t>
      </w:r>
      <w:r w:rsidRPr="004D630A">
        <w:t xml:space="preserve">. </w:t>
      </w:r>
    </w:p>
    <w:p w14:paraId="62F8BA1C" w14:textId="5B5A81AE" w:rsidR="00930814" w:rsidRDefault="00930814" w:rsidP="00C23BE9">
      <w:pPr>
        <w:autoSpaceDE w:val="0"/>
        <w:autoSpaceDN w:val="0"/>
        <w:adjustRightInd w:val="0"/>
        <w:spacing w:before="120" w:after="120"/>
      </w:pPr>
      <w:r w:rsidRPr="004D630A">
        <w:t xml:space="preserve">This instrument </w:t>
      </w:r>
      <w:r w:rsidR="00934FCB">
        <w:t>notes</w:t>
      </w:r>
      <w:r w:rsidRPr="004D630A">
        <w:t xml:space="preserve"> that vehicles listed i</w:t>
      </w:r>
      <w:r>
        <w:t xml:space="preserve">n section 208 (2) (b) of the Duties Act are excluded from the application of amounts payable under </w:t>
      </w:r>
      <w:r w:rsidR="00ED3780">
        <w:t>T</w:t>
      </w:r>
      <w:r>
        <w:t xml:space="preserve">able </w:t>
      </w:r>
      <w:r w:rsidR="00907EFA">
        <w:t>2</w:t>
      </w:r>
      <w:r w:rsidR="00AC7331">
        <w:t xml:space="preserve"> and Table 3</w:t>
      </w:r>
      <w:r w:rsidR="00907EFA">
        <w:t xml:space="preserve"> </w:t>
      </w:r>
      <w:r>
        <w:t xml:space="preserve">in </w:t>
      </w:r>
      <w:r w:rsidR="00531EC7">
        <w:t>section</w:t>
      </w:r>
      <w:r>
        <w:t xml:space="preserve"> </w:t>
      </w:r>
      <w:r w:rsidR="00ED3780">
        <w:t xml:space="preserve">6 </w:t>
      </w:r>
      <w:r>
        <w:t xml:space="preserve">of the instrument. </w:t>
      </w:r>
      <w:r w:rsidR="00931058">
        <w:t xml:space="preserve">The Minister determines the rate of duty applicable to these vehicles as set out in Table 1. </w:t>
      </w:r>
    </w:p>
    <w:p w14:paraId="5F535CCE" w14:textId="77777777" w:rsidR="00AF3111" w:rsidRDefault="00AF3111" w:rsidP="00AF3111">
      <w:pPr>
        <w:pStyle w:val="paragraph"/>
        <w:spacing w:before="120" w:beforeAutospacing="0" w:after="120" w:afterAutospacing="0"/>
        <w:textAlignment w:val="baseline"/>
      </w:pPr>
      <w:r>
        <w:rPr>
          <w:iCs/>
        </w:rPr>
        <w:t xml:space="preserve">The instrument has a specific definition for combined </w:t>
      </w:r>
      <w:r>
        <w:t>CO</w:t>
      </w:r>
      <w:r>
        <w:rPr>
          <w:vertAlign w:val="subscript"/>
        </w:rPr>
        <w:t>2</w:t>
      </w:r>
      <w:r>
        <w:t xml:space="preserve"> emissions for vehicles so that, in addition to the Commonwealth’s </w:t>
      </w:r>
      <w:r w:rsidRPr="00F54C42">
        <w:t>Green Vehicle Guide</w:t>
      </w:r>
      <w:r>
        <w:t xml:space="preserve"> (GVG) available at </w:t>
      </w:r>
      <w:hyperlink r:id="rId8" w:history="1">
        <w:r>
          <w:rPr>
            <w:rStyle w:val="Hyperlink"/>
          </w:rPr>
          <w:t>http://www.greenvehicleguide.gov.au</w:t>
        </w:r>
      </w:hyperlink>
      <w:r>
        <w:rPr>
          <w:rStyle w:val="Hyperlink"/>
        </w:rPr>
        <w:t xml:space="preserve">, </w:t>
      </w:r>
      <w:r>
        <w:t xml:space="preserve">they can also be obtained from vehicle manufacturer-sourced figures that comply with the Australian Design Rules 79 and 81, determined as part of the ‘national vehicle standards’ under section 12 of the </w:t>
      </w:r>
      <w:r>
        <w:rPr>
          <w:i/>
          <w:iCs/>
        </w:rPr>
        <w:t xml:space="preserve">Road Vehicle Standards Act 2018 </w:t>
      </w:r>
      <w:r>
        <w:t>(Cwlth). Vehicle manufacturers may submit approval certificates authorised by the United Nations Economic Commissioner for Europe Regulations to meet the Australian Design Rule standards, including for emissions.</w:t>
      </w:r>
    </w:p>
    <w:p w14:paraId="1C1C317D" w14:textId="77777777" w:rsidR="00AF3111" w:rsidRDefault="00AF3111" w:rsidP="00AF3111">
      <w:pPr>
        <w:pStyle w:val="paragraph"/>
        <w:spacing w:before="120" w:beforeAutospacing="0" w:after="120" w:afterAutospacing="0"/>
        <w:textAlignment w:val="baseline"/>
      </w:pPr>
      <w:r>
        <w:t>If there are variants of a motor vehicle where the combined CO</w:t>
      </w:r>
      <w:r>
        <w:rPr>
          <w:vertAlign w:val="subscript"/>
        </w:rPr>
        <w:t xml:space="preserve">2 </w:t>
      </w:r>
      <w:r>
        <w:t>emissions are not available through either GVG or through the vehicle manufacturer-sourced figures, then a deemed combined CO</w:t>
      </w:r>
      <w:r>
        <w:rPr>
          <w:vertAlign w:val="subscript"/>
        </w:rPr>
        <w:t xml:space="preserve">2 </w:t>
      </w:r>
      <w:r>
        <w:t>emissions value will be given. The deemed value will be based on the highest combined CO</w:t>
      </w:r>
      <w:r>
        <w:rPr>
          <w:vertAlign w:val="subscript"/>
        </w:rPr>
        <w:t xml:space="preserve">2 </w:t>
      </w:r>
      <w:r>
        <w:t xml:space="preserve">emissions for a variant of the motor vehicle of the same year, make and model that is published in the GVG. </w:t>
      </w:r>
      <w:r w:rsidRPr="005D539C">
        <w:t xml:space="preserve">Unless the </w:t>
      </w:r>
      <w:r>
        <w:t>C</w:t>
      </w:r>
      <w:r w:rsidRPr="005D539C">
        <w:t xml:space="preserve">ommissioner </w:t>
      </w:r>
      <w:r>
        <w:t xml:space="preserve">for ACT Revenue </w:t>
      </w:r>
      <w:r w:rsidRPr="005D539C">
        <w:t xml:space="preserve">applies a lower rate, at the </w:t>
      </w:r>
      <w:r>
        <w:t>C</w:t>
      </w:r>
      <w:r w:rsidRPr="005D539C">
        <w:t>ommissioner’s discretion</w:t>
      </w:r>
      <w:r>
        <w:t>.</w:t>
      </w:r>
    </w:p>
    <w:p w14:paraId="17E45597" w14:textId="77777777" w:rsidR="003E1822" w:rsidRDefault="0051490C" w:rsidP="00A81BFF">
      <w:pPr>
        <w:autoSpaceDE w:val="0"/>
        <w:autoSpaceDN w:val="0"/>
        <w:adjustRightInd w:val="0"/>
        <w:spacing w:before="120" w:after="120"/>
      </w:pPr>
      <w:r>
        <w:t>For</w:t>
      </w:r>
      <w:r w:rsidR="00AC0739">
        <w:t xml:space="preserve"> motor </w:t>
      </w:r>
      <w:r w:rsidR="00F75C58">
        <w:t xml:space="preserve">vehicles that have no </w:t>
      </w:r>
      <w:r w:rsidR="007018B9">
        <w:t>combined CO</w:t>
      </w:r>
      <w:r w:rsidR="007018B9" w:rsidRPr="0012552F">
        <w:rPr>
          <w:vertAlign w:val="subscript"/>
        </w:rPr>
        <w:t>2</w:t>
      </w:r>
      <w:r w:rsidR="007018B9">
        <w:t xml:space="preserve"> emissions</w:t>
      </w:r>
      <w:r w:rsidR="00F75C58">
        <w:t xml:space="preserve"> (</w:t>
      </w:r>
      <w:r w:rsidR="00AC0739">
        <w:t xml:space="preserve">because they are not </w:t>
      </w:r>
      <w:r w:rsidR="00F75C58">
        <w:t>new</w:t>
      </w:r>
      <w:r w:rsidR="007018B9">
        <w:t>,</w:t>
      </w:r>
      <w:r w:rsidR="00F75C58">
        <w:t xml:space="preserve"> </w:t>
      </w:r>
      <w:r w:rsidR="00930814">
        <w:t xml:space="preserve">they </w:t>
      </w:r>
      <w:r w:rsidR="00F75C58">
        <w:t xml:space="preserve">are not included in the </w:t>
      </w:r>
      <w:r w:rsidR="00880679">
        <w:t>GVG</w:t>
      </w:r>
      <w:r w:rsidR="007018B9">
        <w:t xml:space="preserve"> or do not have manufacturer-sourced figures</w:t>
      </w:r>
      <w:r w:rsidR="00F75C58">
        <w:t>), the amount of duty payable under this instrument</w:t>
      </w:r>
      <w:r w:rsidR="00AB1E1B">
        <w:t xml:space="preserve"> is</w:t>
      </w:r>
      <w:r w:rsidR="00F75C58">
        <w:t xml:space="preserve"> </w:t>
      </w:r>
      <w:r w:rsidR="00017919">
        <w:t>that</w:t>
      </w:r>
      <w:r w:rsidR="00685D25">
        <w:t xml:space="preserve"> for</w:t>
      </w:r>
      <w:r w:rsidR="00D24A29">
        <w:t xml:space="preserve"> a </w:t>
      </w:r>
      <w:r w:rsidR="00017919">
        <w:t>non</w:t>
      </w:r>
      <w:r w:rsidR="00D24A29">
        <w:t>-</w:t>
      </w:r>
      <w:r w:rsidR="00AC0739">
        <w:t>rated vehicle</w:t>
      </w:r>
      <w:r w:rsidR="00F75C58" w:rsidRPr="0061588E">
        <w:t>.</w:t>
      </w:r>
      <w:r w:rsidR="00A355DB">
        <w:t xml:space="preserve"> </w:t>
      </w:r>
    </w:p>
    <w:p w14:paraId="7B08BA8E" w14:textId="1EED7D15" w:rsidR="00AC0739" w:rsidRDefault="00017919" w:rsidP="00A81BFF">
      <w:pPr>
        <w:autoSpaceDE w:val="0"/>
        <w:autoSpaceDN w:val="0"/>
        <w:adjustRightInd w:val="0"/>
        <w:spacing w:before="120" w:after="120"/>
      </w:pPr>
      <w:r>
        <w:t>T</w:t>
      </w:r>
      <w:r w:rsidR="0051490C">
        <w:t xml:space="preserve">he amount of duty payable for new motorcycles </w:t>
      </w:r>
      <w:r w:rsidR="006844DF">
        <w:t xml:space="preserve">(that are not </w:t>
      </w:r>
      <w:r>
        <w:t>Category AAA</w:t>
      </w:r>
      <w:r w:rsidR="006844DF">
        <w:t xml:space="preserve">) </w:t>
      </w:r>
      <w:r w:rsidR="0051490C">
        <w:t xml:space="preserve">is equivalent to the amount payable for </w:t>
      </w:r>
      <w:r w:rsidR="00AB1E1B">
        <w:t xml:space="preserve">Category </w:t>
      </w:r>
      <w:r w:rsidR="00AC0739">
        <w:t>B vehicle</w:t>
      </w:r>
      <w:r w:rsidR="0051490C">
        <w:t xml:space="preserve">s instead of </w:t>
      </w:r>
      <w:r>
        <w:t>non</w:t>
      </w:r>
      <w:r w:rsidR="0051490C">
        <w:t>-rated vehicles</w:t>
      </w:r>
      <w:r w:rsidR="00EF2152">
        <w:t xml:space="preserve"> – see below</w:t>
      </w:r>
      <w:r w:rsidR="00A355DB">
        <w:t>.</w:t>
      </w:r>
    </w:p>
    <w:p w14:paraId="4ACB2A2A" w14:textId="200D08A5" w:rsidR="00666BCB" w:rsidRDefault="007F0762" w:rsidP="00666BCB">
      <w:pPr>
        <w:autoSpaceDE w:val="0"/>
        <w:autoSpaceDN w:val="0"/>
        <w:adjustRightInd w:val="0"/>
        <w:spacing w:before="120" w:after="120"/>
        <w:rPr>
          <w:rFonts w:ascii="Arial" w:hAnsi="Arial" w:cs="Arial"/>
          <w:bCs/>
        </w:rPr>
      </w:pPr>
      <w:r>
        <w:lastRenderedPageBreak/>
        <w:t xml:space="preserve">Duty does not apply to caravans or to camper trailers. However, duty remains payable on all other trailers (e.g. goods carrying, box) that are not camper trailers. </w:t>
      </w:r>
    </w:p>
    <w:p w14:paraId="1FED4C1F" w14:textId="250F59CC" w:rsidR="0008444E" w:rsidRPr="00886A28" w:rsidRDefault="0008444E" w:rsidP="00D02C09">
      <w:pPr>
        <w:autoSpaceDE w:val="0"/>
        <w:autoSpaceDN w:val="0"/>
        <w:adjustRightInd w:val="0"/>
        <w:spacing w:before="120" w:after="120"/>
        <w:rPr>
          <w:bCs/>
          <w:u w:val="single"/>
        </w:rPr>
      </w:pPr>
      <w:r w:rsidRPr="00886A28">
        <w:rPr>
          <w:bCs/>
          <w:u w:val="single"/>
        </w:rPr>
        <w:t>Zero emission vehicles</w:t>
      </w:r>
      <w:r w:rsidR="00017919" w:rsidRPr="00886A28">
        <w:rPr>
          <w:bCs/>
          <w:u w:val="single"/>
        </w:rPr>
        <w:t xml:space="preserve"> </w:t>
      </w:r>
      <w:r w:rsidR="00110980" w:rsidRPr="00886A28">
        <w:rPr>
          <w:bCs/>
          <w:u w:val="single"/>
        </w:rPr>
        <w:t>(</w:t>
      </w:r>
      <w:r w:rsidR="00017919" w:rsidRPr="00886A28">
        <w:rPr>
          <w:bCs/>
          <w:u w:val="single"/>
        </w:rPr>
        <w:t xml:space="preserve">ZEVS </w:t>
      </w:r>
      <w:r w:rsidR="00110980" w:rsidRPr="00886A28">
        <w:rPr>
          <w:bCs/>
          <w:u w:val="single"/>
        </w:rPr>
        <w:t xml:space="preserve">or </w:t>
      </w:r>
      <w:r w:rsidR="00017919" w:rsidRPr="00886A28">
        <w:rPr>
          <w:bCs/>
          <w:u w:val="single"/>
        </w:rPr>
        <w:t>Category AAA)</w:t>
      </w:r>
    </w:p>
    <w:p w14:paraId="6D8E0BF6" w14:textId="15A85372" w:rsidR="0008444E" w:rsidRDefault="0008444E" w:rsidP="0008444E">
      <w:pPr>
        <w:autoSpaceDE w:val="0"/>
        <w:autoSpaceDN w:val="0"/>
        <w:adjustRightInd w:val="0"/>
        <w:spacing w:before="120" w:after="120"/>
      </w:pPr>
      <w:r>
        <w:t xml:space="preserve">For the purposes of this instrument, </w:t>
      </w:r>
      <w:r w:rsidRPr="005A4C5E">
        <w:t xml:space="preserve">ZEVs </w:t>
      </w:r>
      <w:r w:rsidR="00017919">
        <w:t>are captured under Category AAA</w:t>
      </w:r>
      <w:r w:rsidR="00F9210D">
        <w:t xml:space="preserve"> under the definitions of BEV and HFCEV</w:t>
      </w:r>
      <w:r w:rsidR="00017919">
        <w:t>. They include</w:t>
      </w:r>
      <w:r w:rsidRPr="005A4C5E">
        <w:t xml:space="preserve"> motor vehicles (including motorcycles) propelled by means of battery electric or hydrogen fuel cell powered engines. Hybrid vehicles using electric and hydrogen fuel sources as well as fossil</w:t>
      </w:r>
      <w:r w:rsidRPr="005A4C5E">
        <w:noBreakHyphen/>
        <w:t xml:space="preserve">based fuels are not </w:t>
      </w:r>
      <w:r w:rsidR="00AB1E1B">
        <w:t>Category AAA motor vehicles</w:t>
      </w:r>
      <w:r w:rsidRPr="00C62221">
        <w:t>.</w:t>
      </w:r>
    </w:p>
    <w:p w14:paraId="7B40785F" w14:textId="609A619C" w:rsidR="0008444E" w:rsidRPr="00886A28" w:rsidRDefault="0008444E" w:rsidP="0008444E">
      <w:pPr>
        <w:autoSpaceDE w:val="0"/>
        <w:autoSpaceDN w:val="0"/>
        <w:adjustRightInd w:val="0"/>
        <w:spacing w:before="120" w:after="120"/>
        <w:rPr>
          <w:bCs/>
          <w:u w:val="single"/>
        </w:rPr>
      </w:pPr>
      <w:r w:rsidRPr="00886A28">
        <w:rPr>
          <w:bCs/>
          <w:u w:val="single"/>
        </w:rPr>
        <w:t xml:space="preserve">Hybrid </w:t>
      </w:r>
      <w:r w:rsidR="00C62221" w:rsidRPr="00886A28">
        <w:rPr>
          <w:bCs/>
          <w:u w:val="single"/>
        </w:rPr>
        <w:t xml:space="preserve">vehicles </w:t>
      </w:r>
      <w:r w:rsidR="00241131" w:rsidRPr="00886A28">
        <w:rPr>
          <w:bCs/>
          <w:u w:val="single"/>
        </w:rPr>
        <w:t>and PHEV</w:t>
      </w:r>
      <w:r w:rsidRPr="00886A28">
        <w:rPr>
          <w:bCs/>
          <w:u w:val="single"/>
        </w:rPr>
        <w:t>s</w:t>
      </w:r>
    </w:p>
    <w:p w14:paraId="75338A76" w14:textId="4F9B38F4" w:rsidR="00110980" w:rsidRDefault="00110980" w:rsidP="005A4C5E">
      <w:pPr>
        <w:spacing w:before="160"/>
        <w:rPr>
          <w:iCs/>
        </w:rPr>
      </w:pPr>
      <w:r w:rsidRPr="004D630A">
        <w:rPr>
          <w:bCs/>
          <w:iCs/>
        </w:rPr>
        <w:t xml:space="preserve">Transfers of new hybrids and PHEVs with tailpipe emissions of </w:t>
      </w:r>
      <w:r w:rsidRPr="004D630A">
        <w:rPr>
          <w:iCs/>
        </w:rPr>
        <w:t>no more than 130g/km of CO</w:t>
      </w:r>
      <w:r w:rsidRPr="004D630A">
        <w:rPr>
          <w:iCs/>
          <w:vertAlign w:val="subscript"/>
        </w:rPr>
        <w:t xml:space="preserve">2 </w:t>
      </w:r>
      <w:r w:rsidRPr="004D630A">
        <w:rPr>
          <w:iCs/>
        </w:rPr>
        <w:t xml:space="preserve">are not subject to duty as </w:t>
      </w:r>
      <w:r>
        <w:rPr>
          <w:iCs/>
        </w:rPr>
        <w:t xml:space="preserve">either Category </w:t>
      </w:r>
      <w:r w:rsidRPr="004D630A">
        <w:rPr>
          <w:iCs/>
        </w:rPr>
        <w:t>A</w:t>
      </w:r>
      <w:r>
        <w:rPr>
          <w:iCs/>
        </w:rPr>
        <w:t xml:space="preserve"> or AA</w:t>
      </w:r>
      <w:r w:rsidRPr="004D630A">
        <w:rPr>
          <w:iCs/>
        </w:rPr>
        <w:t xml:space="preserve"> vehicles.</w:t>
      </w:r>
    </w:p>
    <w:p w14:paraId="31F95329" w14:textId="3ABD6D16" w:rsidR="003412F9" w:rsidRPr="003412F9" w:rsidRDefault="003412F9" w:rsidP="00F27912">
      <w:pPr>
        <w:autoSpaceDE w:val="0"/>
        <w:autoSpaceDN w:val="0"/>
        <w:adjustRightInd w:val="0"/>
        <w:spacing w:before="120" w:after="120"/>
        <w:rPr>
          <w:bCs/>
          <w:iCs/>
        </w:rPr>
      </w:pPr>
      <w:r>
        <w:rPr>
          <w:bCs/>
          <w:iCs/>
        </w:rPr>
        <w:t xml:space="preserve">Transfers of used </w:t>
      </w:r>
      <w:r w:rsidR="00AD5D0A">
        <w:rPr>
          <w:bCs/>
          <w:iCs/>
        </w:rPr>
        <w:t xml:space="preserve">hybrids and used PHEVs are now treated as used vehicles and subject to duty as non-rated vehicles. </w:t>
      </w:r>
    </w:p>
    <w:p w14:paraId="6398D455" w14:textId="20EDA64A" w:rsidR="0008444E" w:rsidRPr="00886A28" w:rsidRDefault="0008444E" w:rsidP="00886A28">
      <w:pPr>
        <w:autoSpaceDE w:val="0"/>
        <w:autoSpaceDN w:val="0"/>
        <w:adjustRightInd w:val="0"/>
        <w:spacing w:before="120" w:after="120"/>
        <w:rPr>
          <w:bCs/>
          <w:u w:val="single"/>
        </w:rPr>
      </w:pPr>
      <w:r w:rsidRPr="00886A28">
        <w:rPr>
          <w:bCs/>
          <w:u w:val="single"/>
        </w:rPr>
        <w:t>Motorcycles under the VERS</w:t>
      </w:r>
    </w:p>
    <w:p w14:paraId="7916A2CF" w14:textId="77777777" w:rsidR="0008444E" w:rsidRDefault="0008444E" w:rsidP="0008444E">
      <w:pPr>
        <w:autoSpaceDE w:val="0"/>
        <w:autoSpaceDN w:val="0"/>
        <w:adjustRightInd w:val="0"/>
        <w:spacing w:before="120" w:after="120"/>
      </w:pPr>
      <w:r>
        <w:t xml:space="preserve">The GVG does not provide data on the environmental performance of motorcycles. </w:t>
      </w:r>
    </w:p>
    <w:p w14:paraId="7470C88C" w14:textId="72DF292B" w:rsidR="0008444E" w:rsidRPr="000D387A" w:rsidRDefault="0008444E" w:rsidP="0008444E">
      <w:pPr>
        <w:autoSpaceDE w:val="0"/>
        <w:autoSpaceDN w:val="0"/>
        <w:adjustRightInd w:val="0"/>
        <w:spacing w:before="120" w:after="120"/>
      </w:pPr>
      <w:r>
        <w:t>For motor vehicle duty purposes, n</w:t>
      </w:r>
      <w:r w:rsidRPr="000D387A">
        <w:t>ew motorcycles</w:t>
      </w:r>
      <w:r>
        <w:t xml:space="preserve"> (other than </w:t>
      </w:r>
      <w:r w:rsidR="00AB1E1B">
        <w:t>Category AAA motor vehicles</w:t>
      </w:r>
      <w:r>
        <w:t>)</w:t>
      </w:r>
      <w:r w:rsidRPr="000D387A">
        <w:t xml:space="preserve"> </w:t>
      </w:r>
      <w:r>
        <w:t xml:space="preserve">are placed </w:t>
      </w:r>
      <w:r w:rsidR="00AB1E1B">
        <w:t>with</w:t>
      </w:r>
      <w:r w:rsidRPr="000D387A">
        <w:t xml:space="preserve"> </w:t>
      </w:r>
      <w:r w:rsidR="00AB1E1B">
        <w:t xml:space="preserve">Category </w:t>
      </w:r>
      <w:r w:rsidRPr="000D387A">
        <w:t xml:space="preserve">B </w:t>
      </w:r>
      <w:r w:rsidR="00AB1E1B">
        <w:t xml:space="preserve">motor vehicles </w:t>
      </w:r>
      <w:r w:rsidRPr="000D387A">
        <w:t xml:space="preserve">under </w:t>
      </w:r>
      <w:r w:rsidR="00AB1E1B">
        <w:t>Table 1</w:t>
      </w:r>
      <w:r w:rsidRPr="000D387A">
        <w:t xml:space="preserve">. This recognises </w:t>
      </w:r>
      <w:r>
        <w:t xml:space="preserve">that </w:t>
      </w:r>
      <w:r w:rsidRPr="000D387A">
        <w:t>the environmental performance of motorcycles and scooters compares favourably to light vehicles, and improves the affordability of purchasing a new motorcycle, assisting to reduce congestion and greenhouse gas emissions.</w:t>
      </w:r>
    </w:p>
    <w:p w14:paraId="25CA8BB0" w14:textId="77777777" w:rsidR="0008444E" w:rsidRDefault="0008444E" w:rsidP="0008444E">
      <w:pPr>
        <w:autoSpaceDE w:val="0"/>
        <w:autoSpaceDN w:val="0"/>
        <w:adjustRightInd w:val="0"/>
        <w:spacing w:before="120" w:after="120"/>
      </w:pPr>
      <w:r>
        <w:t>‘</w:t>
      </w:r>
      <w:r w:rsidRPr="000E0A4B">
        <w:t>Motorcycle</w:t>
      </w:r>
      <w:r>
        <w:t xml:space="preserve">’ is defined to mean a motorbike within the meaning of the </w:t>
      </w:r>
      <w:r>
        <w:rPr>
          <w:i/>
        </w:rPr>
        <w:t>Road Transport (Vehicle Registration) Regulation 2000</w:t>
      </w:r>
      <w:r>
        <w:t>, generally meaning any 2</w:t>
      </w:r>
      <w:r>
        <w:noBreakHyphen/>
        <w:t>wheeled motor vehicle with or without a sidecar.</w:t>
      </w:r>
    </w:p>
    <w:p w14:paraId="1B4F2D14" w14:textId="52D88663" w:rsidR="00EF2152" w:rsidRDefault="0008444E" w:rsidP="00EF2152">
      <w:pPr>
        <w:autoSpaceDE w:val="0"/>
        <w:autoSpaceDN w:val="0"/>
        <w:adjustRightInd w:val="0"/>
        <w:spacing w:before="120" w:after="120"/>
      </w:pPr>
      <w:r>
        <w:t xml:space="preserve">Non-rated vehicles continue to include motorcycles that are not new (other than </w:t>
      </w:r>
      <w:r w:rsidR="00BE3E68">
        <w:t xml:space="preserve">Category AAA </w:t>
      </w:r>
      <w:r w:rsidR="00AB1E1B">
        <w:t xml:space="preserve">motor </w:t>
      </w:r>
      <w:r w:rsidR="00BE3E68">
        <w:t>vehicles</w:t>
      </w:r>
      <w:r>
        <w:t>).</w:t>
      </w:r>
    </w:p>
    <w:p w14:paraId="5E496CA5" w14:textId="06626EAF" w:rsidR="002E5008" w:rsidRPr="00A34893" w:rsidRDefault="002E5008" w:rsidP="00A34893">
      <w:pPr>
        <w:autoSpaceDE w:val="0"/>
        <w:autoSpaceDN w:val="0"/>
        <w:adjustRightInd w:val="0"/>
        <w:spacing w:before="120" w:after="120"/>
        <w:rPr>
          <w:bCs/>
          <w:u w:val="single"/>
        </w:rPr>
      </w:pPr>
      <w:r w:rsidRPr="00A34893">
        <w:rPr>
          <w:bCs/>
          <w:u w:val="single"/>
        </w:rPr>
        <w:t xml:space="preserve">New </w:t>
      </w:r>
      <w:r w:rsidR="00930814" w:rsidRPr="00A34893">
        <w:rPr>
          <w:bCs/>
          <w:u w:val="single"/>
        </w:rPr>
        <w:t>m</w:t>
      </w:r>
      <w:r w:rsidRPr="00A34893">
        <w:rPr>
          <w:bCs/>
          <w:u w:val="single"/>
        </w:rPr>
        <w:t xml:space="preserve">otor </w:t>
      </w:r>
      <w:r w:rsidR="00930814" w:rsidRPr="00A34893">
        <w:rPr>
          <w:bCs/>
          <w:u w:val="single"/>
        </w:rPr>
        <w:t xml:space="preserve">vehicles </w:t>
      </w:r>
      <w:r w:rsidRPr="00A34893">
        <w:rPr>
          <w:bCs/>
          <w:u w:val="single"/>
        </w:rPr>
        <w:t xml:space="preserve">and </w:t>
      </w:r>
      <w:r w:rsidR="0073442E" w:rsidRPr="00A34893">
        <w:rPr>
          <w:bCs/>
          <w:u w:val="single"/>
        </w:rPr>
        <w:t>demonstrators</w:t>
      </w:r>
    </w:p>
    <w:p w14:paraId="41D9E6C9" w14:textId="77777777" w:rsidR="005F44FB" w:rsidRDefault="002E5008" w:rsidP="00A81BFF">
      <w:pPr>
        <w:autoSpaceDE w:val="0"/>
        <w:autoSpaceDN w:val="0"/>
        <w:adjustRightInd w:val="0"/>
        <w:spacing w:before="120" w:after="120"/>
      </w:pPr>
      <w:r w:rsidRPr="008268AB">
        <w:t>In order to qualify for the differential rates of duty applicable to green vehicles, a demonstrator vehicle must be sold or otherwise disposed of within 1 year of the date it first became a registered motor vehicle</w:t>
      </w:r>
      <w:r w:rsidR="00E27283">
        <w:t xml:space="preserve">. </w:t>
      </w:r>
    </w:p>
    <w:p w14:paraId="5F7775A0" w14:textId="3E337A96" w:rsidR="00936E7F" w:rsidRDefault="00936E7F" w:rsidP="00936E7F">
      <w:pPr>
        <w:autoSpaceDE w:val="0"/>
        <w:autoSpaceDN w:val="0"/>
        <w:adjustRightInd w:val="0"/>
        <w:spacing w:before="120" w:after="120"/>
      </w:pPr>
      <w:r>
        <w:t xml:space="preserve">The meaning of </w:t>
      </w:r>
      <w:r w:rsidR="00AB0AFD">
        <w:t>‘</w:t>
      </w:r>
      <w:r w:rsidRPr="00AB0AFD">
        <w:rPr>
          <w:bCs/>
          <w:iCs/>
        </w:rPr>
        <w:t>new motor vehicle</w:t>
      </w:r>
      <w:r w:rsidR="00AB0AFD">
        <w:rPr>
          <w:bCs/>
          <w:iCs/>
        </w:rPr>
        <w:t>’</w:t>
      </w:r>
      <w:r>
        <w:t xml:space="preserve"> excludes demonstrators which were first registered under the law of the Commonwealth, a State, another Territory or a foreign country. This is to discourage people from importing interstate demonstrators into the Territory only to take advantage of the differential duty scheme (by subsequently transferring registration to the person’s home jurisdiction). </w:t>
      </w:r>
    </w:p>
    <w:p w14:paraId="04E85558" w14:textId="77777777" w:rsidR="00936E7F" w:rsidRDefault="00936E7F" w:rsidP="00936E7F">
      <w:pPr>
        <w:autoSpaceDE w:val="0"/>
        <w:autoSpaceDN w:val="0"/>
        <w:adjustRightInd w:val="0"/>
        <w:spacing w:before="120" w:after="120"/>
      </w:pPr>
      <w:r>
        <w:t>The VERS applies to local demonstrators that are or were first registered in the ACT and disposed of within 1 year of registration by a licensed dealer.</w:t>
      </w:r>
    </w:p>
    <w:p w14:paraId="0EC11930" w14:textId="252F405A" w:rsidR="00D335F1" w:rsidRDefault="002E5008" w:rsidP="00A81BFF">
      <w:pPr>
        <w:autoSpaceDE w:val="0"/>
        <w:autoSpaceDN w:val="0"/>
        <w:adjustRightInd w:val="0"/>
        <w:spacing w:before="120" w:after="120"/>
      </w:pPr>
      <w:r w:rsidRPr="007D551E">
        <w:lastRenderedPageBreak/>
        <w:t xml:space="preserve">Demonstrators that do not meet the definition of </w:t>
      </w:r>
      <w:r w:rsidR="00683826">
        <w:t>‘</w:t>
      </w:r>
      <w:r w:rsidRPr="00ED3780">
        <w:rPr>
          <w:bCs/>
          <w:iCs/>
        </w:rPr>
        <w:t>demonstrator</w:t>
      </w:r>
      <w:r w:rsidR="00683826">
        <w:rPr>
          <w:bCs/>
          <w:iCs/>
        </w:rPr>
        <w:t>’</w:t>
      </w:r>
      <w:r w:rsidRPr="007D551E">
        <w:t xml:space="preserve"> under this instrument </w:t>
      </w:r>
      <w:r w:rsidRPr="007D551E">
        <w:rPr>
          <w:b/>
          <w:u w:val="single"/>
        </w:rPr>
        <w:t>and</w:t>
      </w:r>
      <w:r w:rsidRPr="007D551E">
        <w:t xml:space="preserve"> are not disposed of by a </w:t>
      </w:r>
      <w:r>
        <w:t xml:space="preserve">licensed vehicle </w:t>
      </w:r>
      <w:r w:rsidR="00F57BB0">
        <w:t>dealer within 1 year</w:t>
      </w:r>
      <w:r w:rsidRPr="007D551E">
        <w:t xml:space="preserve"> will not qualify for the differential rates of duty applicable to green vehicles.</w:t>
      </w:r>
    </w:p>
    <w:p w14:paraId="15A2AF43" w14:textId="611849EA" w:rsidR="00442AAC" w:rsidRPr="00442AAC" w:rsidRDefault="00442AAC" w:rsidP="00442AAC">
      <w:pPr>
        <w:autoSpaceDE w:val="0"/>
        <w:autoSpaceDN w:val="0"/>
        <w:adjustRightInd w:val="0"/>
        <w:spacing w:before="120" w:after="120"/>
      </w:pPr>
      <w:r>
        <w:rPr>
          <w:rFonts w:ascii="Arial" w:hAnsi="Arial" w:cs="Arial"/>
          <w:b/>
          <w:lang w:eastAsia="en-AU"/>
        </w:rPr>
        <w:t xml:space="preserve">Displacement of </w:t>
      </w:r>
      <w:r>
        <w:rPr>
          <w:rFonts w:ascii="Arial" w:hAnsi="Arial" w:cs="Arial"/>
          <w:b/>
          <w:i/>
          <w:lang w:eastAsia="en-AU"/>
        </w:rPr>
        <w:t xml:space="preserve">Legislation Act 2001, </w:t>
      </w:r>
      <w:r>
        <w:rPr>
          <w:rFonts w:ascii="Arial" w:hAnsi="Arial" w:cs="Arial"/>
          <w:b/>
          <w:lang w:eastAsia="en-AU"/>
        </w:rPr>
        <w:t>section 47 (6)</w:t>
      </w:r>
    </w:p>
    <w:p w14:paraId="1D2A6D71" w14:textId="2349A6FE" w:rsidR="00F11884" w:rsidRPr="002266CA" w:rsidRDefault="00930814" w:rsidP="00A81BFF">
      <w:pPr>
        <w:autoSpaceDE w:val="0"/>
        <w:autoSpaceDN w:val="0"/>
        <w:adjustRightInd w:val="0"/>
        <w:spacing w:before="120" w:after="120"/>
        <w:rPr>
          <w:lang w:eastAsia="en-AU"/>
        </w:rPr>
      </w:pPr>
      <w:r>
        <w:t>As</w:t>
      </w:r>
      <w:r w:rsidR="0058007A">
        <w:t xml:space="preserve"> the</w:t>
      </w:r>
      <w:r w:rsidR="00AB1E1B">
        <w:t xml:space="preserve"> combined</w:t>
      </w:r>
      <w:r w:rsidR="0058007A">
        <w:t xml:space="preserve"> CO</w:t>
      </w:r>
      <w:r w:rsidR="0058007A" w:rsidRPr="0058007A">
        <w:rPr>
          <w:vertAlign w:val="subscript"/>
        </w:rPr>
        <w:t>2</w:t>
      </w:r>
      <w:r w:rsidR="0058007A" w:rsidRPr="0058007A">
        <w:rPr>
          <w:lang w:eastAsia="en-AU"/>
        </w:rPr>
        <w:t xml:space="preserve"> </w:t>
      </w:r>
      <w:r w:rsidR="0058007A">
        <w:rPr>
          <w:lang w:eastAsia="en-AU"/>
        </w:rPr>
        <w:t>emissions of motor vehicles under this instrument are ascertained by reference to the GVG, this instrument incorporates those details</w:t>
      </w:r>
      <w:r w:rsidR="00986FE9">
        <w:rPr>
          <w:lang w:eastAsia="en-AU"/>
        </w:rPr>
        <w:t xml:space="preserve"> as in force from time to time.</w:t>
      </w:r>
      <w:r w:rsidR="002266CA">
        <w:rPr>
          <w:lang w:eastAsia="en-AU"/>
        </w:rPr>
        <w:t xml:space="preserve"> The Australian Design Rules 79 and 8</w:t>
      </w:r>
      <w:r w:rsidR="00ED3780">
        <w:rPr>
          <w:lang w:eastAsia="en-AU"/>
        </w:rPr>
        <w:t>1 determined as part of the ‘national vehicle standards’</w:t>
      </w:r>
      <w:r w:rsidR="002266CA">
        <w:rPr>
          <w:lang w:eastAsia="en-AU"/>
        </w:rPr>
        <w:t xml:space="preserve"> under section 12 of the </w:t>
      </w:r>
      <w:r w:rsidR="002266CA">
        <w:rPr>
          <w:i/>
          <w:iCs/>
          <w:lang w:eastAsia="en-AU"/>
        </w:rPr>
        <w:t xml:space="preserve">Road Vehicle Standards Act 2018 </w:t>
      </w:r>
      <w:r w:rsidR="002266CA">
        <w:rPr>
          <w:lang w:eastAsia="en-AU"/>
        </w:rPr>
        <w:t>(Cwlth) will also be incorporat</w:t>
      </w:r>
      <w:r w:rsidR="00E817DF">
        <w:rPr>
          <w:lang w:eastAsia="en-AU"/>
        </w:rPr>
        <w:t>ed</w:t>
      </w:r>
      <w:r w:rsidR="002266CA">
        <w:rPr>
          <w:lang w:eastAsia="en-AU"/>
        </w:rPr>
        <w:t xml:space="preserve">, noting that section </w:t>
      </w:r>
      <w:r w:rsidR="00C86177">
        <w:rPr>
          <w:lang w:eastAsia="en-AU"/>
        </w:rPr>
        <w:t>12</w:t>
      </w:r>
      <w:r w:rsidR="002266CA">
        <w:rPr>
          <w:lang w:eastAsia="en-AU"/>
        </w:rPr>
        <w:t xml:space="preserve"> (2) </w:t>
      </w:r>
      <w:r w:rsidR="00C86177">
        <w:rPr>
          <w:lang w:eastAsia="en-AU"/>
        </w:rPr>
        <w:t>incorporates the instruments for the Australian Design Rules as</w:t>
      </w:r>
      <w:r w:rsidR="00E25F9E">
        <w:rPr>
          <w:lang w:eastAsia="en-AU"/>
        </w:rPr>
        <w:t xml:space="preserve"> they</w:t>
      </w:r>
      <w:r w:rsidR="00C86177">
        <w:rPr>
          <w:lang w:eastAsia="en-AU"/>
        </w:rPr>
        <w:t xml:space="preserve"> are in force from time to time as well.</w:t>
      </w:r>
      <w:r w:rsidR="001462CE">
        <w:rPr>
          <w:lang w:eastAsia="en-AU"/>
        </w:rPr>
        <w:t xml:space="preserve"> </w:t>
      </w:r>
    </w:p>
    <w:p w14:paraId="7FB54231" w14:textId="77777777" w:rsidR="00F11884" w:rsidRDefault="00F11884" w:rsidP="00A81BFF">
      <w:pPr>
        <w:autoSpaceDE w:val="0"/>
        <w:autoSpaceDN w:val="0"/>
        <w:adjustRightInd w:val="0"/>
        <w:spacing w:before="120" w:after="120"/>
        <w:rPr>
          <w:lang w:eastAsia="en-AU"/>
        </w:rPr>
      </w:pPr>
      <w:r>
        <w:rPr>
          <w:lang w:eastAsia="en-AU"/>
        </w:rPr>
        <w:t xml:space="preserve">Section 47 (6) of </w:t>
      </w:r>
      <w:r>
        <w:t>the</w:t>
      </w:r>
      <w:r>
        <w:rPr>
          <w:lang w:eastAsia="en-AU"/>
        </w:rPr>
        <w:t xml:space="preserve"> </w:t>
      </w:r>
      <w:r>
        <w:rPr>
          <w:i/>
          <w:lang w:eastAsia="en-AU"/>
        </w:rPr>
        <w:t xml:space="preserve">Legislation Act 2001 </w:t>
      </w:r>
      <w:r>
        <w:rPr>
          <w:lang w:eastAsia="en-AU"/>
        </w:rPr>
        <w:t xml:space="preserve">(Legislation Act) provides that an incorporated </w:t>
      </w:r>
      <w:r w:rsidR="00986FE9">
        <w:rPr>
          <w:lang w:eastAsia="en-AU"/>
        </w:rPr>
        <w:t>instrument</w:t>
      </w:r>
      <w:r>
        <w:rPr>
          <w:lang w:eastAsia="en-AU"/>
        </w:rPr>
        <w:t>, and any amendment or replacement of such a</w:t>
      </w:r>
      <w:r w:rsidR="00986FE9">
        <w:rPr>
          <w:lang w:eastAsia="en-AU"/>
        </w:rPr>
        <w:t>n</w:t>
      </w:r>
      <w:r>
        <w:rPr>
          <w:lang w:eastAsia="en-AU"/>
        </w:rPr>
        <w:t xml:space="preserve"> </w:t>
      </w:r>
      <w:r w:rsidR="00986FE9">
        <w:rPr>
          <w:lang w:eastAsia="en-AU"/>
        </w:rPr>
        <w:t>instrument</w:t>
      </w:r>
      <w:r>
        <w:rPr>
          <w:lang w:eastAsia="en-AU"/>
        </w:rPr>
        <w:t>, are taken to be notifiable instruments. A notifiable instrument must be notified on the legislation register under the Legislation Act.</w:t>
      </w:r>
    </w:p>
    <w:p w14:paraId="67B95034" w14:textId="77777777" w:rsidR="0061036F" w:rsidRDefault="00F11884" w:rsidP="00A81BFF">
      <w:pPr>
        <w:autoSpaceDE w:val="0"/>
        <w:autoSpaceDN w:val="0"/>
        <w:adjustRightInd w:val="0"/>
        <w:spacing w:before="120" w:after="120"/>
        <w:rPr>
          <w:lang w:eastAsia="en-AU"/>
        </w:rPr>
      </w:pPr>
      <w:r>
        <w:rPr>
          <w:lang w:eastAsia="en-AU"/>
        </w:rPr>
        <w:t xml:space="preserve">However, </w:t>
      </w:r>
      <w:r w:rsidR="002A55E5">
        <w:rPr>
          <w:lang w:eastAsia="en-AU"/>
        </w:rPr>
        <w:t xml:space="preserve">for the </w:t>
      </w:r>
      <w:r w:rsidR="002A55E5">
        <w:t>purpose</w:t>
      </w:r>
      <w:r w:rsidR="002A55E5">
        <w:rPr>
          <w:lang w:eastAsia="en-AU"/>
        </w:rPr>
        <w:t xml:space="preserve"> of determining a rate </w:t>
      </w:r>
      <w:r w:rsidR="005F44FB">
        <w:rPr>
          <w:lang w:eastAsia="en-AU"/>
        </w:rPr>
        <w:t>for motor vehicle duty, section </w:t>
      </w:r>
      <w:r w:rsidR="002A55E5">
        <w:rPr>
          <w:lang w:eastAsia="en-AU"/>
        </w:rPr>
        <w:t xml:space="preserve">208 (3) permits a determination </w:t>
      </w:r>
      <w:r w:rsidR="00986FE9">
        <w:rPr>
          <w:lang w:eastAsia="en-AU"/>
        </w:rPr>
        <w:t xml:space="preserve">under section 139 of the TAA </w:t>
      </w:r>
      <w:r w:rsidR="002A55E5">
        <w:rPr>
          <w:lang w:eastAsia="en-AU"/>
        </w:rPr>
        <w:t xml:space="preserve">to apply, adopt or incorporate an instrument as in force from time to time. </w:t>
      </w:r>
    </w:p>
    <w:p w14:paraId="4B46C537" w14:textId="77777777" w:rsidR="002A55E5" w:rsidRDefault="002A55E5" w:rsidP="00A81BFF">
      <w:pPr>
        <w:autoSpaceDE w:val="0"/>
        <w:autoSpaceDN w:val="0"/>
        <w:adjustRightInd w:val="0"/>
        <w:spacing w:before="120" w:after="120"/>
        <w:rPr>
          <w:lang w:eastAsia="en-AU"/>
        </w:rPr>
      </w:pPr>
      <w:r>
        <w:rPr>
          <w:lang w:eastAsia="en-AU"/>
        </w:rPr>
        <w:t>As the GVG is amended frequently (whenever a new vehicle model becomes available for sale, which can be as frequent as two to t</w:t>
      </w:r>
      <w:r w:rsidR="00986FE9">
        <w:rPr>
          <w:lang w:eastAsia="en-AU"/>
        </w:rPr>
        <w:t xml:space="preserve">hree times per week), </w:t>
      </w:r>
      <w:r w:rsidR="00531EC7">
        <w:t>section</w:t>
      </w:r>
      <w:r w:rsidR="00986FE9">
        <w:rPr>
          <w:lang w:eastAsia="en-AU"/>
        </w:rPr>
        <w:t> </w:t>
      </w:r>
      <w:r>
        <w:rPr>
          <w:lang w:eastAsia="en-AU"/>
        </w:rPr>
        <w:t xml:space="preserve">5 of this instrument displaces section 47 (6) of the Legislation Act. </w:t>
      </w:r>
    </w:p>
    <w:p w14:paraId="75089F27" w14:textId="77777777" w:rsidR="00AF3150" w:rsidRDefault="002A55E5" w:rsidP="00C813DB">
      <w:pPr>
        <w:autoSpaceDE w:val="0"/>
        <w:autoSpaceDN w:val="0"/>
        <w:adjustRightInd w:val="0"/>
        <w:spacing w:before="120" w:after="120"/>
        <w:ind w:left="-11"/>
        <w:rPr>
          <w:lang w:eastAsia="en-AU"/>
        </w:rPr>
      </w:pPr>
      <w:r>
        <w:rPr>
          <w:lang w:eastAsia="en-AU"/>
        </w:rPr>
        <w:t xml:space="preserve">If section 47 (6) of the Legislation Act were not displaced, the text of the GVG would have </w:t>
      </w:r>
      <w:r w:rsidR="004F52AD">
        <w:rPr>
          <w:lang w:eastAsia="en-AU"/>
        </w:rPr>
        <w:t>to be remade as a new notifiable instrument every time the GVG is amended.</w:t>
      </w:r>
      <w:r w:rsidR="00986FE9">
        <w:rPr>
          <w:lang w:eastAsia="en-AU"/>
        </w:rPr>
        <w:t xml:space="preserve"> </w:t>
      </w:r>
      <w:r w:rsidR="00DA5988">
        <w:rPr>
          <w:lang w:eastAsia="en-AU"/>
        </w:rPr>
        <w:t>The displacement ensures that the</w:t>
      </w:r>
      <w:r w:rsidR="00915E71">
        <w:rPr>
          <w:lang w:eastAsia="en-AU"/>
        </w:rPr>
        <w:t xml:space="preserve"> current version of the</w:t>
      </w:r>
      <w:r w:rsidR="00DA5988">
        <w:rPr>
          <w:lang w:eastAsia="en-AU"/>
        </w:rPr>
        <w:t xml:space="preserve"> GVG </w:t>
      </w:r>
      <w:r w:rsidR="00915E71">
        <w:rPr>
          <w:lang w:eastAsia="en-AU"/>
        </w:rPr>
        <w:t xml:space="preserve">always </w:t>
      </w:r>
      <w:r w:rsidR="00DA5988">
        <w:rPr>
          <w:lang w:eastAsia="en-AU"/>
        </w:rPr>
        <w:t xml:space="preserve">applies for the purposes of the instrument, </w:t>
      </w:r>
      <w:r w:rsidR="00915E71">
        <w:rPr>
          <w:lang w:eastAsia="en-AU"/>
        </w:rPr>
        <w:t>removing</w:t>
      </w:r>
      <w:r w:rsidR="00DA5988">
        <w:rPr>
          <w:lang w:eastAsia="en-AU"/>
        </w:rPr>
        <w:t xml:space="preserve"> the need to remake it as a notifiable instrument whenever it is amended by the Commonwealth.</w:t>
      </w:r>
    </w:p>
    <w:p w14:paraId="7EEB53AA" w14:textId="744FCACF" w:rsidR="00C86177" w:rsidRPr="00C86177" w:rsidRDefault="00C86177" w:rsidP="00C813DB">
      <w:pPr>
        <w:autoSpaceDE w:val="0"/>
        <w:autoSpaceDN w:val="0"/>
        <w:adjustRightInd w:val="0"/>
        <w:spacing w:before="120" w:after="120"/>
        <w:ind w:left="-11"/>
        <w:rPr>
          <w:lang w:eastAsia="en-AU"/>
        </w:rPr>
      </w:pPr>
      <w:r>
        <w:rPr>
          <w:lang w:eastAsia="en-AU"/>
        </w:rPr>
        <w:t xml:space="preserve">Similarly, section 47 (6) of the Legislation Act is displaced in respect of the Australian Design Rules 79 and 81, given that they may be amended by the Australian Government under the </w:t>
      </w:r>
      <w:r>
        <w:rPr>
          <w:i/>
          <w:iCs/>
          <w:lang w:eastAsia="en-AU"/>
        </w:rPr>
        <w:t xml:space="preserve">Road Vehicle Standards Act 2018 </w:t>
      </w:r>
      <w:r>
        <w:rPr>
          <w:lang w:eastAsia="en-AU"/>
        </w:rPr>
        <w:t xml:space="preserve">(Cwlth) at any time. </w:t>
      </w:r>
    </w:p>
    <w:p w14:paraId="06C1E884" w14:textId="17CE330C" w:rsidR="00A55125" w:rsidRDefault="00A55125" w:rsidP="00D02C09">
      <w:pPr>
        <w:rPr>
          <w:lang w:eastAsia="en-AU"/>
        </w:rPr>
      </w:pPr>
    </w:p>
    <w:sectPr w:rsidR="00A55125" w:rsidSect="004944A3">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8286" w14:textId="77777777" w:rsidR="00D247A9" w:rsidRDefault="00D247A9">
      <w:r>
        <w:separator/>
      </w:r>
    </w:p>
  </w:endnote>
  <w:endnote w:type="continuationSeparator" w:id="0">
    <w:p w14:paraId="7C58AA80" w14:textId="77777777" w:rsidR="00D247A9" w:rsidRDefault="00D2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4D7A" w14:textId="77777777" w:rsidR="005A539F" w:rsidRDefault="005A5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2637" w14:textId="53C3B14E" w:rsidR="005A539F" w:rsidRPr="005A539F" w:rsidRDefault="005A539F" w:rsidP="005A539F">
    <w:pPr>
      <w:pStyle w:val="Footer"/>
      <w:jc w:val="center"/>
      <w:rPr>
        <w:sz w:val="14"/>
      </w:rPr>
    </w:pPr>
    <w:r w:rsidRPr="005A539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0B8C" w14:textId="77777777" w:rsidR="005A539F" w:rsidRDefault="005A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59B8" w14:textId="77777777" w:rsidR="00D247A9" w:rsidRDefault="00D247A9">
      <w:r>
        <w:separator/>
      </w:r>
    </w:p>
  </w:footnote>
  <w:footnote w:type="continuationSeparator" w:id="0">
    <w:p w14:paraId="564339E4" w14:textId="77777777" w:rsidR="00D247A9" w:rsidRDefault="00D2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DA85" w14:textId="77777777" w:rsidR="005A539F" w:rsidRDefault="005A5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1748" w14:textId="77777777" w:rsidR="005A539F" w:rsidRDefault="005A5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2E5" w14:textId="77777777" w:rsidR="005A539F" w:rsidRDefault="005A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9AB0653"/>
    <w:multiLevelType w:val="hybridMultilevel"/>
    <w:tmpl w:val="88DCD2A2"/>
    <w:lvl w:ilvl="0" w:tplc="C2607DBA">
      <w:start w:val="1"/>
      <w:numFmt w:val="decimal"/>
      <w:lvlText w:val="(%1)"/>
      <w:lvlJc w:val="left"/>
      <w:pPr>
        <w:tabs>
          <w:tab w:val="num" w:pos="1140"/>
        </w:tabs>
        <w:ind w:left="1140" w:hanging="420"/>
      </w:pPr>
      <w:rPr>
        <w:rFonts w:ascii="Times New Roman" w:hAnsi="Times New Roman" w:cs="Times New Roman" w:hint="default"/>
      </w:rPr>
    </w:lvl>
    <w:lvl w:ilvl="1" w:tplc="0C090019">
      <w:start w:val="1"/>
      <w:numFmt w:val="lowerLetter"/>
      <w:lvlText w:val="%2."/>
      <w:lvlJc w:val="left"/>
      <w:pPr>
        <w:tabs>
          <w:tab w:val="num" w:pos="1443"/>
        </w:tabs>
        <w:ind w:left="1443" w:hanging="360"/>
      </w:pPr>
      <w:rPr>
        <w:rFonts w:ascii="Times New Roman" w:hAnsi="Times New Roman" w:cs="Times New Roman"/>
      </w:rPr>
    </w:lvl>
    <w:lvl w:ilvl="2" w:tplc="0C09001B">
      <w:start w:val="1"/>
      <w:numFmt w:val="lowerRoman"/>
      <w:lvlText w:val="%3."/>
      <w:lvlJc w:val="right"/>
      <w:pPr>
        <w:tabs>
          <w:tab w:val="num" w:pos="2163"/>
        </w:tabs>
        <w:ind w:left="2163" w:hanging="180"/>
      </w:pPr>
      <w:rPr>
        <w:rFonts w:ascii="Times New Roman" w:hAnsi="Times New Roman" w:cs="Times New Roman"/>
      </w:rPr>
    </w:lvl>
    <w:lvl w:ilvl="3" w:tplc="0C09000F">
      <w:start w:val="1"/>
      <w:numFmt w:val="decimal"/>
      <w:lvlText w:val="%4."/>
      <w:lvlJc w:val="left"/>
      <w:pPr>
        <w:tabs>
          <w:tab w:val="num" w:pos="2883"/>
        </w:tabs>
        <w:ind w:left="2883" w:hanging="360"/>
      </w:pPr>
      <w:rPr>
        <w:rFonts w:ascii="Times New Roman" w:hAnsi="Times New Roman" w:cs="Times New Roman"/>
      </w:rPr>
    </w:lvl>
    <w:lvl w:ilvl="4" w:tplc="0C090019">
      <w:start w:val="1"/>
      <w:numFmt w:val="lowerLetter"/>
      <w:lvlText w:val="%5."/>
      <w:lvlJc w:val="left"/>
      <w:pPr>
        <w:tabs>
          <w:tab w:val="num" w:pos="3603"/>
        </w:tabs>
        <w:ind w:left="3603" w:hanging="360"/>
      </w:pPr>
      <w:rPr>
        <w:rFonts w:ascii="Times New Roman" w:hAnsi="Times New Roman" w:cs="Times New Roman"/>
      </w:rPr>
    </w:lvl>
    <w:lvl w:ilvl="5" w:tplc="0C09001B">
      <w:start w:val="1"/>
      <w:numFmt w:val="lowerRoman"/>
      <w:lvlText w:val="%6."/>
      <w:lvlJc w:val="right"/>
      <w:pPr>
        <w:tabs>
          <w:tab w:val="num" w:pos="4323"/>
        </w:tabs>
        <w:ind w:left="4323" w:hanging="180"/>
      </w:pPr>
      <w:rPr>
        <w:rFonts w:ascii="Times New Roman" w:hAnsi="Times New Roman" w:cs="Times New Roman"/>
      </w:rPr>
    </w:lvl>
    <w:lvl w:ilvl="6" w:tplc="0C09000F">
      <w:start w:val="1"/>
      <w:numFmt w:val="decimal"/>
      <w:lvlText w:val="%7."/>
      <w:lvlJc w:val="left"/>
      <w:pPr>
        <w:tabs>
          <w:tab w:val="num" w:pos="5043"/>
        </w:tabs>
        <w:ind w:left="5043" w:hanging="360"/>
      </w:pPr>
      <w:rPr>
        <w:rFonts w:ascii="Times New Roman" w:hAnsi="Times New Roman" w:cs="Times New Roman"/>
      </w:rPr>
    </w:lvl>
    <w:lvl w:ilvl="7" w:tplc="0C090019">
      <w:start w:val="1"/>
      <w:numFmt w:val="lowerLetter"/>
      <w:lvlText w:val="%8."/>
      <w:lvlJc w:val="left"/>
      <w:pPr>
        <w:tabs>
          <w:tab w:val="num" w:pos="5763"/>
        </w:tabs>
        <w:ind w:left="5763" w:hanging="360"/>
      </w:pPr>
      <w:rPr>
        <w:rFonts w:ascii="Times New Roman" w:hAnsi="Times New Roman" w:cs="Times New Roman"/>
      </w:rPr>
    </w:lvl>
    <w:lvl w:ilvl="8" w:tplc="0C09001B">
      <w:start w:val="1"/>
      <w:numFmt w:val="lowerRoman"/>
      <w:lvlText w:val="%9."/>
      <w:lvlJc w:val="right"/>
      <w:pPr>
        <w:tabs>
          <w:tab w:val="num" w:pos="6483"/>
        </w:tabs>
        <w:ind w:left="6483" w:hanging="180"/>
      </w:pPr>
      <w:rPr>
        <w:rFonts w:ascii="Times New Roman" w:hAnsi="Times New Roman"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pStyle w:val="AH5Sec"/>
      <w:lvlText w:val="%5"/>
      <w:lvlJc w:val="left"/>
      <w:pPr>
        <w:tabs>
          <w:tab w:val="num" w:pos="700"/>
        </w:tabs>
        <w:ind w:left="700" w:hanging="700"/>
      </w:pPr>
      <w:rPr>
        <w:rFonts w:ascii="Times New Roman" w:hAnsi="Times New Roman" w:cs="Times New Roman"/>
        <w:b/>
        <w:bCs/>
        <w:i w:val="0"/>
        <w:iCs w:val="0"/>
      </w:rPr>
    </w:lvl>
    <w:lvl w:ilvl="5">
      <w:start w:val="1"/>
      <w:numFmt w:val="decimal"/>
      <w:lvlText w:val="(%6)"/>
      <w:lvlJc w:val="right"/>
      <w:pPr>
        <w:tabs>
          <w:tab w:val="num" w:pos="700"/>
        </w:tabs>
        <w:ind w:left="700" w:hanging="200"/>
      </w:pPr>
      <w:rPr>
        <w:rFonts w:ascii="Times New Roman" w:hAnsi="Times New Roman" w:cs="Times New Roman"/>
        <w:b w:val="0"/>
        <w:bCs w:val="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rPr>
    </w:lvl>
  </w:abstractNum>
  <w:abstractNum w:abstractNumId="4" w15:restartNumberingAfterBreak="0">
    <w:nsid w:val="0AB877E6"/>
    <w:multiLevelType w:val="hybridMultilevel"/>
    <w:tmpl w:val="E72AB80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937066"/>
    <w:multiLevelType w:val="hybridMultilevel"/>
    <w:tmpl w:val="6FEAF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F73D1"/>
    <w:multiLevelType w:val="hybridMultilevel"/>
    <w:tmpl w:val="E912F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ascii="Times New Roman" w:hAnsi="Times New Roman" w:cs="Times New Roman" w:hint="default"/>
      </w:rPr>
    </w:lvl>
    <w:lvl w:ilvl="1" w:tplc="04090019">
      <w:start w:val="1"/>
      <w:numFmt w:val="lowerLetter"/>
      <w:lvlText w:val="%2."/>
      <w:lvlJc w:val="left"/>
      <w:pPr>
        <w:tabs>
          <w:tab w:val="num" w:pos="1114"/>
        </w:tabs>
        <w:ind w:left="1114" w:hanging="360"/>
      </w:pPr>
      <w:rPr>
        <w:rFonts w:ascii="Times New Roman" w:hAnsi="Times New Roman" w:cs="Times New Roman"/>
      </w:rPr>
    </w:lvl>
    <w:lvl w:ilvl="2" w:tplc="0409001B">
      <w:start w:val="1"/>
      <w:numFmt w:val="lowerRoman"/>
      <w:lvlText w:val="%3."/>
      <w:lvlJc w:val="right"/>
      <w:pPr>
        <w:tabs>
          <w:tab w:val="num" w:pos="1834"/>
        </w:tabs>
        <w:ind w:left="1834" w:hanging="180"/>
      </w:pPr>
      <w:rPr>
        <w:rFonts w:ascii="Times New Roman" w:hAnsi="Times New Roman" w:cs="Times New Roman"/>
      </w:rPr>
    </w:lvl>
    <w:lvl w:ilvl="3" w:tplc="0409000F">
      <w:start w:val="1"/>
      <w:numFmt w:val="decimal"/>
      <w:lvlText w:val="%4."/>
      <w:lvlJc w:val="left"/>
      <w:pPr>
        <w:tabs>
          <w:tab w:val="num" w:pos="2554"/>
        </w:tabs>
        <w:ind w:left="2554" w:hanging="360"/>
      </w:pPr>
      <w:rPr>
        <w:rFonts w:ascii="Times New Roman" w:hAnsi="Times New Roman" w:cs="Times New Roman"/>
      </w:rPr>
    </w:lvl>
    <w:lvl w:ilvl="4" w:tplc="04090019">
      <w:start w:val="1"/>
      <w:numFmt w:val="lowerLetter"/>
      <w:lvlText w:val="%5."/>
      <w:lvlJc w:val="left"/>
      <w:pPr>
        <w:tabs>
          <w:tab w:val="num" w:pos="3274"/>
        </w:tabs>
        <w:ind w:left="3274" w:hanging="360"/>
      </w:pPr>
      <w:rPr>
        <w:rFonts w:ascii="Times New Roman" w:hAnsi="Times New Roman" w:cs="Times New Roman"/>
      </w:rPr>
    </w:lvl>
    <w:lvl w:ilvl="5" w:tplc="0409001B">
      <w:start w:val="1"/>
      <w:numFmt w:val="lowerRoman"/>
      <w:lvlText w:val="%6."/>
      <w:lvlJc w:val="right"/>
      <w:pPr>
        <w:tabs>
          <w:tab w:val="num" w:pos="3994"/>
        </w:tabs>
        <w:ind w:left="3994" w:hanging="180"/>
      </w:pPr>
      <w:rPr>
        <w:rFonts w:ascii="Times New Roman" w:hAnsi="Times New Roman" w:cs="Times New Roman"/>
      </w:rPr>
    </w:lvl>
    <w:lvl w:ilvl="6" w:tplc="0409000F">
      <w:start w:val="1"/>
      <w:numFmt w:val="decimal"/>
      <w:lvlText w:val="%7."/>
      <w:lvlJc w:val="left"/>
      <w:pPr>
        <w:tabs>
          <w:tab w:val="num" w:pos="4714"/>
        </w:tabs>
        <w:ind w:left="4714" w:hanging="360"/>
      </w:pPr>
      <w:rPr>
        <w:rFonts w:ascii="Times New Roman" w:hAnsi="Times New Roman" w:cs="Times New Roman"/>
      </w:rPr>
    </w:lvl>
    <w:lvl w:ilvl="7" w:tplc="04090019">
      <w:start w:val="1"/>
      <w:numFmt w:val="lowerLetter"/>
      <w:lvlText w:val="%8."/>
      <w:lvlJc w:val="left"/>
      <w:pPr>
        <w:tabs>
          <w:tab w:val="num" w:pos="5434"/>
        </w:tabs>
        <w:ind w:left="5434" w:hanging="360"/>
      </w:pPr>
      <w:rPr>
        <w:rFonts w:ascii="Times New Roman" w:hAnsi="Times New Roman" w:cs="Times New Roman"/>
      </w:rPr>
    </w:lvl>
    <w:lvl w:ilvl="8" w:tplc="0409001B">
      <w:start w:val="1"/>
      <w:numFmt w:val="lowerRoman"/>
      <w:lvlText w:val="%9."/>
      <w:lvlJc w:val="right"/>
      <w:pPr>
        <w:tabs>
          <w:tab w:val="num" w:pos="6154"/>
        </w:tabs>
        <w:ind w:left="6154" w:hanging="180"/>
      </w:pPr>
      <w:rPr>
        <w:rFonts w:ascii="Times New Roman" w:hAnsi="Times New Roman" w:cs="Times New Roman"/>
      </w:r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4513262A"/>
    <w:multiLevelType w:val="hybridMultilevel"/>
    <w:tmpl w:val="C24421C6"/>
    <w:lvl w:ilvl="0" w:tplc="C2607DBA">
      <w:start w:val="1"/>
      <w:numFmt w:val="decimal"/>
      <w:lvlText w:val="(%1)"/>
      <w:lvlJc w:val="left"/>
      <w:pPr>
        <w:tabs>
          <w:tab w:val="num" w:pos="1140"/>
        </w:tabs>
        <w:ind w:left="1140" w:hanging="420"/>
      </w:pPr>
      <w:rPr>
        <w:rFonts w:ascii="Times New Roman" w:hAnsi="Times New Roman" w:cs="Times New Roman" w:hint="default"/>
      </w:rPr>
    </w:lvl>
    <w:lvl w:ilvl="1" w:tplc="0C090019">
      <w:start w:val="1"/>
      <w:numFmt w:val="lowerLetter"/>
      <w:lvlText w:val="%2."/>
      <w:lvlJc w:val="left"/>
      <w:pPr>
        <w:tabs>
          <w:tab w:val="num" w:pos="1800"/>
        </w:tabs>
        <w:ind w:left="1800" w:hanging="360"/>
      </w:pPr>
      <w:rPr>
        <w:rFonts w:ascii="Times New Roman" w:hAnsi="Times New Roman" w:cs="Times New Roman"/>
      </w:rPr>
    </w:lvl>
    <w:lvl w:ilvl="2" w:tplc="0C09001B">
      <w:start w:val="1"/>
      <w:numFmt w:val="lowerRoman"/>
      <w:lvlText w:val="%3."/>
      <w:lvlJc w:val="right"/>
      <w:pPr>
        <w:tabs>
          <w:tab w:val="num" w:pos="2520"/>
        </w:tabs>
        <w:ind w:left="2520" w:hanging="180"/>
      </w:pPr>
      <w:rPr>
        <w:rFonts w:ascii="Times New Roman" w:hAnsi="Times New Roman" w:cs="Times New Roman"/>
      </w:rPr>
    </w:lvl>
    <w:lvl w:ilvl="3" w:tplc="0C09000F">
      <w:start w:val="1"/>
      <w:numFmt w:val="decimal"/>
      <w:lvlText w:val="%4."/>
      <w:lvlJc w:val="left"/>
      <w:pPr>
        <w:tabs>
          <w:tab w:val="num" w:pos="3240"/>
        </w:tabs>
        <w:ind w:left="3240" w:hanging="360"/>
      </w:pPr>
      <w:rPr>
        <w:rFonts w:ascii="Times New Roman" w:hAnsi="Times New Roman" w:cs="Times New Roman"/>
      </w:rPr>
    </w:lvl>
    <w:lvl w:ilvl="4" w:tplc="0C090019">
      <w:start w:val="1"/>
      <w:numFmt w:val="lowerLetter"/>
      <w:lvlText w:val="%5."/>
      <w:lvlJc w:val="left"/>
      <w:pPr>
        <w:tabs>
          <w:tab w:val="num" w:pos="3960"/>
        </w:tabs>
        <w:ind w:left="3960" w:hanging="360"/>
      </w:pPr>
      <w:rPr>
        <w:rFonts w:ascii="Times New Roman" w:hAnsi="Times New Roman" w:cs="Times New Roman"/>
      </w:rPr>
    </w:lvl>
    <w:lvl w:ilvl="5" w:tplc="0C09001B">
      <w:start w:val="1"/>
      <w:numFmt w:val="lowerRoman"/>
      <w:lvlText w:val="%6."/>
      <w:lvlJc w:val="right"/>
      <w:pPr>
        <w:tabs>
          <w:tab w:val="num" w:pos="4680"/>
        </w:tabs>
        <w:ind w:left="4680" w:hanging="180"/>
      </w:pPr>
      <w:rPr>
        <w:rFonts w:ascii="Times New Roman" w:hAnsi="Times New Roman" w:cs="Times New Roman"/>
      </w:rPr>
    </w:lvl>
    <w:lvl w:ilvl="6" w:tplc="0C09000F">
      <w:start w:val="1"/>
      <w:numFmt w:val="decimal"/>
      <w:lvlText w:val="%7."/>
      <w:lvlJc w:val="left"/>
      <w:pPr>
        <w:tabs>
          <w:tab w:val="num" w:pos="5400"/>
        </w:tabs>
        <w:ind w:left="5400" w:hanging="360"/>
      </w:pPr>
      <w:rPr>
        <w:rFonts w:ascii="Times New Roman" w:hAnsi="Times New Roman" w:cs="Times New Roman"/>
      </w:rPr>
    </w:lvl>
    <w:lvl w:ilvl="7" w:tplc="0C090019">
      <w:start w:val="1"/>
      <w:numFmt w:val="lowerLetter"/>
      <w:lvlText w:val="%8."/>
      <w:lvlJc w:val="left"/>
      <w:pPr>
        <w:tabs>
          <w:tab w:val="num" w:pos="6120"/>
        </w:tabs>
        <w:ind w:left="6120" w:hanging="360"/>
      </w:pPr>
      <w:rPr>
        <w:rFonts w:ascii="Times New Roman" w:hAnsi="Times New Roman" w:cs="Times New Roman"/>
      </w:rPr>
    </w:lvl>
    <w:lvl w:ilvl="8" w:tplc="0C09001B">
      <w:start w:val="1"/>
      <w:numFmt w:val="lowerRoman"/>
      <w:lvlText w:val="%9."/>
      <w:lvlJc w:val="right"/>
      <w:pPr>
        <w:tabs>
          <w:tab w:val="num" w:pos="6840"/>
        </w:tabs>
        <w:ind w:left="6840" w:hanging="180"/>
      </w:pPr>
      <w:rPr>
        <w:rFonts w:ascii="Times New Roman" w:hAnsi="Times New Roman" w:cs="Times New Roman"/>
      </w:rPr>
    </w:lvl>
  </w:abstractNum>
  <w:abstractNum w:abstractNumId="12" w15:restartNumberingAfterBreak="0">
    <w:nsid w:val="49E518D2"/>
    <w:multiLevelType w:val="hybridMultilevel"/>
    <w:tmpl w:val="B1DE085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4C5562"/>
    <w:multiLevelType w:val="multilevel"/>
    <w:tmpl w:val="BF3C008C"/>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2160"/>
        </w:tabs>
        <w:ind w:left="2160" w:hanging="360"/>
      </w:pPr>
      <w:rPr>
        <w:rFonts w:ascii="Times New Roman" w:hAnsi="Times New Roman" w:cs="Times New Roman"/>
      </w:rPr>
    </w:lvl>
    <w:lvl w:ilvl="2">
      <w:start w:val="1"/>
      <w:numFmt w:val="lowerRoman"/>
      <w:lvlText w:val="%3."/>
      <w:lvlJc w:val="right"/>
      <w:pPr>
        <w:tabs>
          <w:tab w:val="num" w:pos="2880"/>
        </w:tabs>
        <w:ind w:left="2880" w:hanging="180"/>
      </w:pPr>
      <w:rPr>
        <w:rFonts w:ascii="Times New Roman" w:hAnsi="Times New Roman" w:cs="Times New Roman"/>
      </w:rPr>
    </w:lvl>
    <w:lvl w:ilvl="3">
      <w:start w:val="1"/>
      <w:numFmt w:val="decimal"/>
      <w:lvlText w:val="%4."/>
      <w:lvlJc w:val="left"/>
      <w:pPr>
        <w:tabs>
          <w:tab w:val="num" w:pos="3600"/>
        </w:tabs>
        <w:ind w:left="3600" w:hanging="360"/>
      </w:pPr>
      <w:rPr>
        <w:rFonts w:ascii="Times New Roman" w:hAnsi="Times New Roman" w:cs="Times New Roman"/>
      </w:rPr>
    </w:lvl>
    <w:lvl w:ilvl="4">
      <w:start w:val="1"/>
      <w:numFmt w:val="lowerLetter"/>
      <w:lvlText w:val="%5."/>
      <w:lvlJc w:val="left"/>
      <w:pPr>
        <w:tabs>
          <w:tab w:val="num" w:pos="4320"/>
        </w:tabs>
        <w:ind w:left="4320" w:hanging="360"/>
      </w:pPr>
      <w:rPr>
        <w:rFonts w:ascii="Times New Roman" w:hAnsi="Times New Roman" w:cs="Times New Roman"/>
      </w:rPr>
    </w:lvl>
    <w:lvl w:ilvl="5">
      <w:start w:val="1"/>
      <w:numFmt w:val="lowerRoman"/>
      <w:lvlText w:val="%6."/>
      <w:lvlJc w:val="right"/>
      <w:pPr>
        <w:tabs>
          <w:tab w:val="num" w:pos="5040"/>
        </w:tabs>
        <w:ind w:left="5040" w:hanging="180"/>
      </w:pPr>
      <w:rPr>
        <w:rFonts w:ascii="Times New Roman" w:hAnsi="Times New Roman" w:cs="Times New Roman"/>
      </w:rPr>
    </w:lvl>
    <w:lvl w:ilvl="6">
      <w:start w:val="1"/>
      <w:numFmt w:val="decimal"/>
      <w:lvlText w:val="%7."/>
      <w:lvlJc w:val="left"/>
      <w:pPr>
        <w:tabs>
          <w:tab w:val="num" w:pos="5760"/>
        </w:tabs>
        <w:ind w:left="5760" w:hanging="360"/>
      </w:pPr>
      <w:rPr>
        <w:rFonts w:ascii="Times New Roman" w:hAnsi="Times New Roman" w:cs="Times New Roman"/>
      </w:rPr>
    </w:lvl>
    <w:lvl w:ilvl="7">
      <w:start w:val="1"/>
      <w:numFmt w:val="lowerLetter"/>
      <w:lvlText w:val="%8."/>
      <w:lvlJc w:val="left"/>
      <w:pPr>
        <w:tabs>
          <w:tab w:val="num" w:pos="6480"/>
        </w:tabs>
        <w:ind w:left="6480" w:hanging="360"/>
      </w:pPr>
      <w:rPr>
        <w:rFonts w:ascii="Times New Roman" w:hAnsi="Times New Roman" w:cs="Times New Roman"/>
      </w:rPr>
    </w:lvl>
    <w:lvl w:ilvl="8">
      <w:start w:val="1"/>
      <w:numFmt w:val="lowerRoman"/>
      <w:lvlText w:val="%9."/>
      <w:lvlJc w:val="right"/>
      <w:pPr>
        <w:tabs>
          <w:tab w:val="num" w:pos="7200"/>
        </w:tabs>
        <w:ind w:left="7200" w:hanging="180"/>
      </w:pPr>
      <w:rPr>
        <w:rFonts w:ascii="Times New Roman" w:hAnsi="Times New Roman" w:cs="Times New Roman"/>
      </w:rPr>
    </w:lvl>
  </w:abstractNum>
  <w:abstractNum w:abstractNumId="14" w15:restartNumberingAfterBreak="0">
    <w:nsid w:val="5BE77400"/>
    <w:multiLevelType w:val="hybridMultilevel"/>
    <w:tmpl w:val="0DE2D3A8"/>
    <w:lvl w:ilvl="0" w:tplc="0C090017">
      <w:start w:val="1"/>
      <w:numFmt w:val="lowerLetter"/>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381082B"/>
    <w:multiLevelType w:val="hybridMultilevel"/>
    <w:tmpl w:val="27960650"/>
    <w:lvl w:ilvl="0" w:tplc="5504F332">
      <w:start w:val="1"/>
      <w:numFmt w:val="decimal"/>
      <w:lvlText w:val="%1."/>
      <w:lvlJc w:val="left"/>
      <w:pPr>
        <w:ind w:left="1080" w:hanging="7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72F31C03"/>
    <w:multiLevelType w:val="multilevel"/>
    <w:tmpl w:val="BD9A43D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78494D91"/>
    <w:multiLevelType w:val="multilevel"/>
    <w:tmpl w:val="0DE2D3A8"/>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7B02592F"/>
    <w:multiLevelType w:val="hybridMultilevel"/>
    <w:tmpl w:val="65746E70"/>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523D8E"/>
    <w:multiLevelType w:val="hybridMultilevel"/>
    <w:tmpl w:val="78A61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8D5D20"/>
    <w:multiLevelType w:val="hybridMultilevel"/>
    <w:tmpl w:val="9472625C"/>
    <w:lvl w:ilvl="0" w:tplc="C2607DBA">
      <w:start w:val="1"/>
      <w:numFmt w:val="decimal"/>
      <w:lvlText w:val="(%1)"/>
      <w:lvlJc w:val="left"/>
      <w:pPr>
        <w:tabs>
          <w:tab w:val="num" w:pos="420"/>
        </w:tabs>
        <w:ind w:left="420" w:hanging="420"/>
      </w:pPr>
      <w:rPr>
        <w:rFonts w:ascii="Times New Roman" w:hAnsi="Times New Roman" w:cs="Times New Roman" w:hint="default"/>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num w:numId="1" w16cid:durableId="956764745">
    <w:abstractNumId w:val="3"/>
  </w:num>
  <w:num w:numId="2" w16cid:durableId="1141845812">
    <w:abstractNumId w:val="0"/>
  </w:num>
  <w:num w:numId="3" w16cid:durableId="585723994">
    <w:abstractNumId w:val="5"/>
  </w:num>
  <w:num w:numId="4" w16cid:durableId="535700256">
    <w:abstractNumId w:val="10"/>
  </w:num>
  <w:num w:numId="5" w16cid:durableId="1787390130">
    <w:abstractNumId w:val="16"/>
  </w:num>
  <w:num w:numId="6" w16cid:durableId="1500657081">
    <w:abstractNumId w:val="1"/>
  </w:num>
  <w:num w:numId="7" w16cid:durableId="2035181154">
    <w:abstractNumId w:val="8"/>
  </w:num>
  <w:num w:numId="8" w16cid:durableId="1265335197">
    <w:abstractNumId w:val="9"/>
  </w:num>
  <w:num w:numId="9" w16cid:durableId="944843714">
    <w:abstractNumId w:val="12"/>
  </w:num>
  <w:num w:numId="10" w16cid:durableId="2108109710">
    <w:abstractNumId w:val="11"/>
  </w:num>
  <w:num w:numId="11" w16cid:durableId="1391077110">
    <w:abstractNumId w:val="14"/>
  </w:num>
  <w:num w:numId="12" w16cid:durableId="1738896590">
    <w:abstractNumId w:val="13"/>
  </w:num>
  <w:num w:numId="13" w16cid:durableId="51395130">
    <w:abstractNumId w:val="18"/>
  </w:num>
  <w:num w:numId="14" w16cid:durableId="41567271">
    <w:abstractNumId w:val="2"/>
  </w:num>
  <w:num w:numId="15" w16cid:durableId="480970081">
    <w:abstractNumId w:val="21"/>
  </w:num>
  <w:num w:numId="16" w16cid:durableId="1142188279">
    <w:abstractNumId w:val="17"/>
  </w:num>
  <w:num w:numId="17" w16cid:durableId="134494065">
    <w:abstractNumId w:val="4"/>
  </w:num>
  <w:num w:numId="18" w16cid:durableId="188222064">
    <w:abstractNumId w:val="15"/>
  </w:num>
  <w:num w:numId="19" w16cid:durableId="1388063377">
    <w:abstractNumId w:val="6"/>
  </w:num>
  <w:num w:numId="20" w16cid:durableId="411395798">
    <w:abstractNumId w:val="20"/>
  </w:num>
  <w:num w:numId="21" w16cid:durableId="2058429186">
    <w:abstractNumId w:val="7"/>
  </w:num>
  <w:num w:numId="22" w16cid:durableId="18650909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58"/>
    <w:rsid w:val="0000279E"/>
    <w:rsid w:val="00012572"/>
    <w:rsid w:val="00016DE7"/>
    <w:rsid w:val="00017919"/>
    <w:rsid w:val="00024CDE"/>
    <w:rsid w:val="00024DD5"/>
    <w:rsid w:val="000306A7"/>
    <w:rsid w:val="00037883"/>
    <w:rsid w:val="00040CAE"/>
    <w:rsid w:val="000420C8"/>
    <w:rsid w:val="000508A7"/>
    <w:rsid w:val="00077020"/>
    <w:rsid w:val="00081440"/>
    <w:rsid w:val="00084089"/>
    <w:rsid w:val="0008444E"/>
    <w:rsid w:val="00085930"/>
    <w:rsid w:val="00087AC6"/>
    <w:rsid w:val="000964A3"/>
    <w:rsid w:val="000A0E10"/>
    <w:rsid w:val="000B3A6B"/>
    <w:rsid w:val="000B5DE9"/>
    <w:rsid w:val="000B781B"/>
    <w:rsid w:val="000C4A1B"/>
    <w:rsid w:val="000D387A"/>
    <w:rsid w:val="000E0A4B"/>
    <w:rsid w:val="000E1789"/>
    <w:rsid w:val="000F41A0"/>
    <w:rsid w:val="00107CE9"/>
    <w:rsid w:val="0011046D"/>
    <w:rsid w:val="00110980"/>
    <w:rsid w:val="001170B4"/>
    <w:rsid w:val="0012552F"/>
    <w:rsid w:val="001350A5"/>
    <w:rsid w:val="00136BF1"/>
    <w:rsid w:val="001414D1"/>
    <w:rsid w:val="00141BD9"/>
    <w:rsid w:val="001462CE"/>
    <w:rsid w:val="001545EC"/>
    <w:rsid w:val="00161B17"/>
    <w:rsid w:val="00177238"/>
    <w:rsid w:val="00195209"/>
    <w:rsid w:val="001A32C5"/>
    <w:rsid w:val="001A7B00"/>
    <w:rsid w:val="001B0972"/>
    <w:rsid w:val="001C106F"/>
    <w:rsid w:val="001C42B2"/>
    <w:rsid w:val="001C4DF3"/>
    <w:rsid w:val="001D1ED1"/>
    <w:rsid w:val="001D2253"/>
    <w:rsid w:val="001E233B"/>
    <w:rsid w:val="001F66CE"/>
    <w:rsid w:val="00204A26"/>
    <w:rsid w:val="002053E6"/>
    <w:rsid w:val="00211DB8"/>
    <w:rsid w:val="00223646"/>
    <w:rsid w:val="002266CA"/>
    <w:rsid w:val="00237826"/>
    <w:rsid w:val="00241131"/>
    <w:rsid w:val="00260513"/>
    <w:rsid w:val="00267A96"/>
    <w:rsid w:val="002827F8"/>
    <w:rsid w:val="002835BF"/>
    <w:rsid w:val="00290A80"/>
    <w:rsid w:val="00291598"/>
    <w:rsid w:val="002926EE"/>
    <w:rsid w:val="0029708F"/>
    <w:rsid w:val="002A55E5"/>
    <w:rsid w:val="002A7746"/>
    <w:rsid w:val="002B22EC"/>
    <w:rsid w:val="002B63B5"/>
    <w:rsid w:val="002C11CB"/>
    <w:rsid w:val="002D045F"/>
    <w:rsid w:val="002D3393"/>
    <w:rsid w:val="002D5843"/>
    <w:rsid w:val="002E5008"/>
    <w:rsid w:val="002E521E"/>
    <w:rsid w:val="002F1A03"/>
    <w:rsid w:val="002F6A12"/>
    <w:rsid w:val="00333284"/>
    <w:rsid w:val="00334A69"/>
    <w:rsid w:val="003412F9"/>
    <w:rsid w:val="003465C9"/>
    <w:rsid w:val="00346A7E"/>
    <w:rsid w:val="00370C4A"/>
    <w:rsid w:val="0037402C"/>
    <w:rsid w:val="003835CA"/>
    <w:rsid w:val="003931DB"/>
    <w:rsid w:val="0039382D"/>
    <w:rsid w:val="003938A1"/>
    <w:rsid w:val="003977F4"/>
    <w:rsid w:val="003A3151"/>
    <w:rsid w:val="003A3A86"/>
    <w:rsid w:val="003C0EEE"/>
    <w:rsid w:val="003C1637"/>
    <w:rsid w:val="003D350D"/>
    <w:rsid w:val="003D3FD5"/>
    <w:rsid w:val="003D65ED"/>
    <w:rsid w:val="003E1822"/>
    <w:rsid w:val="003E6DF4"/>
    <w:rsid w:val="003F1DC1"/>
    <w:rsid w:val="003F2CE9"/>
    <w:rsid w:val="00400E6A"/>
    <w:rsid w:val="00405ACD"/>
    <w:rsid w:val="004124C7"/>
    <w:rsid w:val="00416302"/>
    <w:rsid w:val="00421269"/>
    <w:rsid w:val="00423241"/>
    <w:rsid w:val="00424836"/>
    <w:rsid w:val="00425DA4"/>
    <w:rsid w:val="004318D3"/>
    <w:rsid w:val="00432AF0"/>
    <w:rsid w:val="00442AAC"/>
    <w:rsid w:val="00455213"/>
    <w:rsid w:val="00461C3D"/>
    <w:rsid w:val="004625D8"/>
    <w:rsid w:val="004743F4"/>
    <w:rsid w:val="004870C1"/>
    <w:rsid w:val="00493C02"/>
    <w:rsid w:val="004944A3"/>
    <w:rsid w:val="004A3789"/>
    <w:rsid w:val="004A4337"/>
    <w:rsid w:val="004B50FD"/>
    <w:rsid w:val="004B78FD"/>
    <w:rsid w:val="004C6079"/>
    <w:rsid w:val="004D01F8"/>
    <w:rsid w:val="004D08BF"/>
    <w:rsid w:val="004D630A"/>
    <w:rsid w:val="004E14A1"/>
    <w:rsid w:val="004E2E8C"/>
    <w:rsid w:val="004F52AD"/>
    <w:rsid w:val="00505D44"/>
    <w:rsid w:val="00510229"/>
    <w:rsid w:val="00513035"/>
    <w:rsid w:val="0051490C"/>
    <w:rsid w:val="00517FEA"/>
    <w:rsid w:val="005228A8"/>
    <w:rsid w:val="00523AA9"/>
    <w:rsid w:val="00531EC7"/>
    <w:rsid w:val="005336EB"/>
    <w:rsid w:val="00541B2E"/>
    <w:rsid w:val="005434F8"/>
    <w:rsid w:val="005501E1"/>
    <w:rsid w:val="00553288"/>
    <w:rsid w:val="0055478F"/>
    <w:rsid w:val="005601FE"/>
    <w:rsid w:val="00563402"/>
    <w:rsid w:val="005705B6"/>
    <w:rsid w:val="00576F92"/>
    <w:rsid w:val="0058007A"/>
    <w:rsid w:val="00583176"/>
    <w:rsid w:val="00583AA1"/>
    <w:rsid w:val="0059230A"/>
    <w:rsid w:val="005A2B07"/>
    <w:rsid w:val="005A4C5E"/>
    <w:rsid w:val="005A539F"/>
    <w:rsid w:val="005B23BA"/>
    <w:rsid w:val="005C2261"/>
    <w:rsid w:val="005C5972"/>
    <w:rsid w:val="005D44D9"/>
    <w:rsid w:val="005D539C"/>
    <w:rsid w:val="005E3EE0"/>
    <w:rsid w:val="005F0758"/>
    <w:rsid w:val="005F18AD"/>
    <w:rsid w:val="005F1A35"/>
    <w:rsid w:val="005F44FB"/>
    <w:rsid w:val="00604380"/>
    <w:rsid w:val="0061036F"/>
    <w:rsid w:val="0061102D"/>
    <w:rsid w:val="00611929"/>
    <w:rsid w:val="00611D1A"/>
    <w:rsid w:val="0061491D"/>
    <w:rsid w:val="0061588E"/>
    <w:rsid w:val="00620563"/>
    <w:rsid w:val="00621081"/>
    <w:rsid w:val="00623835"/>
    <w:rsid w:val="006337A4"/>
    <w:rsid w:val="00641217"/>
    <w:rsid w:val="006469A2"/>
    <w:rsid w:val="00666BCB"/>
    <w:rsid w:val="006725C9"/>
    <w:rsid w:val="00676BEF"/>
    <w:rsid w:val="00683826"/>
    <w:rsid w:val="006844DF"/>
    <w:rsid w:val="00685D25"/>
    <w:rsid w:val="006923B9"/>
    <w:rsid w:val="006A1399"/>
    <w:rsid w:val="006A3298"/>
    <w:rsid w:val="006A5ACE"/>
    <w:rsid w:val="006C42CF"/>
    <w:rsid w:val="006C70B1"/>
    <w:rsid w:val="006D2EC9"/>
    <w:rsid w:val="006F7283"/>
    <w:rsid w:val="007018B9"/>
    <w:rsid w:val="00705DCF"/>
    <w:rsid w:val="00712B09"/>
    <w:rsid w:val="00714520"/>
    <w:rsid w:val="00716A1B"/>
    <w:rsid w:val="00732A00"/>
    <w:rsid w:val="0073442E"/>
    <w:rsid w:val="00735BB6"/>
    <w:rsid w:val="00745795"/>
    <w:rsid w:val="00746418"/>
    <w:rsid w:val="00747104"/>
    <w:rsid w:val="007525B6"/>
    <w:rsid w:val="007626DE"/>
    <w:rsid w:val="00777396"/>
    <w:rsid w:val="007826A4"/>
    <w:rsid w:val="00784CAD"/>
    <w:rsid w:val="00794383"/>
    <w:rsid w:val="007B0247"/>
    <w:rsid w:val="007B7F4A"/>
    <w:rsid w:val="007C2AC4"/>
    <w:rsid w:val="007C4DDE"/>
    <w:rsid w:val="007C7019"/>
    <w:rsid w:val="007D4D13"/>
    <w:rsid w:val="007D551E"/>
    <w:rsid w:val="007D6A8F"/>
    <w:rsid w:val="007E482F"/>
    <w:rsid w:val="007E77A9"/>
    <w:rsid w:val="007F0762"/>
    <w:rsid w:val="007F218D"/>
    <w:rsid w:val="007F46CD"/>
    <w:rsid w:val="008018B4"/>
    <w:rsid w:val="00801D17"/>
    <w:rsid w:val="00806863"/>
    <w:rsid w:val="00811EDF"/>
    <w:rsid w:val="00812783"/>
    <w:rsid w:val="008268AB"/>
    <w:rsid w:val="00826AC7"/>
    <w:rsid w:val="00831BE9"/>
    <w:rsid w:val="0083327F"/>
    <w:rsid w:val="008337A0"/>
    <w:rsid w:val="00833D78"/>
    <w:rsid w:val="00851B82"/>
    <w:rsid w:val="00851D45"/>
    <w:rsid w:val="00853469"/>
    <w:rsid w:val="00864497"/>
    <w:rsid w:val="00875720"/>
    <w:rsid w:val="00880679"/>
    <w:rsid w:val="00886974"/>
    <w:rsid w:val="00886A28"/>
    <w:rsid w:val="008A2DEC"/>
    <w:rsid w:val="008A6F57"/>
    <w:rsid w:val="008B52DB"/>
    <w:rsid w:val="008F3A67"/>
    <w:rsid w:val="00903F6F"/>
    <w:rsid w:val="00907EFA"/>
    <w:rsid w:val="009131E4"/>
    <w:rsid w:val="00915E71"/>
    <w:rsid w:val="00917537"/>
    <w:rsid w:val="00925EEE"/>
    <w:rsid w:val="00926322"/>
    <w:rsid w:val="00930814"/>
    <w:rsid w:val="00931058"/>
    <w:rsid w:val="00934427"/>
    <w:rsid w:val="00934FCB"/>
    <w:rsid w:val="00936613"/>
    <w:rsid w:val="00936E7F"/>
    <w:rsid w:val="00937855"/>
    <w:rsid w:val="009614EE"/>
    <w:rsid w:val="009643A7"/>
    <w:rsid w:val="009714D6"/>
    <w:rsid w:val="009753F0"/>
    <w:rsid w:val="0097559F"/>
    <w:rsid w:val="009779DB"/>
    <w:rsid w:val="00983A9C"/>
    <w:rsid w:val="00986FE9"/>
    <w:rsid w:val="00987FC4"/>
    <w:rsid w:val="00991423"/>
    <w:rsid w:val="0099449A"/>
    <w:rsid w:val="009A1D05"/>
    <w:rsid w:val="009A4E9A"/>
    <w:rsid w:val="009B11D2"/>
    <w:rsid w:val="009B2C69"/>
    <w:rsid w:val="009C122F"/>
    <w:rsid w:val="009C25CF"/>
    <w:rsid w:val="009D77D1"/>
    <w:rsid w:val="009F125D"/>
    <w:rsid w:val="009F301B"/>
    <w:rsid w:val="00A054F8"/>
    <w:rsid w:val="00A2012A"/>
    <w:rsid w:val="00A20D33"/>
    <w:rsid w:val="00A231B7"/>
    <w:rsid w:val="00A271FC"/>
    <w:rsid w:val="00A3218F"/>
    <w:rsid w:val="00A34893"/>
    <w:rsid w:val="00A355DB"/>
    <w:rsid w:val="00A37B69"/>
    <w:rsid w:val="00A506A5"/>
    <w:rsid w:val="00A55125"/>
    <w:rsid w:val="00A60718"/>
    <w:rsid w:val="00A641D2"/>
    <w:rsid w:val="00A77588"/>
    <w:rsid w:val="00A81BFF"/>
    <w:rsid w:val="00A83163"/>
    <w:rsid w:val="00AA66F6"/>
    <w:rsid w:val="00AB0AFD"/>
    <w:rsid w:val="00AB1E1B"/>
    <w:rsid w:val="00AB235E"/>
    <w:rsid w:val="00AB63C1"/>
    <w:rsid w:val="00AB6BF1"/>
    <w:rsid w:val="00AB77FF"/>
    <w:rsid w:val="00AC0739"/>
    <w:rsid w:val="00AC5A13"/>
    <w:rsid w:val="00AC7331"/>
    <w:rsid w:val="00AD393B"/>
    <w:rsid w:val="00AD5D0A"/>
    <w:rsid w:val="00AD6A19"/>
    <w:rsid w:val="00AD754E"/>
    <w:rsid w:val="00AE30C0"/>
    <w:rsid w:val="00AE3809"/>
    <w:rsid w:val="00AF3111"/>
    <w:rsid w:val="00AF3150"/>
    <w:rsid w:val="00B43B2A"/>
    <w:rsid w:val="00B47283"/>
    <w:rsid w:val="00B50957"/>
    <w:rsid w:val="00B6255A"/>
    <w:rsid w:val="00B63D4F"/>
    <w:rsid w:val="00B80D72"/>
    <w:rsid w:val="00B815F9"/>
    <w:rsid w:val="00B82412"/>
    <w:rsid w:val="00B82466"/>
    <w:rsid w:val="00B84AB0"/>
    <w:rsid w:val="00BA1548"/>
    <w:rsid w:val="00BA206B"/>
    <w:rsid w:val="00BA3491"/>
    <w:rsid w:val="00BA4BA2"/>
    <w:rsid w:val="00BC4B2C"/>
    <w:rsid w:val="00BC639D"/>
    <w:rsid w:val="00BD21E7"/>
    <w:rsid w:val="00BD366A"/>
    <w:rsid w:val="00BD5B49"/>
    <w:rsid w:val="00BE0D0D"/>
    <w:rsid w:val="00BE2F30"/>
    <w:rsid w:val="00BE3E68"/>
    <w:rsid w:val="00BE4B5A"/>
    <w:rsid w:val="00C04E8E"/>
    <w:rsid w:val="00C05C8D"/>
    <w:rsid w:val="00C076F3"/>
    <w:rsid w:val="00C17798"/>
    <w:rsid w:val="00C20A12"/>
    <w:rsid w:val="00C23BE9"/>
    <w:rsid w:val="00C26A34"/>
    <w:rsid w:val="00C3087E"/>
    <w:rsid w:val="00C4246E"/>
    <w:rsid w:val="00C56545"/>
    <w:rsid w:val="00C60CFF"/>
    <w:rsid w:val="00C62221"/>
    <w:rsid w:val="00C65DD7"/>
    <w:rsid w:val="00C73399"/>
    <w:rsid w:val="00C734EC"/>
    <w:rsid w:val="00C76C17"/>
    <w:rsid w:val="00C813DB"/>
    <w:rsid w:val="00C86177"/>
    <w:rsid w:val="00C93E82"/>
    <w:rsid w:val="00C94E9E"/>
    <w:rsid w:val="00C95633"/>
    <w:rsid w:val="00CA0102"/>
    <w:rsid w:val="00CA1D36"/>
    <w:rsid w:val="00CB3953"/>
    <w:rsid w:val="00CB3C82"/>
    <w:rsid w:val="00CB75DC"/>
    <w:rsid w:val="00CC0317"/>
    <w:rsid w:val="00CC2CC3"/>
    <w:rsid w:val="00CC404B"/>
    <w:rsid w:val="00CC448F"/>
    <w:rsid w:val="00CD4274"/>
    <w:rsid w:val="00CE1CE1"/>
    <w:rsid w:val="00D02C09"/>
    <w:rsid w:val="00D22B4F"/>
    <w:rsid w:val="00D247A9"/>
    <w:rsid w:val="00D24A29"/>
    <w:rsid w:val="00D335F1"/>
    <w:rsid w:val="00D33613"/>
    <w:rsid w:val="00D349E3"/>
    <w:rsid w:val="00D41F74"/>
    <w:rsid w:val="00D47C88"/>
    <w:rsid w:val="00D516ED"/>
    <w:rsid w:val="00D55FBD"/>
    <w:rsid w:val="00D62D45"/>
    <w:rsid w:val="00D756DF"/>
    <w:rsid w:val="00D9071B"/>
    <w:rsid w:val="00D9420C"/>
    <w:rsid w:val="00D9520F"/>
    <w:rsid w:val="00D96BDA"/>
    <w:rsid w:val="00DA5988"/>
    <w:rsid w:val="00DA75B1"/>
    <w:rsid w:val="00DB4B75"/>
    <w:rsid w:val="00DB5A81"/>
    <w:rsid w:val="00DD69AB"/>
    <w:rsid w:val="00DE097B"/>
    <w:rsid w:val="00DE13DE"/>
    <w:rsid w:val="00DE6E9F"/>
    <w:rsid w:val="00DF5181"/>
    <w:rsid w:val="00DF627F"/>
    <w:rsid w:val="00E01304"/>
    <w:rsid w:val="00E06120"/>
    <w:rsid w:val="00E10097"/>
    <w:rsid w:val="00E11F3C"/>
    <w:rsid w:val="00E131EE"/>
    <w:rsid w:val="00E161EF"/>
    <w:rsid w:val="00E25F9E"/>
    <w:rsid w:val="00E27283"/>
    <w:rsid w:val="00E31336"/>
    <w:rsid w:val="00E31ACC"/>
    <w:rsid w:val="00E37A84"/>
    <w:rsid w:val="00E43560"/>
    <w:rsid w:val="00E64BE6"/>
    <w:rsid w:val="00E65879"/>
    <w:rsid w:val="00E664E7"/>
    <w:rsid w:val="00E71EDF"/>
    <w:rsid w:val="00E817DF"/>
    <w:rsid w:val="00E82548"/>
    <w:rsid w:val="00E9055A"/>
    <w:rsid w:val="00E97943"/>
    <w:rsid w:val="00ED17CE"/>
    <w:rsid w:val="00ED3780"/>
    <w:rsid w:val="00ED3989"/>
    <w:rsid w:val="00ED5156"/>
    <w:rsid w:val="00EE471F"/>
    <w:rsid w:val="00EE4F6F"/>
    <w:rsid w:val="00EE5789"/>
    <w:rsid w:val="00EE6017"/>
    <w:rsid w:val="00EF20F3"/>
    <w:rsid w:val="00EF2152"/>
    <w:rsid w:val="00EF4A38"/>
    <w:rsid w:val="00F011B5"/>
    <w:rsid w:val="00F01F53"/>
    <w:rsid w:val="00F046B3"/>
    <w:rsid w:val="00F06161"/>
    <w:rsid w:val="00F07B08"/>
    <w:rsid w:val="00F11884"/>
    <w:rsid w:val="00F12F75"/>
    <w:rsid w:val="00F203E5"/>
    <w:rsid w:val="00F244AE"/>
    <w:rsid w:val="00F26D93"/>
    <w:rsid w:val="00F27912"/>
    <w:rsid w:val="00F357B6"/>
    <w:rsid w:val="00F361FC"/>
    <w:rsid w:val="00F435BA"/>
    <w:rsid w:val="00F54C42"/>
    <w:rsid w:val="00F57BB0"/>
    <w:rsid w:val="00F61F2A"/>
    <w:rsid w:val="00F63257"/>
    <w:rsid w:val="00F67015"/>
    <w:rsid w:val="00F74BB1"/>
    <w:rsid w:val="00F75C58"/>
    <w:rsid w:val="00F76116"/>
    <w:rsid w:val="00F76158"/>
    <w:rsid w:val="00F763FB"/>
    <w:rsid w:val="00F87963"/>
    <w:rsid w:val="00F9210D"/>
    <w:rsid w:val="00F945B5"/>
    <w:rsid w:val="00F96BD2"/>
    <w:rsid w:val="00F96F57"/>
    <w:rsid w:val="00FB1908"/>
    <w:rsid w:val="00FB3B39"/>
    <w:rsid w:val="00FB55CB"/>
    <w:rsid w:val="00FD4281"/>
    <w:rsid w:val="00FF49AB"/>
    <w:rsid w:val="00FF7D69"/>
    <w:rsid w:val="6C47B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2CE645A"/>
  <w14:defaultImageDpi w14:val="96"/>
  <w15:docId w15:val="{377E8B74-5CD6-44EA-AE65-5999D34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D1"/>
    <w:rPr>
      <w:sz w:val="24"/>
      <w:szCs w:val="24"/>
      <w:lang w:eastAsia="en-US"/>
    </w:rPr>
  </w:style>
  <w:style w:type="paragraph" w:styleId="Heading1">
    <w:name w:val="heading 1"/>
    <w:basedOn w:val="Normal"/>
    <w:next w:val="Normal"/>
    <w:link w:val="Heading1Char"/>
    <w:uiPriority w:val="99"/>
    <w:qFormat/>
    <w:rsid w:val="001D1ED1"/>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1D1ED1"/>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1D1ED1"/>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1D1ED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D1ED1"/>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D1ED1"/>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D1ED1"/>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D1ED1"/>
    <w:rPr>
      <w:rFonts w:ascii="Calibri" w:hAnsi="Calibri" w:cs="Times New Roman"/>
      <w:b/>
      <w:bCs/>
      <w:sz w:val="28"/>
      <w:szCs w:val="28"/>
      <w:lang w:val="x-none" w:eastAsia="en-US"/>
    </w:rPr>
  </w:style>
  <w:style w:type="paragraph" w:styleId="Title">
    <w:name w:val="Title"/>
    <w:basedOn w:val="Normal"/>
    <w:link w:val="TitleChar"/>
    <w:uiPriority w:val="99"/>
    <w:qFormat/>
    <w:rsid w:val="001D1ED1"/>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1D1ED1"/>
    <w:rPr>
      <w:rFonts w:ascii="Cambria" w:hAnsi="Cambria" w:cs="Times New Roman"/>
      <w:b/>
      <w:bCs/>
      <w:kern w:val="28"/>
      <w:sz w:val="32"/>
      <w:szCs w:val="32"/>
      <w:lang w:val="x-none" w:eastAsia="en-US"/>
    </w:rPr>
  </w:style>
  <w:style w:type="paragraph" w:styleId="Footer">
    <w:name w:val="footer"/>
    <w:basedOn w:val="Normal"/>
    <w:link w:val="FooterChar"/>
    <w:uiPriority w:val="99"/>
    <w:rsid w:val="001D1ED1"/>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sid w:val="001D1ED1"/>
    <w:rPr>
      <w:rFonts w:cs="Times New Roman"/>
      <w:sz w:val="24"/>
      <w:szCs w:val="24"/>
      <w:lang w:val="x-none" w:eastAsia="en-US"/>
    </w:rPr>
  </w:style>
  <w:style w:type="paragraph" w:customStyle="1" w:styleId="Billname">
    <w:name w:val="Billname"/>
    <w:basedOn w:val="Normal"/>
    <w:uiPriority w:val="99"/>
    <w:rsid w:val="001D1ED1"/>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1D1ED1"/>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1D1ED1"/>
    <w:pPr>
      <w:pBdr>
        <w:bottom w:val="single" w:sz="12" w:space="1" w:color="auto"/>
      </w:pBdr>
      <w:jc w:val="both"/>
    </w:pPr>
  </w:style>
  <w:style w:type="paragraph" w:customStyle="1" w:styleId="madeunder">
    <w:name w:val="made under"/>
    <w:basedOn w:val="Normal"/>
    <w:uiPriority w:val="99"/>
    <w:rsid w:val="001D1ED1"/>
    <w:pPr>
      <w:spacing w:before="180" w:after="60"/>
      <w:jc w:val="both"/>
    </w:pPr>
  </w:style>
  <w:style w:type="paragraph" w:customStyle="1" w:styleId="CoverActName">
    <w:name w:val="CoverActName"/>
    <w:basedOn w:val="Normal"/>
    <w:uiPriority w:val="99"/>
    <w:rsid w:val="001D1ED1"/>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1D1ED1"/>
    <w:pPr>
      <w:tabs>
        <w:tab w:val="left" w:pos="2880"/>
      </w:tabs>
    </w:pPr>
  </w:style>
  <w:style w:type="paragraph" w:customStyle="1" w:styleId="Apara">
    <w:name w:val="A para"/>
    <w:basedOn w:val="Normal"/>
    <w:uiPriority w:val="99"/>
    <w:rsid w:val="001D1ED1"/>
    <w:pPr>
      <w:numPr>
        <w:ilvl w:val="6"/>
        <w:numId w:val="16"/>
      </w:numPr>
      <w:spacing w:before="80" w:after="60"/>
      <w:jc w:val="both"/>
      <w:outlineLvl w:val="6"/>
    </w:pPr>
  </w:style>
  <w:style w:type="paragraph" w:customStyle="1" w:styleId="Asubpara">
    <w:name w:val="A subpara"/>
    <w:basedOn w:val="Normal"/>
    <w:uiPriority w:val="99"/>
    <w:rsid w:val="001D1ED1"/>
    <w:pPr>
      <w:numPr>
        <w:ilvl w:val="7"/>
        <w:numId w:val="16"/>
      </w:numPr>
      <w:spacing w:before="80" w:after="60"/>
      <w:jc w:val="both"/>
      <w:outlineLvl w:val="7"/>
    </w:pPr>
  </w:style>
  <w:style w:type="paragraph" w:customStyle="1" w:styleId="Asubsubpara">
    <w:name w:val="A subsubpara"/>
    <w:basedOn w:val="Normal"/>
    <w:uiPriority w:val="99"/>
    <w:rsid w:val="001D1ED1"/>
    <w:pPr>
      <w:numPr>
        <w:ilvl w:val="8"/>
        <w:numId w:val="16"/>
      </w:numPr>
      <w:spacing w:before="80" w:after="60"/>
      <w:jc w:val="both"/>
      <w:outlineLvl w:val="8"/>
    </w:pPr>
  </w:style>
  <w:style w:type="paragraph" w:customStyle="1" w:styleId="AH5Sec">
    <w:name w:val="A H5 Sec"/>
    <w:basedOn w:val="Normal"/>
    <w:next w:val="Amain"/>
    <w:uiPriority w:val="99"/>
    <w:rsid w:val="001D1ED1"/>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1D1ED1"/>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D1ED1"/>
    <w:rPr>
      <w:rFonts w:cs="Times New Roman"/>
      <w:sz w:val="24"/>
      <w:szCs w:val="24"/>
      <w:lang w:val="x-none" w:eastAsia="en-US"/>
    </w:rPr>
  </w:style>
  <w:style w:type="paragraph" w:customStyle="1" w:styleId="ref">
    <w:name w:val="ref"/>
    <w:basedOn w:val="Normal"/>
    <w:next w:val="Normal"/>
    <w:uiPriority w:val="99"/>
    <w:rsid w:val="001D1ED1"/>
    <w:pPr>
      <w:spacing w:after="60"/>
      <w:jc w:val="both"/>
    </w:pPr>
    <w:rPr>
      <w:sz w:val="18"/>
      <w:szCs w:val="18"/>
    </w:rPr>
  </w:style>
  <w:style w:type="character" w:customStyle="1" w:styleId="CharDivText">
    <w:name w:val="CharDivText"/>
    <w:basedOn w:val="DefaultParagraphFont"/>
    <w:uiPriority w:val="99"/>
    <w:rsid w:val="001D1ED1"/>
    <w:rPr>
      <w:rFonts w:ascii="Times New Roman" w:hAnsi="Times New Roman" w:cs="Times New Roman"/>
    </w:rPr>
  </w:style>
  <w:style w:type="paragraph" w:customStyle="1" w:styleId="CoverInForce">
    <w:name w:val="CoverInForce"/>
    <w:basedOn w:val="Normal"/>
    <w:uiPriority w:val="99"/>
    <w:rsid w:val="001D1ED1"/>
    <w:pPr>
      <w:tabs>
        <w:tab w:val="left" w:pos="2600"/>
      </w:tabs>
      <w:spacing w:before="200" w:after="60"/>
      <w:jc w:val="both"/>
    </w:pPr>
    <w:rPr>
      <w:rFonts w:ascii="Arial" w:hAnsi="Arial" w:cs="Arial"/>
    </w:rPr>
  </w:style>
  <w:style w:type="paragraph" w:customStyle="1" w:styleId="AFHdg">
    <w:name w:val="AFHdg"/>
    <w:basedOn w:val="Normal"/>
    <w:uiPriority w:val="99"/>
    <w:rsid w:val="001D1ED1"/>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1D1ED1"/>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1D1ED1"/>
    <w:rPr>
      <w:rFonts w:ascii="Times New Roman" w:hAnsi="Times New Roman" w:cs="Times New Roman"/>
    </w:rPr>
  </w:style>
  <w:style w:type="paragraph" w:customStyle="1" w:styleId="Aparabullet">
    <w:name w:val="A para bullet"/>
    <w:basedOn w:val="Normal"/>
    <w:uiPriority w:val="99"/>
    <w:rsid w:val="001D1ED1"/>
    <w:pPr>
      <w:numPr>
        <w:numId w:val="4"/>
      </w:numPr>
    </w:pPr>
  </w:style>
  <w:style w:type="paragraph" w:styleId="TOC1">
    <w:name w:val="toc 1"/>
    <w:basedOn w:val="Normal"/>
    <w:next w:val="Normal"/>
    <w:autoRedefine/>
    <w:uiPriority w:val="99"/>
    <w:semiHidden/>
    <w:rsid w:val="001D1ED1"/>
  </w:style>
  <w:style w:type="paragraph" w:styleId="TOC2">
    <w:name w:val="toc 2"/>
    <w:basedOn w:val="Normal"/>
    <w:next w:val="Normal"/>
    <w:autoRedefine/>
    <w:uiPriority w:val="99"/>
    <w:semiHidden/>
    <w:rsid w:val="001D1ED1"/>
    <w:pPr>
      <w:ind w:left="240"/>
    </w:pPr>
  </w:style>
  <w:style w:type="paragraph" w:styleId="TOC3">
    <w:name w:val="toc 3"/>
    <w:basedOn w:val="Normal"/>
    <w:next w:val="Normal"/>
    <w:autoRedefine/>
    <w:uiPriority w:val="99"/>
    <w:semiHidden/>
    <w:rsid w:val="001D1ED1"/>
    <w:pPr>
      <w:ind w:left="480"/>
    </w:pPr>
  </w:style>
  <w:style w:type="paragraph" w:styleId="TOC4">
    <w:name w:val="toc 4"/>
    <w:basedOn w:val="Normal"/>
    <w:next w:val="Normal"/>
    <w:autoRedefine/>
    <w:uiPriority w:val="99"/>
    <w:semiHidden/>
    <w:rsid w:val="001D1ED1"/>
    <w:pPr>
      <w:ind w:left="720"/>
    </w:pPr>
  </w:style>
  <w:style w:type="paragraph" w:styleId="TOC5">
    <w:name w:val="toc 5"/>
    <w:basedOn w:val="Normal"/>
    <w:next w:val="Normal"/>
    <w:autoRedefine/>
    <w:uiPriority w:val="99"/>
    <w:semiHidden/>
    <w:rsid w:val="001D1ED1"/>
    <w:pPr>
      <w:ind w:left="960"/>
    </w:pPr>
  </w:style>
  <w:style w:type="paragraph" w:styleId="TOC6">
    <w:name w:val="toc 6"/>
    <w:basedOn w:val="Normal"/>
    <w:next w:val="Normal"/>
    <w:autoRedefine/>
    <w:uiPriority w:val="99"/>
    <w:semiHidden/>
    <w:rsid w:val="001D1ED1"/>
    <w:pPr>
      <w:ind w:left="1200"/>
    </w:pPr>
  </w:style>
  <w:style w:type="paragraph" w:styleId="TOC7">
    <w:name w:val="toc 7"/>
    <w:basedOn w:val="Normal"/>
    <w:next w:val="Normal"/>
    <w:autoRedefine/>
    <w:uiPriority w:val="99"/>
    <w:semiHidden/>
    <w:rsid w:val="001D1ED1"/>
    <w:pPr>
      <w:ind w:left="1440"/>
    </w:pPr>
  </w:style>
  <w:style w:type="paragraph" w:styleId="TOC8">
    <w:name w:val="toc 8"/>
    <w:basedOn w:val="Normal"/>
    <w:next w:val="Normal"/>
    <w:autoRedefine/>
    <w:uiPriority w:val="99"/>
    <w:semiHidden/>
    <w:rsid w:val="001D1ED1"/>
    <w:pPr>
      <w:ind w:left="1680"/>
    </w:pPr>
  </w:style>
  <w:style w:type="paragraph" w:styleId="TOC9">
    <w:name w:val="toc 9"/>
    <w:basedOn w:val="Normal"/>
    <w:next w:val="Normal"/>
    <w:autoRedefine/>
    <w:uiPriority w:val="99"/>
    <w:semiHidden/>
    <w:rsid w:val="001D1ED1"/>
    <w:pPr>
      <w:ind w:left="1920"/>
    </w:pPr>
  </w:style>
  <w:style w:type="character" w:styleId="Hyperlink">
    <w:name w:val="Hyperlink"/>
    <w:basedOn w:val="DefaultParagraphFont"/>
    <w:uiPriority w:val="99"/>
    <w:rsid w:val="001D1ED1"/>
    <w:rPr>
      <w:rFonts w:ascii="Times New Roman" w:hAnsi="Times New Roman" w:cs="Times New Roman"/>
      <w:color w:val="0000FF"/>
      <w:u w:val="single"/>
    </w:rPr>
  </w:style>
  <w:style w:type="paragraph" w:styleId="BodyText2">
    <w:name w:val="Body Text 2"/>
    <w:basedOn w:val="Normal"/>
    <w:link w:val="BodyText2Char"/>
    <w:uiPriority w:val="99"/>
    <w:rsid w:val="001D1ED1"/>
    <w:pPr>
      <w:spacing w:before="120" w:after="60"/>
      <w:ind w:left="709"/>
    </w:pPr>
  </w:style>
  <w:style w:type="character" w:customStyle="1" w:styleId="BodyText2Char">
    <w:name w:val="Body Text 2 Char"/>
    <w:basedOn w:val="DefaultParagraphFont"/>
    <w:link w:val="BodyText2"/>
    <w:uiPriority w:val="99"/>
    <w:semiHidden/>
    <w:locked/>
    <w:rsid w:val="001D1ED1"/>
    <w:rPr>
      <w:rFonts w:cs="Times New Roman"/>
      <w:sz w:val="24"/>
      <w:szCs w:val="24"/>
      <w:lang w:val="x-none" w:eastAsia="en-US"/>
    </w:rPr>
  </w:style>
  <w:style w:type="paragraph" w:customStyle="1" w:styleId="Minister">
    <w:name w:val="Minister"/>
    <w:basedOn w:val="Normal"/>
    <w:uiPriority w:val="99"/>
    <w:rsid w:val="001D1ED1"/>
    <w:pPr>
      <w:spacing w:before="880" w:after="60"/>
      <w:jc w:val="right"/>
    </w:pPr>
    <w:rPr>
      <w:caps/>
    </w:rPr>
  </w:style>
  <w:style w:type="paragraph" w:customStyle="1" w:styleId="DateLine">
    <w:name w:val="DateLine"/>
    <w:basedOn w:val="Normal"/>
    <w:uiPriority w:val="99"/>
    <w:rsid w:val="001D1ED1"/>
    <w:pPr>
      <w:tabs>
        <w:tab w:val="left" w:pos="4320"/>
      </w:tabs>
      <w:spacing w:before="80" w:after="60"/>
      <w:jc w:val="both"/>
    </w:pPr>
  </w:style>
  <w:style w:type="paragraph" w:customStyle="1" w:styleId="MinisterWord">
    <w:name w:val="MinisterWord"/>
    <w:basedOn w:val="Normal"/>
    <w:uiPriority w:val="99"/>
    <w:rsid w:val="001D1ED1"/>
    <w:pPr>
      <w:tabs>
        <w:tab w:val="left" w:pos="2880"/>
      </w:tabs>
      <w:jc w:val="right"/>
    </w:pPr>
  </w:style>
  <w:style w:type="character" w:styleId="FollowedHyperlink">
    <w:name w:val="FollowedHyperlink"/>
    <w:basedOn w:val="DefaultParagraphFont"/>
    <w:uiPriority w:val="99"/>
    <w:rsid w:val="001D1ED1"/>
    <w:rPr>
      <w:rFonts w:ascii="Times New Roman" w:hAnsi="Times New Roman" w:cs="Times New Roman"/>
      <w:color w:val="800080"/>
      <w:u w:val="single"/>
    </w:rPr>
  </w:style>
  <w:style w:type="character" w:styleId="FootnoteReference">
    <w:name w:val="footnote reference"/>
    <w:basedOn w:val="DefaultParagraphFont"/>
    <w:uiPriority w:val="99"/>
    <w:semiHidden/>
    <w:rsid w:val="001D1ED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D1ED1"/>
    <w:pPr>
      <w:spacing w:before="80" w:after="60"/>
      <w:jc w:val="both"/>
    </w:pPr>
  </w:style>
  <w:style w:type="character" w:customStyle="1" w:styleId="FootnoteTextChar">
    <w:name w:val="Footnote Text Char"/>
    <w:basedOn w:val="DefaultParagraphFont"/>
    <w:link w:val="FootnoteText"/>
    <w:uiPriority w:val="99"/>
    <w:semiHidden/>
    <w:locked/>
    <w:rsid w:val="001D1ED1"/>
    <w:rPr>
      <w:rFonts w:cs="Times New Roman"/>
      <w:sz w:val="20"/>
      <w:szCs w:val="20"/>
      <w:lang w:val="x-none" w:eastAsia="en-US"/>
    </w:rPr>
  </w:style>
  <w:style w:type="paragraph" w:customStyle="1" w:styleId="ShadedSchClause">
    <w:name w:val="Shaded Sch Clause"/>
    <w:basedOn w:val="Normal"/>
    <w:next w:val="Normal"/>
    <w:uiPriority w:val="99"/>
    <w:rsid w:val="001D1ED1"/>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1D1ED1"/>
    <w:rPr>
      <w:rFonts w:ascii="Times New Roman" w:hAnsi="Times New Roman" w:cs="Times New Roman"/>
    </w:rPr>
  </w:style>
  <w:style w:type="paragraph" w:styleId="BalloonText">
    <w:name w:val="Balloon Text"/>
    <w:basedOn w:val="Normal"/>
    <w:link w:val="BalloonTextChar"/>
    <w:uiPriority w:val="99"/>
    <w:rsid w:val="001D1E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1ED1"/>
    <w:rPr>
      <w:rFonts w:ascii="Tahoma" w:hAnsi="Tahoma" w:cs="Tahoma"/>
      <w:sz w:val="16"/>
      <w:szCs w:val="16"/>
      <w:lang w:val="x-none" w:eastAsia="en-US"/>
    </w:rPr>
  </w:style>
  <w:style w:type="paragraph" w:styleId="DocumentMap">
    <w:name w:val="Document Map"/>
    <w:basedOn w:val="Normal"/>
    <w:link w:val="DocumentMapChar"/>
    <w:uiPriority w:val="99"/>
    <w:semiHidden/>
    <w:rsid w:val="001D1E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D1ED1"/>
    <w:rPr>
      <w:rFonts w:ascii="Tahoma" w:hAnsi="Tahoma" w:cs="Tahoma"/>
      <w:sz w:val="16"/>
      <w:szCs w:val="16"/>
      <w:lang w:val="x-none" w:eastAsia="en-US"/>
    </w:rPr>
  </w:style>
  <w:style w:type="paragraph" w:customStyle="1" w:styleId="Default">
    <w:name w:val="Default"/>
    <w:rsid w:val="00CC2CC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unhideWhenUsed/>
    <w:rsid w:val="009F301B"/>
    <w:rPr>
      <w:rFonts w:cs="Times New Roman"/>
      <w:sz w:val="16"/>
      <w:szCs w:val="16"/>
    </w:rPr>
  </w:style>
  <w:style w:type="paragraph" w:styleId="CommentText">
    <w:name w:val="annotation text"/>
    <w:basedOn w:val="Normal"/>
    <w:link w:val="CommentTextChar"/>
    <w:uiPriority w:val="99"/>
    <w:unhideWhenUsed/>
    <w:rsid w:val="009F301B"/>
    <w:rPr>
      <w:sz w:val="20"/>
      <w:szCs w:val="20"/>
    </w:rPr>
  </w:style>
  <w:style w:type="character" w:customStyle="1" w:styleId="CommentTextChar">
    <w:name w:val="Comment Text Char"/>
    <w:basedOn w:val="DefaultParagraphFont"/>
    <w:link w:val="CommentText"/>
    <w:uiPriority w:val="99"/>
    <w:semiHidden/>
    <w:locked/>
    <w:rsid w:val="009F301B"/>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9F301B"/>
    <w:rPr>
      <w:b/>
      <w:bCs/>
    </w:rPr>
  </w:style>
  <w:style w:type="character" w:customStyle="1" w:styleId="CommentSubjectChar">
    <w:name w:val="Comment Subject Char"/>
    <w:basedOn w:val="CommentTextChar"/>
    <w:link w:val="CommentSubject"/>
    <w:uiPriority w:val="99"/>
    <w:semiHidden/>
    <w:locked/>
    <w:rsid w:val="009F301B"/>
    <w:rPr>
      <w:rFonts w:cs="Times New Roman"/>
      <w:b/>
      <w:bCs/>
      <w:lang w:val="x-none" w:eastAsia="en-US"/>
    </w:rPr>
  </w:style>
  <w:style w:type="character" w:customStyle="1" w:styleId="normaltextrun">
    <w:name w:val="normaltextrun"/>
    <w:basedOn w:val="DefaultParagraphFont"/>
    <w:rsid w:val="00886974"/>
    <w:rPr>
      <w:rFonts w:cs="Times New Roman"/>
    </w:rPr>
  </w:style>
  <w:style w:type="paragraph" w:customStyle="1" w:styleId="paragraph">
    <w:name w:val="paragraph"/>
    <w:basedOn w:val="Normal"/>
    <w:rsid w:val="00886974"/>
    <w:pPr>
      <w:spacing w:before="100" w:beforeAutospacing="1" w:after="100" w:afterAutospacing="1"/>
    </w:pPr>
    <w:rPr>
      <w:lang w:eastAsia="en-AU"/>
    </w:rPr>
  </w:style>
  <w:style w:type="character" w:customStyle="1" w:styleId="eop">
    <w:name w:val="eop"/>
    <w:basedOn w:val="DefaultParagraphFont"/>
    <w:rsid w:val="00886974"/>
    <w:rPr>
      <w:rFonts w:cs="Times New Roman"/>
    </w:rPr>
  </w:style>
  <w:style w:type="paragraph" w:styleId="Revision">
    <w:name w:val="Revision"/>
    <w:hidden/>
    <w:uiPriority w:val="99"/>
    <w:semiHidden/>
    <w:rsid w:val="0008444E"/>
    <w:rPr>
      <w:sz w:val="24"/>
      <w:szCs w:val="24"/>
      <w:lang w:eastAsia="en-US"/>
    </w:rPr>
  </w:style>
  <w:style w:type="table" w:styleId="TableGrid">
    <w:name w:val="Table Grid"/>
    <w:basedOn w:val="TableNormal"/>
    <w:uiPriority w:val="59"/>
    <w:rsid w:val="00BA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980"/>
    <w:pPr>
      <w:ind w:left="720"/>
      <w:contextualSpacing/>
    </w:pPr>
  </w:style>
  <w:style w:type="paragraph" w:customStyle="1" w:styleId="TableText">
    <w:name w:val="TableText"/>
    <w:basedOn w:val="Normal"/>
    <w:uiPriority w:val="99"/>
    <w:rsid w:val="00510229"/>
    <w:p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35551803">
      <w:bodyDiv w:val="1"/>
      <w:marLeft w:val="0"/>
      <w:marRight w:val="0"/>
      <w:marTop w:val="0"/>
      <w:marBottom w:val="0"/>
      <w:divBdr>
        <w:top w:val="none" w:sz="0" w:space="0" w:color="auto"/>
        <w:left w:val="none" w:sz="0" w:space="0" w:color="auto"/>
        <w:bottom w:val="none" w:sz="0" w:space="0" w:color="auto"/>
        <w:right w:val="none" w:sz="0" w:space="0" w:color="auto"/>
      </w:divBdr>
    </w:div>
    <w:div w:id="120340786">
      <w:bodyDiv w:val="1"/>
      <w:marLeft w:val="0"/>
      <w:marRight w:val="0"/>
      <w:marTop w:val="0"/>
      <w:marBottom w:val="0"/>
      <w:divBdr>
        <w:top w:val="none" w:sz="0" w:space="0" w:color="auto"/>
        <w:left w:val="none" w:sz="0" w:space="0" w:color="auto"/>
        <w:bottom w:val="none" w:sz="0" w:space="0" w:color="auto"/>
        <w:right w:val="none" w:sz="0" w:space="0" w:color="auto"/>
      </w:divBdr>
    </w:div>
    <w:div w:id="179246385">
      <w:bodyDiv w:val="1"/>
      <w:marLeft w:val="0"/>
      <w:marRight w:val="0"/>
      <w:marTop w:val="0"/>
      <w:marBottom w:val="0"/>
      <w:divBdr>
        <w:top w:val="none" w:sz="0" w:space="0" w:color="auto"/>
        <w:left w:val="none" w:sz="0" w:space="0" w:color="auto"/>
        <w:bottom w:val="none" w:sz="0" w:space="0" w:color="auto"/>
        <w:right w:val="none" w:sz="0" w:space="0" w:color="auto"/>
      </w:divBdr>
    </w:div>
    <w:div w:id="232547953">
      <w:bodyDiv w:val="1"/>
      <w:marLeft w:val="0"/>
      <w:marRight w:val="0"/>
      <w:marTop w:val="0"/>
      <w:marBottom w:val="0"/>
      <w:divBdr>
        <w:top w:val="none" w:sz="0" w:space="0" w:color="auto"/>
        <w:left w:val="none" w:sz="0" w:space="0" w:color="auto"/>
        <w:bottom w:val="none" w:sz="0" w:space="0" w:color="auto"/>
        <w:right w:val="none" w:sz="0" w:space="0" w:color="auto"/>
      </w:divBdr>
    </w:div>
    <w:div w:id="362293015">
      <w:bodyDiv w:val="1"/>
      <w:marLeft w:val="0"/>
      <w:marRight w:val="0"/>
      <w:marTop w:val="0"/>
      <w:marBottom w:val="0"/>
      <w:divBdr>
        <w:top w:val="none" w:sz="0" w:space="0" w:color="auto"/>
        <w:left w:val="none" w:sz="0" w:space="0" w:color="auto"/>
        <w:bottom w:val="none" w:sz="0" w:space="0" w:color="auto"/>
        <w:right w:val="none" w:sz="0" w:space="0" w:color="auto"/>
      </w:divBdr>
    </w:div>
    <w:div w:id="376709342">
      <w:bodyDiv w:val="1"/>
      <w:marLeft w:val="0"/>
      <w:marRight w:val="0"/>
      <w:marTop w:val="0"/>
      <w:marBottom w:val="0"/>
      <w:divBdr>
        <w:top w:val="none" w:sz="0" w:space="0" w:color="auto"/>
        <w:left w:val="none" w:sz="0" w:space="0" w:color="auto"/>
        <w:bottom w:val="none" w:sz="0" w:space="0" w:color="auto"/>
        <w:right w:val="none" w:sz="0" w:space="0" w:color="auto"/>
      </w:divBdr>
    </w:div>
    <w:div w:id="383067243">
      <w:bodyDiv w:val="1"/>
      <w:marLeft w:val="0"/>
      <w:marRight w:val="0"/>
      <w:marTop w:val="0"/>
      <w:marBottom w:val="0"/>
      <w:divBdr>
        <w:top w:val="none" w:sz="0" w:space="0" w:color="auto"/>
        <w:left w:val="none" w:sz="0" w:space="0" w:color="auto"/>
        <w:bottom w:val="none" w:sz="0" w:space="0" w:color="auto"/>
        <w:right w:val="none" w:sz="0" w:space="0" w:color="auto"/>
      </w:divBdr>
    </w:div>
    <w:div w:id="510418609">
      <w:bodyDiv w:val="1"/>
      <w:marLeft w:val="0"/>
      <w:marRight w:val="0"/>
      <w:marTop w:val="0"/>
      <w:marBottom w:val="0"/>
      <w:divBdr>
        <w:top w:val="none" w:sz="0" w:space="0" w:color="auto"/>
        <w:left w:val="none" w:sz="0" w:space="0" w:color="auto"/>
        <w:bottom w:val="none" w:sz="0" w:space="0" w:color="auto"/>
        <w:right w:val="none" w:sz="0" w:space="0" w:color="auto"/>
      </w:divBdr>
    </w:div>
    <w:div w:id="814220423">
      <w:bodyDiv w:val="1"/>
      <w:marLeft w:val="0"/>
      <w:marRight w:val="0"/>
      <w:marTop w:val="0"/>
      <w:marBottom w:val="0"/>
      <w:divBdr>
        <w:top w:val="none" w:sz="0" w:space="0" w:color="auto"/>
        <w:left w:val="none" w:sz="0" w:space="0" w:color="auto"/>
        <w:bottom w:val="none" w:sz="0" w:space="0" w:color="auto"/>
        <w:right w:val="none" w:sz="0" w:space="0" w:color="auto"/>
      </w:divBdr>
    </w:div>
    <w:div w:id="881671938">
      <w:bodyDiv w:val="1"/>
      <w:marLeft w:val="0"/>
      <w:marRight w:val="0"/>
      <w:marTop w:val="0"/>
      <w:marBottom w:val="0"/>
      <w:divBdr>
        <w:top w:val="none" w:sz="0" w:space="0" w:color="auto"/>
        <w:left w:val="none" w:sz="0" w:space="0" w:color="auto"/>
        <w:bottom w:val="none" w:sz="0" w:space="0" w:color="auto"/>
        <w:right w:val="none" w:sz="0" w:space="0" w:color="auto"/>
      </w:divBdr>
    </w:div>
    <w:div w:id="979964695">
      <w:bodyDiv w:val="1"/>
      <w:marLeft w:val="0"/>
      <w:marRight w:val="0"/>
      <w:marTop w:val="0"/>
      <w:marBottom w:val="0"/>
      <w:divBdr>
        <w:top w:val="none" w:sz="0" w:space="0" w:color="auto"/>
        <w:left w:val="none" w:sz="0" w:space="0" w:color="auto"/>
        <w:bottom w:val="none" w:sz="0" w:space="0" w:color="auto"/>
        <w:right w:val="none" w:sz="0" w:space="0" w:color="auto"/>
      </w:divBdr>
    </w:div>
    <w:div w:id="1123110473">
      <w:bodyDiv w:val="1"/>
      <w:marLeft w:val="0"/>
      <w:marRight w:val="0"/>
      <w:marTop w:val="0"/>
      <w:marBottom w:val="0"/>
      <w:divBdr>
        <w:top w:val="none" w:sz="0" w:space="0" w:color="auto"/>
        <w:left w:val="none" w:sz="0" w:space="0" w:color="auto"/>
        <w:bottom w:val="none" w:sz="0" w:space="0" w:color="auto"/>
        <w:right w:val="none" w:sz="0" w:space="0" w:color="auto"/>
      </w:divBdr>
    </w:div>
    <w:div w:id="1140154312">
      <w:bodyDiv w:val="1"/>
      <w:marLeft w:val="0"/>
      <w:marRight w:val="0"/>
      <w:marTop w:val="0"/>
      <w:marBottom w:val="0"/>
      <w:divBdr>
        <w:top w:val="none" w:sz="0" w:space="0" w:color="auto"/>
        <w:left w:val="none" w:sz="0" w:space="0" w:color="auto"/>
        <w:bottom w:val="none" w:sz="0" w:space="0" w:color="auto"/>
        <w:right w:val="none" w:sz="0" w:space="0" w:color="auto"/>
      </w:divBdr>
    </w:div>
    <w:div w:id="1227689471">
      <w:bodyDiv w:val="1"/>
      <w:marLeft w:val="0"/>
      <w:marRight w:val="0"/>
      <w:marTop w:val="0"/>
      <w:marBottom w:val="0"/>
      <w:divBdr>
        <w:top w:val="none" w:sz="0" w:space="0" w:color="auto"/>
        <w:left w:val="none" w:sz="0" w:space="0" w:color="auto"/>
        <w:bottom w:val="none" w:sz="0" w:space="0" w:color="auto"/>
        <w:right w:val="none" w:sz="0" w:space="0" w:color="auto"/>
      </w:divBdr>
    </w:div>
    <w:div w:id="1349209608">
      <w:bodyDiv w:val="1"/>
      <w:marLeft w:val="0"/>
      <w:marRight w:val="0"/>
      <w:marTop w:val="0"/>
      <w:marBottom w:val="0"/>
      <w:divBdr>
        <w:top w:val="none" w:sz="0" w:space="0" w:color="auto"/>
        <w:left w:val="none" w:sz="0" w:space="0" w:color="auto"/>
        <w:bottom w:val="none" w:sz="0" w:space="0" w:color="auto"/>
        <w:right w:val="none" w:sz="0" w:space="0" w:color="auto"/>
      </w:divBdr>
    </w:div>
    <w:div w:id="1540585556">
      <w:bodyDiv w:val="1"/>
      <w:marLeft w:val="0"/>
      <w:marRight w:val="0"/>
      <w:marTop w:val="0"/>
      <w:marBottom w:val="0"/>
      <w:divBdr>
        <w:top w:val="none" w:sz="0" w:space="0" w:color="auto"/>
        <w:left w:val="none" w:sz="0" w:space="0" w:color="auto"/>
        <w:bottom w:val="none" w:sz="0" w:space="0" w:color="auto"/>
        <w:right w:val="none" w:sz="0" w:space="0" w:color="auto"/>
      </w:divBdr>
    </w:div>
    <w:div w:id="1590701605">
      <w:bodyDiv w:val="1"/>
      <w:marLeft w:val="0"/>
      <w:marRight w:val="0"/>
      <w:marTop w:val="0"/>
      <w:marBottom w:val="0"/>
      <w:divBdr>
        <w:top w:val="none" w:sz="0" w:space="0" w:color="auto"/>
        <w:left w:val="none" w:sz="0" w:space="0" w:color="auto"/>
        <w:bottom w:val="none" w:sz="0" w:space="0" w:color="auto"/>
        <w:right w:val="none" w:sz="0" w:space="0" w:color="auto"/>
      </w:divBdr>
    </w:div>
    <w:div w:id="1741754032">
      <w:bodyDiv w:val="1"/>
      <w:marLeft w:val="0"/>
      <w:marRight w:val="0"/>
      <w:marTop w:val="0"/>
      <w:marBottom w:val="0"/>
      <w:divBdr>
        <w:top w:val="none" w:sz="0" w:space="0" w:color="auto"/>
        <w:left w:val="none" w:sz="0" w:space="0" w:color="auto"/>
        <w:bottom w:val="none" w:sz="0" w:space="0" w:color="auto"/>
        <w:right w:val="none" w:sz="0" w:space="0" w:color="auto"/>
      </w:divBdr>
    </w:div>
    <w:div w:id="1918053881">
      <w:bodyDiv w:val="1"/>
      <w:marLeft w:val="0"/>
      <w:marRight w:val="0"/>
      <w:marTop w:val="0"/>
      <w:marBottom w:val="0"/>
      <w:divBdr>
        <w:top w:val="none" w:sz="0" w:space="0" w:color="auto"/>
        <w:left w:val="none" w:sz="0" w:space="0" w:color="auto"/>
        <w:bottom w:val="none" w:sz="0" w:space="0" w:color="auto"/>
        <w:right w:val="none" w:sz="0" w:space="0" w:color="auto"/>
      </w:divBdr>
    </w:div>
    <w:div w:id="1993094778">
      <w:bodyDiv w:val="1"/>
      <w:marLeft w:val="0"/>
      <w:marRight w:val="0"/>
      <w:marTop w:val="0"/>
      <w:marBottom w:val="0"/>
      <w:divBdr>
        <w:top w:val="none" w:sz="0" w:space="0" w:color="auto"/>
        <w:left w:val="none" w:sz="0" w:space="0" w:color="auto"/>
        <w:bottom w:val="none" w:sz="0" w:space="0" w:color="auto"/>
        <w:right w:val="none" w:sz="0" w:space="0" w:color="auto"/>
      </w:divBdr>
    </w:div>
    <w:div w:id="2072607156">
      <w:bodyDiv w:val="1"/>
      <w:marLeft w:val="0"/>
      <w:marRight w:val="0"/>
      <w:marTop w:val="0"/>
      <w:marBottom w:val="0"/>
      <w:divBdr>
        <w:top w:val="none" w:sz="0" w:space="0" w:color="auto"/>
        <w:left w:val="none" w:sz="0" w:space="0" w:color="auto"/>
        <w:bottom w:val="none" w:sz="0" w:space="0" w:color="auto"/>
        <w:right w:val="none" w:sz="0" w:space="0" w:color="auto"/>
      </w:divBdr>
    </w:div>
    <w:div w:id="20872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ehicleguide.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F7589-C93D-431C-9FD4-4A975613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7601</Characters>
  <Application>Microsoft Office Word</Application>
  <DocSecurity>0</DocSecurity>
  <Lines>139</Lines>
  <Paragraphs>51</Paragraphs>
  <ScaleCrop>false</ScaleCrop>
  <Company>InTACT</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2016-06-09T03:46:00Z</cp:lastPrinted>
  <dcterms:created xsi:type="dcterms:W3CDTF">2026-06-29T01:17:00Z</dcterms:created>
  <dcterms:modified xsi:type="dcterms:W3CDTF">2026-06-29T01:17:00Z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2024-05-02T02:45:20Z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df20d3ba-9771-4eac-9eec-ea1a323ad583</vt:lpwstr>
  </property>
  <property fmtid="{D5CDD505-2E9C-101B-9397-08002B2CF9AE}" pid="8" name="MSIP_Label_69af8531-eb46-4968-8cb3-105d2f5ea87e_ContentBits">
    <vt:lpwstr>0</vt:lpwstr>
  </property>
</Properties>
</file>