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9194D" w14:textId="77777777" w:rsidR="005D70F1" w:rsidRDefault="005D70F1">
      <w:pPr>
        <w:spacing w:before="120"/>
        <w:rPr>
          <w:rFonts w:ascii="Arial" w:hAnsi="Arial" w:cs="Arial"/>
        </w:rPr>
      </w:pPr>
      <w:bookmarkStart w:id="0" w:name="_Toc44738651"/>
      <w:r>
        <w:rPr>
          <w:rFonts w:ascii="Arial" w:hAnsi="Arial" w:cs="Arial"/>
        </w:rPr>
        <w:t>Australian Capital Territory</w:t>
      </w:r>
    </w:p>
    <w:p w14:paraId="542C8F4A" w14:textId="77777777" w:rsidR="005D70F1" w:rsidRDefault="00EF2333">
      <w:pPr>
        <w:pStyle w:val="Billname"/>
        <w:spacing w:before="700"/>
      </w:pPr>
      <w:r>
        <w:t>Lifetime Care and Support (Catastrophic Injuri</w:t>
      </w:r>
      <w:r w:rsidR="007C5DD0">
        <w:t>es)</w:t>
      </w:r>
      <w:r w:rsidR="006A5682">
        <w:t xml:space="preserve"> Eligibility </w:t>
      </w:r>
      <w:r w:rsidR="008F7667" w:rsidRPr="008F7667">
        <w:t>Guidelines 202</w:t>
      </w:r>
      <w:r w:rsidR="00394EA3">
        <w:t>6</w:t>
      </w:r>
    </w:p>
    <w:p w14:paraId="4C81EE83" w14:textId="77777777" w:rsidR="005D70F1" w:rsidRDefault="007C5DD0">
      <w:pPr>
        <w:spacing w:before="240" w:after="60"/>
        <w:rPr>
          <w:rFonts w:ascii="Arial" w:hAnsi="Arial" w:cs="Arial"/>
          <w:b/>
          <w:bCs/>
          <w:vertAlign w:val="superscript"/>
        </w:rPr>
      </w:pPr>
      <w:r>
        <w:rPr>
          <w:rFonts w:ascii="Arial" w:hAnsi="Arial" w:cs="Arial"/>
          <w:b/>
          <w:bCs/>
        </w:rPr>
        <w:t>Disa</w:t>
      </w:r>
      <w:r w:rsidR="00CE686D">
        <w:rPr>
          <w:rFonts w:ascii="Arial" w:hAnsi="Arial" w:cs="Arial"/>
          <w:b/>
          <w:bCs/>
        </w:rPr>
        <w:t>l</w:t>
      </w:r>
      <w:r>
        <w:rPr>
          <w:rFonts w:ascii="Arial" w:hAnsi="Arial" w:cs="Arial"/>
          <w:b/>
          <w:bCs/>
        </w:rPr>
        <w:t>lowable</w:t>
      </w:r>
      <w:r w:rsidR="005D70F1">
        <w:rPr>
          <w:rFonts w:ascii="Arial" w:hAnsi="Arial" w:cs="Arial"/>
          <w:b/>
          <w:bCs/>
        </w:rPr>
        <w:t xml:space="preserve"> instrument </w:t>
      </w:r>
      <w:r w:rsidR="00CE18F5">
        <w:rPr>
          <w:rFonts w:ascii="Arial" w:hAnsi="Arial" w:cs="Arial"/>
          <w:b/>
          <w:bCs/>
        </w:rPr>
        <w:t>D</w:t>
      </w:r>
      <w:r w:rsidR="00EF2333">
        <w:rPr>
          <w:rFonts w:ascii="Arial" w:hAnsi="Arial" w:cs="Arial"/>
          <w:b/>
          <w:bCs/>
        </w:rPr>
        <w:t>I20</w:t>
      </w:r>
      <w:r w:rsidR="001B5999">
        <w:rPr>
          <w:rFonts w:ascii="Arial" w:hAnsi="Arial" w:cs="Arial"/>
          <w:b/>
          <w:bCs/>
        </w:rPr>
        <w:t>2</w:t>
      </w:r>
      <w:r w:rsidR="00394EA3">
        <w:rPr>
          <w:rFonts w:ascii="Arial" w:hAnsi="Arial" w:cs="Arial"/>
          <w:b/>
          <w:bCs/>
        </w:rPr>
        <w:t>6</w:t>
      </w:r>
      <w:r w:rsidR="008F7667">
        <w:rPr>
          <w:rFonts w:ascii="Arial" w:hAnsi="Arial" w:cs="Arial"/>
          <w:b/>
          <w:bCs/>
        </w:rPr>
        <w:t xml:space="preserve"> - </w:t>
      </w:r>
      <w:r w:rsidR="00F317BC">
        <w:rPr>
          <w:rFonts w:ascii="Arial" w:hAnsi="Arial" w:cs="Arial"/>
          <w:b/>
          <w:bCs/>
        </w:rPr>
        <w:t>174</w:t>
      </w:r>
    </w:p>
    <w:p w14:paraId="2FA7EF42" w14:textId="77777777" w:rsidR="005D70F1" w:rsidRDefault="005D70F1">
      <w:pPr>
        <w:pStyle w:val="madeunder"/>
        <w:spacing w:before="240" w:after="120"/>
      </w:pPr>
      <w:r>
        <w:t xml:space="preserve">made under the  </w:t>
      </w:r>
    </w:p>
    <w:p w14:paraId="58927E62" w14:textId="77777777" w:rsidR="005D70F1" w:rsidRDefault="00EF2333">
      <w:pPr>
        <w:pStyle w:val="CoverActName"/>
        <w:rPr>
          <w:rFonts w:cs="Arial"/>
          <w:sz w:val="20"/>
        </w:rPr>
      </w:pPr>
      <w:r>
        <w:rPr>
          <w:rFonts w:cs="Arial"/>
          <w:sz w:val="20"/>
        </w:rPr>
        <w:t>Lifetime Care and Support (Catastrophi</w:t>
      </w:r>
      <w:r w:rsidR="007C5DD0">
        <w:rPr>
          <w:rFonts w:cs="Arial"/>
          <w:sz w:val="20"/>
        </w:rPr>
        <w:t>c Injuries) Act 2014, section 93 (Making of Guidelines</w:t>
      </w:r>
      <w:r>
        <w:rPr>
          <w:rFonts w:cs="Arial"/>
          <w:sz w:val="20"/>
        </w:rPr>
        <w:t>)</w:t>
      </w:r>
    </w:p>
    <w:p w14:paraId="0707536A" w14:textId="77777777" w:rsidR="005D70F1" w:rsidRDefault="005D70F1">
      <w:pPr>
        <w:spacing w:before="360"/>
        <w:ind w:right="565"/>
        <w:rPr>
          <w:rFonts w:ascii="Arial" w:hAnsi="Arial" w:cs="Arial"/>
          <w:b/>
          <w:bCs/>
          <w:sz w:val="28"/>
          <w:szCs w:val="28"/>
        </w:rPr>
      </w:pPr>
      <w:r>
        <w:rPr>
          <w:rFonts w:ascii="Arial" w:hAnsi="Arial" w:cs="Arial"/>
          <w:b/>
          <w:bCs/>
          <w:sz w:val="28"/>
          <w:szCs w:val="28"/>
        </w:rPr>
        <w:t>EXPLANATORY STATEMENT</w:t>
      </w:r>
    </w:p>
    <w:p w14:paraId="3F17CCDE" w14:textId="77777777" w:rsidR="005D70F1" w:rsidRDefault="005D70F1">
      <w:pPr>
        <w:pStyle w:val="N-line3"/>
        <w:pBdr>
          <w:bottom w:val="none" w:sz="0" w:space="0" w:color="auto"/>
        </w:pBdr>
      </w:pPr>
    </w:p>
    <w:p w14:paraId="0F1B45CE" w14:textId="77777777" w:rsidR="005D70F1" w:rsidRDefault="005D70F1">
      <w:pPr>
        <w:pStyle w:val="N-line3"/>
        <w:pBdr>
          <w:top w:val="single" w:sz="12" w:space="1" w:color="auto"/>
          <w:bottom w:val="none" w:sz="0" w:space="0" w:color="auto"/>
        </w:pBdr>
      </w:pPr>
    </w:p>
    <w:bookmarkEnd w:id="0"/>
    <w:p w14:paraId="2451AB8E" w14:textId="77777777" w:rsidR="008F7667" w:rsidRPr="008F7667" w:rsidRDefault="008F7667" w:rsidP="008F7667">
      <w:pPr>
        <w:rPr>
          <w:rFonts w:ascii="Calibri" w:hAnsi="Calibri" w:cs="Calibri"/>
        </w:rPr>
      </w:pPr>
      <w:r w:rsidRPr="008F7667">
        <w:rPr>
          <w:rFonts w:ascii="Calibri" w:hAnsi="Calibri" w:cs="Calibri"/>
        </w:rPr>
        <w:t xml:space="preserve">These guidelines update and remake the LTCS Guidelines (Part </w:t>
      </w:r>
      <w:r w:rsidR="006A5682">
        <w:rPr>
          <w:rFonts w:ascii="Calibri" w:hAnsi="Calibri" w:cs="Calibri"/>
        </w:rPr>
        <w:t>1</w:t>
      </w:r>
      <w:r w:rsidRPr="008F7667">
        <w:rPr>
          <w:rFonts w:ascii="Calibri" w:hAnsi="Calibri" w:cs="Calibri"/>
        </w:rPr>
        <w:t xml:space="preserve">) made under the </w:t>
      </w:r>
      <w:r w:rsidRPr="008F7667">
        <w:rPr>
          <w:rFonts w:ascii="Calibri" w:hAnsi="Calibri" w:cs="Calibri"/>
          <w:i/>
        </w:rPr>
        <w:t>Lifetime Care and Support (Catastrophic Injuries) Act 2014</w:t>
      </w:r>
      <w:r w:rsidRPr="008F7667">
        <w:rPr>
          <w:rFonts w:ascii="Calibri" w:hAnsi="Calibri" w:cs="Calibri"/>
        </w:rPr>
        <w:t xml:space="preserve"> (LTCS Act). </w:t>
      </w:r>
    </w:p>
    <w:p w14:paraId="6C2F3782" w14:textId="77777777" w:rsidR="008F7667" w:rsidRPr="008F7667" w:rsidRDefault="008F7667" w:rsidP="008F7667">
      <w:pPr>
        <w:rPr>
          <w:rFonts w:ascii="Calibri" w:hAnsi="Calibri" w:cs="Calibri"/>
        </w:rPr>
      </w:pPr>
    </w:p>
    <w:p w14:paraId="6A7156A8" w14:textId="77777777" w:rsidR="008F7667" w:rsidRPr="008F7667" w:rsidRDefault="008F7667" w:rsidP="008F7667">
      <w:pPr>
        <w:rPr>
          <w:rFonts w:ascii="Calibri" w:hAnsi="Calibri" w:cs="Calibri"/>
        </w:rPr>
      </w:pPr>
      <w:r w:rsidRPr="008F7667">
        <w:rPr>
          <w:rFonts w:ascii="Calibri" w:hAnsi="Calibri" w:cs="Calibri"/>
        </w:rPr>
        <w:t>Section 93 of the LTCS Act provides that the Lifetime Care and Support Commissioner of the Australian Capital Territory (LTCS Commissioner) may make Guidelines to give effect to the operation of the LTCS Scheme.</w:t>
      </w:r>
    </w:p>
    <w:p w14:paraId="1916628B" w14:textId="77777777" w:rsidR="008F7667" w:rsidRPr="008F7667" w:rsidRDefault="008F7667" w:rsidP="008F7667">
      <w:pPr>
        <w:rPr>
          <w:rFonts w:ascii="Calibri" w:hAnsi="Calibri" w:cs="Calibri"/>
        </w:rPr>
      </w:pPr>
    </w:p>
    <w:p w14:paraId="0ACF3D79" w14:textId="77777777" w:rsidR="00682327" w:rsidRDefault="008F7667" w:rsidP="008F7667">
      <w:pPr>
        <w:rPr>
          <w:rFonts w:ascii="Calibri" w:hAnsi="Calibri" w:cs="Calibri"/>
        </w:rPr>
      </w:pPr>
      <w:r w:rsidRPr="008F7667">
        <w:rPr>
          <w:rFonts w:ascii="Calibri" w:hAnsi="Calibri" w:cs="Calibri"/>
        </w:rPr>
        <w:t xml:space="preserve">The LTCS Act was modelled on the NSW </w:t>
      </w:r>
      <w:r w:rsidRPr="008F7667">
        <w:rPr>
          <w:rFonts w:ascii="Calibri" w:hAnsi="Calibri" w:cs="Calibri"/>
          <w:i/>
        </w:rPr>
        <w:t>Motor Accidents (Lifetime Care and Support) Act 2006</w:t>
      </w:r>
      <w:r w:rsidRPr="008F7667">
        <w:rPr>
          <w:rFonts w:ascii="Calibri" w:hAnsi="Calibri" w:cs="Calibri"/>
        </w:rPr>
        <w:t xml:space="preserve">. This was to assist the ACT to </w:t>
      </w:r>
      <w:proofErr w:type="gramStart"/>
      <w:r w:rsidRPr="008F7667">
        <w:rPr>
          <w:rFonts w:ascii="Calibri" w:hAnsi="Calibri" w:cs="Calibri"/>
        </w:rPr>
        <w:t>enter into</w:t>
      </w:r>
      <w:proofErr w:type="gramEnd"/>
      <w:r w:rsidRPr="008F7667">
        <w:rPr>
          <w:rFonts w:ascii="Calibri" w:hAnsi="Calibri" w:cs="Calibri"/>
        </w:rPr>
        <w:t xml:space="preserve"> an arrangement with NSW to provide administration services and so provide consistent treatment and care for persons catastrophically injured in motor accidents and work injuries in the Capital Region. </w:t>
      </w:r>
    </w:p>
    <w:p w14:paraId="4B760FAA" w14:textId="77777777" w:rsidR="00682327" w:rsidRDefault="00682327" w:rsidP="008F7667">
      <w:pPr>
        <w:rPr>
          <w:rFonts w:ascii="Calibri" w:hAnsi="Calibri" w:cs="Calibri"/>
        </w:rPr>
      </w:pPr>
    </w:p>
    <w:p w14:paraId="0B43DC41" w14:textId="77777777" w:rsidR="000518DA" w:rsidRDefault="008F7667" w:rsidP="008F7667">
      <w:pPr>
        <w:rPr>
          <w:rFonts w:ascii="Calibri" w:hAnsi="Calibri" w:cs="Calibri"/>
        </w:rPr>
      </w:pPr>
      <w:r w:rsidRPr="008F7667">
        <w:rPr>
          <w:rFonts w:ascii="Calibri" w:hAnsi="Calibri" w:cs="Calibri"/>
        </w:rPr>
        <w:t xml:space="preserve">The LTCS Guidelines largely adopt the NSW guidelines, with minor changes made as necessary to reflect matters contained in the LTCS Act. </w:t>
      </w:r>
      <w:r w:rsidR="00A94097">
        <w:rPr>
          <w:rFonts w:ascii="Calibri" w:hAnsi="Calibri" w:cs="Calibri"/>
        </w:rPr>
        <w:t xml:space="preserve">The NSW Lifetime Care and Support Authority undertake regular reviews of their guidelines to resolve inconsistencies or ambiguity. The LTCS Commissioner is progressively updating guidelines </w:t>
      </w:r>
      <w:r w:rsidR="000518DA">
        <w:rPr>
          <w:rFonts w:ascii="Calibri" w:hAnsi="Calibri" w:cs="Calibri"/>
        </w:rPr>
        <w:t xml:space="preserve">following </w:t>
      </w:r>
      <w:r w:rsidR="00A94097">
        <w:rPr>
          <w:rFonts w:ascii="Calibri" w:hAnsi="Calibri" w:cs="Calibri"/>
        </w:rPr>
        <w:t xml:space="preserve">NSW’s </w:t>
      </w:r>
      <w:r w:rsidR="000518DA">
        <w:rPr>
          <w:rFonts w:ascii="Calibri" w:hAnsi="Calibri" w:cs="Calibri"/>
        </w:rPr>
        <w:t>review process</w:t>
      </w:r>
      <w:r w:rsidR="00A94097">
        <w:rPr>
          <w:rFonts w:ascii="Calibri" w:hAnsi="Calibri" w:cs="Calibri"/>
        </w:rPr>
        <w:t xml:space="preserve">. </w:t>
      </w:r>
    </w:p>
    <w:p w14:paraId="456567E1" w14:textId="77777777" w:rsidR="000518DA" w:rsidRDefault="000518DA" w:rsidP="008F7667">
      <w:pPr>
        <w:rPr>
          <w:rFonts w:ascii="Calibri" w:hAnsi="Calibri" w:cs="Calibri"/>
        </w:rPr>
      </w:pPr>
    </w:p>
    <w:p w14:paraId="5E4EFA67" w14:textId="77777777" w:rsidR="008F7667" w:rsidRPr="008F7667" w:rsidRDefault="00A94097" w:rsidP="008F7667">
      <w:pPr>
        <w:rPr>
          <w:rFonts w:ascii="Calibri" w:hAnsi="Calibri" w:cs="Calibri"/>
        </w:rPr>
      </w:pPr>
      <w:r>
        <w:rPr>
          <w:rFonts w:ascii="Calibri" w:hAnsi="Calibri" w:cs="Calibri"/>
        </w:rPr>
        <w:t>T</w:t>
      </w:r>
      <w:r w:rsidR="008F7667" w:rsidRPr="008F7667">
        <w:rPr>
          <w:rFonts w:ascii="Calibri" w:hAnsi="Calibri" w:cs="Calibri"/>
        </w:rPr>
        <w:t>he ACT’s guidelines</w:t>
      </w:r>
      <w:r>
        <w:rPr>
          <w:rFonts w:ascii="Calibri" w:hAnsi="Calibri" w:cs="Calibri"/>
        </w:rPr>
        <w:t xml:space="preserve"> continue to be</w:t>
      </w:r>
      <w:r w:rsidR="008F7667" w:rsidRPr="008F7667">
        <w:rPr>
          <w:rFonts w:ascii="Calibri" w:hAnsi="Calibri" w:cs="Calibri"/>
        </w:rPr>
        <w:t xml:space="preserve"> divided into parts</w:t>
      </w:r>
      <w:r>
        <w:rPr>
          <w:rFonts w:ascii="Calibri" w:hAnsi="Calibri" w:cs="Calibri"/>
        </w:rPr>
        <w:t xml:space="preserve"> where </w:t>
      </w:r>
      <w:r w:rsidR="008F7667" w:rsidRPr="008F7667">
        <w:rPr>
          <w:rFonts w:ascii="Calibri" w:hAnsi="Calibri" w:cs="Calibri"/>
        </w:rPr>
        <w:t>were numbered to match the NSW guidelines. The updated guidelines include within their heading the subject matter of the guidelines to assist identification</w:t>
      </w:r>
      <w:r>
        <w:rPr>
          <w:rFonts w:ascii="Calibri" w:hAnsi="Calibri" w:cs="Calibri"/>
        </w:rPr>
        <w:t xml:space="preserve"> while </w:t>
      </w:r>
      <w:r w:rsidR="00B66931">
        <w:rPr>
          <w:rFonts w:ascii="Calibri" w:hAnsi="Calibri" w:cs="Calibri"/>
        </w:rPr>
        <w:t xml:space="preserve">maintaining the part number within the instrument. This is to assist with administration when NSW is applying the ACT guidelines. </w:t>
      </w:r>
    </w:p>
    <w:p w14:paraId="16E92F31" w14:textId="77777777" w:rsidR="008F7667" w:rsidRPr="008F7667" w:rsidRDefault="008F7667" w:rsidP="008F7667">
      <w:pPr>
        <w:rPr>
          <w:rFonts w:ascii="Calibri" w:hAnsi="Calibri" w:cs="Calibri"/>
        </w:rPr>
      </w:pPr>
    </w:p>
    <w:p w14:paraId="0AC42240" w14:textId="77777777" w:rsidR="008F7667" w:rsidRPr="008F7667" w:rsidRDefault="008F7667" w:rsidP="008F7667">
      <w:pPr>
        <w:rPr>
          <w:rFonts w:ascii="Calibri" w:hAnsi="Calibri" w:cs="Calibri"/>
          <w:color w:val="000000"/>
        </w:rPr>
      </w:pPr>
      <w:r w:rsidRPr="008F7667">
        <w:rPr>
          <w:rFonts w:ascii="Calibri" w:hAnsi="Calibri" w:cs="Calibri"/>
        </w:rPr>
        <w:t xml:space="preserve">The LTCS Scheme is part of the </w:t>
      </w:r>
      <w:r w:rsidRPr="008F7667">
        <w:rPr>
          <w:rFonts w:ascii="Calibri" w:hAnsi="Calibri" w:cs="Calibri"/>
          <w:color w:val="000000"/>
        </w:rPr>
        <w:t xml:space="preserve">National Injury Insurance Scheme (NIIS), which is a federated model of state and territory based no-fault schemes providing lifetime care and support for people who have sustained a catastrophic motor accident or work injury. Under NIIS eligible persons suffering catastrophic injuries have a </w:t>
      </w:r>
      <w:r w:rsidRPr="008F7667">
        <w:rPr>
          <w:rFonts w:ascii="Calibri" w:hAnsi="Calibri" w:cs="Calibri"/>
          <w:color w:val="000000"/>
        </w:rPr>
        <w:lastRenderedPageBreak/>
        <w:t xml:space="preserve">minimum level of entitlement to receive reasonable and necessary treatment and care. The support and levels of treatment and care to be provided are specified by the LTCS Act and Guidelines. </w:t>
      </w:r>
    </w:p>
    <w:p w14:paraId="2162B49D" w14:textId="77777777" w:rsidR="008F7667" w:rsidRDefault="008F7667" w:rsidP="008F7667">
      <w:pPr>
        <w:rPr>
          <w:rFonts w:ascii="Calibri" w:hAnsi="Calibri" w:cs="Calibri"/>
          <w:color w:val="000000"/>
        </w:rPr>
      </w:pPr>
    </w:p>
    <w:p w14:paraId="62B7A9D3" w14:textId="77777777" w:rsidR="000518DA" w:rsidRDefault="000518DA" w:rsidP="008F7667">
      <w:pPr>
        <w:rPr>
          <w:rFonts w:ascii="Calibri" w:hAnsi="Calibri" w:cs="Calibri"/>
          <w:i/>
          <w:iCs/>
          <w:color w:val="000000"/>
        </w:rPr>
      </w:pPr>
      <w:r>
        <w:rPr>
          <w:rFonts w:ascii="Calibri" w:hAnsi="Calibri" w:cs="Calibri"/>
          <w:i/>
          <w:iCs/>
          <w:color w:val="000000"/>
        </w:rPr>
        <w:t>Description of the Part</w:t>
      </w:r>
    </w:p>
    <w:p w14:paraId="3AFAE5BC" w14:textId="77777777" w:rsidR="000518DA" w:rsidRPr="000518DA" w:rsidRDefault="000518DA" w:rsidP="008F7667">
      <w:pPr>
        <w:rPr>
          <w:rFonts w:ascii="Calibri" w:hAnsi="Calibri" w:cs="Calibri"/>
          <w:i/>
          <w:iCs/>
          <w:color w:val="000000"/>
        </w:rPr>
      </w:pPr>
    </w:p>
    <w:p w14:paraId="464C2E38" w14:textId="77777777" w:rsidR="006808EB" w:rsidRDefault="006808EB" w:rsidP="006808EB">
      <w:pPr>
        <w:rPr>
          <w:rFonts w:asciiTheme="minorHAnsi" w:hAnsiTheme="minorHAnsi" w:cs="Aptos"/>
        </w:rPr>
      </w:pPr>
      <w:r w:rsidRPr="006808EB">
        <w:rPr>
          <w:rFonts w:asciiTheme="minorHAnsi" w:hAnsiTheme="minorHAnsi" w:cs="Aptos"/>
        </w:rPr>
        <w:t>This Part</w:t>
      </w:r>
      <w:r w:rsidR="00E527E8">
        <w:rPr>
          <w:rFonts w:asciiTheme="minorHAnsi" w:hAnsiTheme="minorHAnsi" w:cs="Aptos"/>
        </w:rPr>
        <w:t xml:space="preserve"> reorders the previous </w:t>
      </w:r>
      <w:r w:rsidR="00682327">
        <w:rPr>
          <w:rFonts w:asciiTheme="minorHAnsi" w:hAnsiTheme="minorHAnsi" w:cs="Aptos"/>
        </w:rPr>
        <w:t xml:space="preserve">eligibility </w:t>
      </w:r>
      <w:r w:rsidR="00E527E8">
        <w:rPr>
          <w:rFonts w:asciiTheme="minorHAnsi" w:hAnsiTheme="minorHAnsi" w:cs="Aptos"/>
        </w:rPr>
        <w:t>guidelines and</w:t>
      </w:r>
      <w:r w:rsidRPr="006808EB">
        <w:rPr>
          <w:rFonts w:asciiTheme="minorHAnsi" w:hAnsiTheme="minorHAnsi" w:cs="Aptos"/>
        </w:rPr>
        <w:t xml:space="preserve"> provides further detail on the application process</w:t>
      </w:r>
      <w:r w:rsidR="00E527E8">
        <w:rPr>
          <w:rFonts w:asciiTheme="minorHAnsi" w:hAnsiTheme="minorHAnsi" w:cs="Aptos"/>
        </w:rPr>
        <w:t xml:space="preserve">. This includes </w:t>
      </w:r>
      <w:r w:rsidRPr="006808EB">
        <w:rPr>
          <w:rFonts w:asciiTheme="minorHAnsi" w:hAnsiTheme="minorHAnsi" w:cs="Aptos"/>
        </w:rPr>
        <w:t xml:space="preserve">the information required for the LTCS Commissioner to determine eligibility, including the ability to request additional information within specified timeframes and to require assessments to inform consideration of relevant injury criteria. It also provides administrative flexibility by allowing the LTCS Commissioner to treat incomplete applications as complete in appropriate circumstances, bring forward decisions about lifetime participation before the end of the interim period, and withdraw and remake decisions where an error of law or fact has affected an interim eligibility determination. </w:t>
      </w:r>
    </w:p>
    <w:p w14:paraId="7395FAC6" w14:textId="77777777" w:rsidR="006808EB" w:rsidRPr="006808EB" w:rsidRDefault="006808EB" w:rsidP="006808EB">
      <w:pPr>
        <w:rPr>
          <w:rFonts w:asciiTheme="minorHAnsi" w:hAnsiTheme="minorHAnsi" w:cs="Aptos"/>
        </w:rPr>
      </w:pPr>
    </w:p>
    <w:p w14:paraId="5BC2755D" w14:textId="77777777" w:rsidR="006808EB" w:rsidRDefault="006808EB" w:rsidP="006808EB">
      <w:pPr>
        <w:rPr>
          <w:rFonts w:asciiTheme="minorHAnsi" w:hAnsiTheme="minorHAnsi" w:cs="Aptos"/>
        </w:rPr>
      </w:pPr>
      <w:r w:rsidRPr="006808EB">
        <w:rPr>
          <w:rFonts w:asciiTheme="minorHAnsi" w:hAnsiTheme="minorHAnsi" w:cs="Aptos"/>
        </w:rPr>
        <w:t xml:space="preserve">The Part clarifies </w:t>
      </w:r>
      <w:r w:rsidR="00E527E8">
        <w:rPr>
          <w:rFonts w:asciiTheme="minorHAnsi" w:hAnsiTheme="minorHAnsi" w:cs="Aptos"/>
        </w:rPr>
        <w:t xml:space="preserve">the </w:t>
      </w:r>
      <w:r w:rsidRPr="006808EB">
        <w:rPr>
          <w:rFonts w:asciiTheme="minorHAnsi" w:hAnsiTheme="minorHAnsi" w:cs="Aptos"/>
        </w:rPr>
        <w:t>evidentiary requirements for eligibility, including that a suitably qualified medical specialist must</w:t>
      </w:r>
      <w:r w:rsidR="00262117">
        <w:rPr>
          <w:rFonts w:asciiTheme="minorHAnsi" w:hAnsiTheme="minorHAnsi" w:cs="Aptos"/>
        </w:rPr>
        <w:t>,</w:t>
      </w:r>
      <w:r w:rsidRPr="006808EB">
        <w:rPr>
          <w:rFonts w:asciiTheme="minorHAnsi" w:hAnsiTheme="minorHAnsi" w:cs="Aptos"/>
        </w:rPr>
        <w:t xml:space="preserve"> </w:t>
      </w:r>
      <w:r w:rsidR="00262117" w:rsidRPr="00262117">
        <w:rPr>
          <w:rFonts w:ascii="Calibri" w:hAnsi="Calibri" w:cs="Aptos"/>
        </w:rPr>
        <w:t>having examined the person</w:t>
      </w:r>
      <w:r w:rsidR="00262117">
        <w:rPr>
          <w:rFonts w:ascii="Calibri" w:hAnsi="Calibri" w:cs="Aptos"/>
        </w:rPr>
        <w:t>,</w:t>
      </w:r>
      <w:r w:rsidR="00262117" w:rsidRPr="00262117">
        <w:rPr>
          <w:rFonts w:ascii="Calibri" w:hAnsi="Calibri" w:cs="Aptos"/>
        </w:rPr>
        <w:t xml:space="preserve"> </w:t>
      </w:r>
      <w:r w:rsidRPr="006808EB">
        <w:rPr>
          <w:rFonts w:asciiTheme="minorHAnsi" w:hAnsiTheme="minorHAnsi" w:cs="Aptos"/>
        </w:rPr>
        <w:t>certify that the injured person meets the criteria and considered any relevant assessment scores</w:t>
      </w:r>
      <w:r w:rsidR="00E527E8">
        <w:rPr>
          <w:rFonts w:asciiTheme="minorHAnsi" w:hAnsiTheme="minorHAnsi" w:cs="Aptos"/>
        </w:rPr>
        <w:t xml:space="preserve"> required by the guidelines</w:t>
      </w:r>
      <w:r w:rsidRPr="006808EB">
        <w:rPr>
          <w:rFonts w:asciiTheme="minorHAnsi" w:hAnsiTheme="minorHAnsi" w:cs="Aptos"/>
        </w:rPr>
        <w:t xml:space="preserve">. </w:t>
      </w:r>
    </w:p>
    <w:p w14:paraId="4E1D5F4E" w14:textId="77777777" w:rsidR="006808EB" w:rsidRPr="006808EB" w:rsidRDefault="006808EB" w:rsidP="006808EB">
      <w:pPr>
        <w:rPr>
          <w:rFonts w:asciiTheme="minorHAnsi" w:hAnsiTheme="minorHAnsi" w:cs="Aptos"/>
        </w:rPr>
      </w:pPr>
    </w:p>
    <w:p w14:paraId="57DE0A1A" w14:textId="77777777" w:rsidR="006808EB" w:rsidRDefault="006808EB" w:rsidP="006808EB">
      <w:pPr>
        <w:rPr>
          <w:rFonts w:asciiTheme="minorHAnsi" w:hAnsiTheme="minorHAnsi" w:cs="Aptos"/>
        </w:rPr>
      </w:pPr>
      <w:r w:rsidRPr="006808EB">
        <w:rPr>
          <w:rFonts w:asciiTheme="minorHAnsi" w:hAnsiTheme="minorHAnsi" w:cs="Aptos"/>
        </w:rPr>
        <w:t>It also provides additional clarification on the application of eligibility criteria, including for persons with impairments equivalent to amputation, and for young children with brain injuries or burns where standard assessment approaches may not</w:t>
      </w:r>
      <w:r w:rsidR="00E527E8">
        <w:rPr>
          <w:rFonts w:asciiTheme="minorHAnsi" w:hAnsiTheme="minorHAnsi" w:cs="Aptos"/>
        </w:rPr>
        <w:t xml:space="preserve"> be appropriate</w:t>
      </w:r>
      <w:r w:rsidRPr="006808EB">
        <w:rPr>
          <w:rFonts w:asciiTheme="minorHAnsi" w:hAnsiTheme="minorHAnsi" w:cs="Aptos"/>
        </w:rPr>
        <w:t xml:space="preserve">. </w:t>
      </w:r>
    </w:p>
    <w:p w14:paraId="7C366E52" w14:textId="77777777" w:rsidR="006808EB" w:rsidRDefault="006808EB" w:rsidP="006808EB">
      <w:pPr>
        <w:rPr>
          <w:rFonts w:asciiTheme="minorHAnsi" w:hAnsiTheme="minorHAnsi" w:cs="Aptos"/>
        </w:rPr>
      </w:pPr>
    </w:p>
    <w:p w14:paraId="4F3328B0" w14:textId="77777777" w:rsidR="00E527E8" w:rsidRDefault="00E527E8" w:rsidP="006808EB">
      <w:pPr>
        <w:rPr>
          <w:rFonts w:asciiTheme="minorHAnsi" w:hAnsiTheme="minorHAnsi" w:cs="Aptos"/>
        </w:rPr>
      </w:pPr>
      <w:r>
        <w:rPr>
          <w:rFonts w:asciiTheme="minorHAnsi" w:hAnsiTheme="minorHAnsi" w:cs="Aptos"/>
        </w:rPr>
        <w:t>The Guidelines provide guidance by when to make an application and a</w:t>
      </w:r>
      <w:r w:rsidR="006808EB" w:rsidRPr="006808EB">
        <w:rPr>
          <w:rFonts w:asciiTheme="minorHAnsi" w:hAnsiTheme="minorHAnsi" w:cs="Aptos"/>
        </w:rPr>
        <w:t>llows the LTCS Commissioner to extend</w:t>
      </w:r>
      <w:r>
        <w:rPr>
          <w:rFonts w:asciiTheme="minorHAnsi" w:hAnsiTheme="minorHAnsi" w:cs="Aptos"/>
        </w:rPr>
        <w:t xml:space="preserve"> the timeframe if an explanation is made that fully and satisfactorily explains the delay. </w:t>
      </w:r>
    </w:p>
    <w:p w14:paraId="78ACCD2A" w14:textId="77777777" w:rsidR="008F7667" w:rsidRPr="008F7667" w:rsidRDefault="008F7667" w:rsidP="008F7667">
      <w:pPr>
        <w:rPr>
          <w:rFonts w:ascii="Calibri" w:hAnsi="Calibri" w:cs="Calibri"/>
          <w:color w:val="000000"/>
        </w:rPr>
      </w:pPr>
    </w:p>
    <w:p w14:paraId="1847AD4F" w14:textId="77777777" w:rsidR="008F7667" w:rsidRPr="008F7667" w:rsidRDefault="008F7667" w:rsidP="008F7667">
      <w:pPr>
        <w:rPr>
          <w:rFonts w:ascii="Calibri" w:hAnsi="Calibri" w:cs="Calibri"/>
          <w:i/>
          <w:iCs/>
          <w:color w:val="000000"/>
        </w:rPr>
      </w:pPr>
      <w:r w:rsidRPr="008F7667">
        <w:rPr>
          <w:rFonts w:ascii="Calibri" w:hAnsi="Calibri" w:cs="Calibri"/>
          <w:i/>
          <w:iCs/>
          <w:color w:val="000000"/>
        </w:rPr>
        <w:t xml:space="preserve">Consistency with Human Rights </w:t>
      </w:r>
    </w:p>
    <w:p w14:paraId="10D07CA7" w14:textId="77777777" w:rsidR="008F7667" w:rsidRPr="008F7667" w:rsidRDefault="008F7667" w:rsidP="008F7667">
      <w:pPr>
        <w:rPr>
          <w:rFonts w:ascii="Calibri" w:hAnsi="Calibri" w:cs="Calibri"/>
          <w:i/>
          <w:iCs/>
          <w:color w:val="000000"/>
        </w:rPr>
      </w:pPr>
    </w:p>
    <w:p w14:paraId="294ADB0D" w14:textId="77777777" w:rsidR="00E527E8" w:rsidRDefault="008F7667" w:rsidP="008F7667">
      <w:pPr>
        <w:rPr>
          <w:rFonts w:ascii="Calibri" w:hAnsi="Calibri" w:cs="Calibri"/>
          <w:color w:val="000000"/>
        </w:rPr>
      </w:pPr>
      <w:r w:rsidRPr="008F7667">
        <w:rPr>
          <w:rFonts w:ascii="Calibri" w:hAnsi="Calibri" w:cs="Calibri"/>
          <w:color w:val="000000"/>
        </w:rPr>
        <w:t xml:space="preserve">The guidelines are considered to promote human rights, by providing guidance on </w:t>
      </w:r>
      <w:r w:rsidR="00E527E8">
        <w:rPr>
          <w:rFonts w:ascii="Calibri" w:hAnsi="Calibri" w:cs="Calibri"/>
          <w:color w:val="000000"/>
        </w:rPr>
        <w:t xml:space="preserve">eligibility criteria that the LTCS Commissioner is to consider </w:t>
      </w:r>
      <w:r w:rsidR="00682327">
        <w:rPr>
          <w:rFonts w:ascii="Calibri" w:hAnsi="Calibri" w:cs="Calibri"/>
          <w:color w:val="000000"/>
        </w:rPr>
        <w:t xml:space="preserve">for an application </w:t>
      </w:r>
      <w:r w:rsidR="00E527E8">
        <w:rPr>
          <w:rFonts w:ascii="Calibri" w:hAnsi="Calibri" w:cs="Calibri"/>
          <w:color w:val="000000"/>
        </w:rPr>
        <w:t xml:space="preserve">to participate in the LTCS Scheme. </w:t>
      </w:r>
      <w:r w:rsidR="00682327">
        <w:rPr>
          <w:rFonts w:ascii="Calibri" w:hAnsi="Calibri" w:cs="Calibri"/>
          <w:color w:val="000000"/>
        </w:rPr>
        <w:t xml:space="preserve">In addition, the guidelines set out the types of information that is to be authorised to be provided to the LTCS Commissioner to determine eligibility. The Act has provisions that allow for information to be shared between the LTCS Commissioner, insurers, hospitals and the NSW Lifetime Care and Support Authority, the administration partner for the ACT Scheme. </w:t>
      </w:r>
    </w:p>
    <w:p w14:paraId="37C24708" w14:textId="77777777" w:rsidR="00682327" w:rsidRDefault="00682327" w:rsidP="008F7667">
      <w:pPr>
        <w:rPr>
          <w:rFonts w:ascii="Calibri" w:hAnsi="Calibri" w:cs="Calibri"/>
          <w:color w:val="000000"/>
        </w:rPr>
      </w:pPr>
    </w:p>
    <w:p w14:paraId="332BD86C" w14:textId="77777777" w:rsidR="00682327" w:rsidRPr="00682327" w:rsidRDefault="00682327" w:rsidP="008F7667">
      <w:pPr>
        <w:rPr>
          <w:rFonts w:ascii="Calibri" w:hAnsi="Calibri" w:cs="Calibri"/>
          <w:i/>
          <w:iCs/>
          <w:color w:val="000000"/>
        </w:rPr>
      </w:pPr>
      <w:r>
        <w:rPr>
          <w:rFonts w:ascii="Calibri" w:hAnsi="Calibri" w:cs="Calibri"/>
          <w:color w:val="000000"/>
        </w:rPr>
        <w:t xml:space="preserve">The collection of the information may engage an injured person’s or interim participant’s right to privacy and reputation recognised by section 12 of the </w:t>
      </w:r>
      <w:r w:rsidRPr="008F7667">
        <w:rPr>
          <w:rFonts w:ascii="Calibri" w:hAnsi="Calibri" w:cs="Calibri"/>
          <w:i/>
          <w:iCs/>
          <w:color w:val="000000"/>
        </w:rPr>
        <w:t>Human Rights Act 2004</w:t>
      </w:r>
      <w:r w:rsidRPr="00FE0728">
        <w:rPr>
          <w:rFonts w:ascii="Calibri" w:hAnsi="Calibri" w:cs="Calibri"/>
          <w:color w:val="000000"/>
        </w:rPr>
        <w:t>.</w:t>
      </w:r>
      <w:r>
        <w:rPr>
          <w:rFonts w:ascii="Calibri" w:hAnsi="Calibri" w:cs="Calibri"/>
          <w:color w:val="000000"/>
        </w:rPr>
        <w:t xml:space="preserve"> By clearly setting out the expectation of the information to be provided or collected and who it may be lawfully shared with, the injured person is informed and assisted</w:t>
      </w:r>
      <w:r w:rsidR="00262117">
        <w:rPr>
          <w:rFonts w:ascii="Calibri" w:hAnsi="Calibri" w:cs="Calibri"/>
          <w:color w:val="000000"/>
        </w:rPr>
        <w:t xml:space="preserve"> with the application</w:t>
      </w:r>
      <w:r>
        <w:rPr>
          <w:rFonts w:ascii="Calibri" w:hAnsi="Calibri" w:cs="Calibri"/>
          <w:color w:val="000000"/>
        </w:rPr>
        <w:t xml:space="preserve">. </w:t>
      </w:r>
    </w:p>
    <w:p w14:paraId="341A6AE5" w14:textId="77777777" w:rsidR="00E527E8" w:rsidRDefault="00E527E8" w:rsidP="008F7667">
      <w:pPr>
        <w:rPr>
          <w:rFonts w:ascii="Calibri" w:hAnsi="Calibri" w:cs="Calibri"/>
          <w:color w:val="000000"/>
        </w:rPr>
      </w:pPr>
    </w:p>
    <w:p w14:paraId="7483ADDA" w14:textId="77777777" w:rsidR="00E527E8" w:rsidRDefault="00E527E8" w:rsidP="008F7667">
      <w:pPr>
        <w:rPr>
          <w:rFonts w:ascii="Calibri" w:hAnsi="Calibri" w:cs="Calibri"/>
          <w:color w:val="000000"/>
        </w:rPr>
      </w:pPr>
    </w:p>
    <w:sectPr w:rsidR="00E527E8" w:rsidSect="004C4A40">
      <w:footerReference w:type="default" r:id="rId7"/>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9FFF" w14:textId="77777777" w:rsidR="008A5F29" w:rsidRDefault="008A5F29">
      <w:r>
        <w:separator/>
      </w:r>
    </w:p>
  </w:endnote>
  <w:endnote w:type="continuationSeparator" w:id="0">
    <w:p w14:paraId="6CBD49C9" w14:textId="77777777" w:rsidR="008A5F29" w:rsidRDefault="008A5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Light">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23D5E" w14:textId="2D840BF3" w:rsidR="00BA2864" w:rsidRPr="00356FDF" w:rsidRDefault="00356FDF" w:rsidP="00356FDF">
    <w:pPr>
      <w:pStyle w:val="Footer"/>
      <w:jc w:val="center"/>
      <w:rPr>
        <w:rFonts w:cs="Arial"/>
        <w:sz w:val="14"/>
      </w:rPr>
    </w:pPr>
    <w:r w:rsidRPr="00356FDF">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41A2C" w14:textId="77777777" w:rsidR="008A5F29" w:rsidRDefault="008A5F29">
      <w:r>
        <w:separator/>
      </w:r>
    </w:p>
  </w:footnote>
  <w:footnote w:type="continuationSeparator" w:id="0">
    <w:p w14:paraId="7C3E4180" w14:textId="77777777" w:rsidR="008A5F29" w:rsidRDefault="008A5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FFFFFFFF"/>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FFFFFFFF"/>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9C0D30"/>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BF3D0F"/>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5D9351A"/>
    <w:multiLevelType w:val="hybridMultilevel"/>
    <w:tmpl w:val="FFFFFFFF"/>
    <w:lvl w:ilvl="0" w:tplc="35125A9C">
      <w:start w:val="4"/>
      <w:numFmt w:val="bullet"/>
      <w:lvlText w:val="-"/>
      <w:lvlJc w:val="left"/>
      <w:pPr>
        <w:ind w:left="1080" w:hanging="360"/>
      </w:pPr>
      <w:rPr>
        <w:rFonts w:ascii="Times New Roman" w:eastAsia="Times New Roman" w:hAnsi="Times New Roman" w:hint="default"/>
        <w:color w:val="auto"/>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4501507"/>
    <w:multiLevelType w:val="hybridMultilevel"/>
    <w:tmpl w:val="FFFFFFFF"/>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7" w15:restartNumberingAfterBreak="0">
    <w:nsid w:val="362F614E"/>
    <w:multiLevelType w:val="hybridMultilevel"/>
    <w:tmpl w:val="FFFFFFFF"/>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8" w15:restartNumberingAfterBreak="0">
    <w:nsid w:val="37086305"/>
    <w:multiLevelType w:val="singleLevel"/>
    <w:tmpl w:val="FFFFFFFF"/>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384E3B8D"/>
    <w:multiLevelType w:val="hybridMultilevel"/>
    <w:tmpl w:val="FFFFFFFF"/>
    <w:lvl w:ilvl="0" w:tplc="95403E86">
      <w:start w:val="3"/>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5D4C7F"/>
    <w:multiLevelType w:val="hybridMultilevel"/>
    <w:tmpl w:val="FFFFFFFF"/>
    <w:lvl w:ilvl="0" w:tplc="0602EAE0">
      <w:start w:val="81"/>
      <w:numFmt w:val="bullet"/>
      <w:lvlText w:val="-"/>
      <w:lvlJc w:val="left"/>
      <w:pPr>
        <w:ind w:left="360" w:hanging="360"/>
      </w:pPr>
      <w:rPr>
        <w:rFonts w:ascii="Times New Roman" w:eastAsia="Times New Roman" w:hAnsi="Times New Roman"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E9A50D7"/>
    <w:multiLevelType w:val="hybridMultilevel"/>
    <w:tmpl w:val="FFFFFFFF"/>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16cid:durableId="765881531">
    <w:abstractNumId w:val="2"/>
  </w:num>
  <w:num w:numId="2" w16cid:durableId="571350586">
    <w:abstractNumId w:val="0"/>
  </w:num>
  <w:num w:numId="3" w16cid:durableId="1542356729">
    <w:abstractNumId w:val="4"/>
  </w:num>
  <w:num w:numId="4" w16cid:durableId="1956446353">
    <w:abstractNumId w:val="8"/>
  </w:num>
  <w:num w:numId="5" w16cid:durableId="1588689539">
    <w:abstractNumId w:val="11"/>
  </w:num>
  <w:num w:numId="6" w16cid:durableId="1308559096">
    <w:abstractNumId w:val="1"/>
  </w:num>
  <w:num w:numId="7" w16cid:durableId="2001427171">
    <w:abstractNumId w:val="6"/>
  </w:num>
  <w:num w:numId="8" w16cid:durableId="2017492051">
    <w:abstractNumId w:val="7"/>
  </w:num>
  <w:num w:numId="9" w16cid:durableId="1446315529">
    <w:abstractNumId w:val="9"/>
  </w:num>
  <w:num w:numId="10" w16cid:durableId="799306809">
    <w:abstractNumId w:val="10"/>
  </w:num>
  <w:num w:numId="11" w16cid:durableId="259606620">
    <w:abstractNumId w:val="3"/>
  </w:num>
  <w:num w:numId="12" w16cid:durableId="12091471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4252F"/>
    <w:rsid w:val="000016B8"/>
    <w:rsid w:val="00027E05"/>
    <w:rsid w:val="000518DA"/>
    <w:rsid w:val="000626F1"/>
    <w:rsid w:val="00081CA7"/>
    <w:rsid w:val="0009543C"/>
    <w:rsid w:val="000A6F77"/>
    <w:rsid w:val="000A7BB6"/>
    <w:rsid w:val="000B0433"/>
    <w:rsid w:val="000F4E1A"/>
    <w:rsid w:val="001218FC"/>
    <w:rsid w:val="0012249D"/>
    <w:rsid w:val="0014547A"/>
    <w:rsid w:val="001573E8"/>
    <w:rsid w:val="00176EB5"/>
    <w:rsid w:val="001A0A42"/>
    <w:rsid w:val="001A1061"/>
    <w:rsid w:val="001A4219"/>
    <w:rsid w:val="001B5999"/>
    <w:rsid w:val="001C6278"/>
    <w:rsid w:val="001E5254"/>
    <w:rsid w:val="00222A72"/>
    <w:rsid w:val="00240DB9"/>
    <w:rsid w:val="00244979"/>
    <w:rsid w:val="00256449"/>
    <w:rsid w:val="00256716"/>
    <w:rsid w:val="00262117"/>
    <w:rsid w:val="002878A7"/>
    <w:rsid w:val="00290D95"/>
    <w:rsid w:val="0029350C"/>
    <w:rsid w:val="00295A2A"/>
    <w:rsid w:val="002A0175"/>
    <w:rsid w:val="002B4399"/>
    <w:rsid w:val="002C66EC"/>
    <w:rsid w:val="00313684"/>
    <w:rsid w:val="00336CEF"/>
    <w:rsid w:val="00356F86"/>
    <w:rsid w:val="00356FDF"/>
    <w:rsid w:val="0036765D"/>
    <w:rsid w:val="00376645"/>
    <w:rsid w:val="00390118"/>
    <w:rsid w:val="00394EA3"/>
    <w:rsid w:val="003B41E5"/>
    <w:rsid w:val="003D53A7"/>
    <w:rsid w:val="0041092C"/>
    <w:rsid w:val="0043038C"/>
    <w:rsid w:val="00461256"/>
    <w:rsid w:val="004656DC"/>
    <w:rsid w:val="00471C05"/>
    <w:rsid w:val="00496F8A"/>
    <w:rsid w:val="004B1B5F"/>
    <w:rsid w:val="004B41BE"/>
    <w:rsid w:val="004C4A40"/>
    <w:rsid w:val="004D1B2A"/>
    <w:rsid w:val="004D5CBF"/>
    <w:rsid w:val="004D7913"/>
    <w:rsid w:val="005005FD"/>
    <w:rsid w:val="005058B7"/>
    <w:rsid w:val="00525898"/>
    <w:rsid w:val="00531D86"/>
    <w:rsid w:val="00532CFB"/>
    <w:rsid w:val="0054432D"/>
    <w:rsid w:val="00563D2D"/>
    <w:rsid w:val="0056763C"/>
    <w:rsid w:val="0057273E"/>
    <w:rsid w:val="00594976"/>
    <w:rsid w:val="005B0835"/>
    <w:rsid w:val="005D70F1"/>
    <w:rsid w:val="00620C9E"/>
    <w:rsid w:val="0062581C"/>
    <w:rsid w:val="00654789"/>
    <w:rsid w:val="006556AF"/>
    <w:rsid w:val="00655C27"/>
    <w:rsid w:val="0065739D"/>
    <w:rsid w:val="006608F0"/>
    <w:rsid w:val="006808EB"/>
    <w:rsid w:val="00682327"/>
    <w:rsid w:val="00685CEF"/>
    <w:rsid w:val="00693D3A"/>
    <w:rsid w:val="006A5682"/>
    <w:rsid w:val="006A74B8"/>
    <w:rsid w:val="006C2D35"/>
    <w:rsid w:val="006C6AE6"/>
    <w:rsid w:val="0074585D"/>
    <w:rsid w:val="00763E7F"/>
    <w:rsid w:val="00781D7D"/>
    <w:rsid w:val="00792219"/>
    <w:rsid w:val="007A7220"/>
    <w:rsid w:val="007C5DD0"/>
    <w:rsid w:val="007C5E84"/>
    <w:rsid w:val="007D36F1"/>
    <w:rsid w:val="007E3125"/>
    <w:rsid w:val="008312CC"/>
    <w:rsid w:val="00832400"/>
    <w:rsid w:val="0083316F"/>
    <w:rsid w:val="00836A7B"/>
    <w:rsid w:val="00852671"/>
    <w:rsid w:val="008567E5"/>
    <w:rsid w:val="008A5F29"/>
    <w:rsid w:val="008B5549"/>
    <w:rsid w:val="008C6A82"/>
    <w:rsid w:val="008D5C48"/>
    <w:rsid w:val="008F7667"/>
    <w:rsid w:val="00906D73"/>
    <w:rsid w:val="009078F8"/>
    <w:rsid w:val="00912D94"/>
    <w:rsid w:val="009247EC"/>
    <w:rsid w:val="009311FB"/>
    <w:rsid w:val="009448D1"/>
    <w:rsid w:val="00947D0A"/>
    <w:rsid w:val="00957880"/>
    <w:rsid w:val="00985C02"/>
    <w:rsid w:val="00987115"/>
    <w:rsid w:val="009A49E4"/>
    <w:rsid w:val="009B1D30"/>
    <w:rsid w:val="009D53DB"/>
    <w:rsid w:val="00A00669"/>
    <w:rsid w:val="00A056E4"/>
    <w:rsid w:val="00A10B4C"/>
    <w:rsid w:val="00A22468"/>
    <w:rsid w:val="00A224D7"/>
    <w:rsid w:val="00A51DCB"/>
    <w:rsid w:val="00A81541"/>
    <w:rsid w:val="00A94097"/>
    <w:rsid w:val="00AE6433"/>
    <w:rsid w:val="00AF2CD9"/>
    <w:rsid w:val="00B53ED9"/>
    <w:rsid w:val="00B54842"/>
    <w:rsid w:val="00B66931"/>
    <w:rsid w:val="00B66CA1"/>
    <w:rsid w:val="00BA2864"/>
    <w:rsid w:val="00BB062B"/>
    <w:rsid w:val="00BB3D40"/>
    <w:rsid w:val="00C4252F"/>
    <w:rsid w:val="00C6121E"/>
    <w:rsid w:val="00C93082"/>
    <w:rsid w:val="00CB5053"/>
    <w:rsid w:val="00CD1F2F"/>
    <w:rsid w:val="00CE18F5"/>
    <w:rsid w:val="00CE25E4"/>
    <w:rsid w:val="00CE5252"/>
    <w:rsid w:val="00CE686D"/>
    <w:rsid w:val="00CF3756"/>
    <w:rsid w:val="00D13C0E"/>
    <w:rsid w:val="00D20801"/>
    <w:rsid w:val="00D67065"/>
    <w:rsid w:val="00D810D2"/>
    <w:rsid w:val="00D87A61"/>
    <w:rsid w:val="00D949A8"/>
    <w:rsid w:val="00D96858"/>
    <w:rsid w:val="00DB626E"/>
    <w:rsid w:val="00DC108A"/>
    <w:rsid w:val="00DC33D4"/>
    <w:rsid w:val="00DD1D68"/>
    <w:rsid w:val="00DE7B7D"/>
    <w:rsid w:val="00E24BE1"/>
    <w:rsid w:val="00E26467"/>
    <w:rsid w:val="00E379AB"/>
    <w:rsid w:val="00E4738F"/>
    <w:rsid w:val="00E527E8"/>
    <w:rsid w:val="00E967D6"/>
    <w:rsid w:val="00ED56B1"/>
    <w:rsid w:val="00EE5027"/>
    <w:rsid w:val="00EF198D"/>
    <w:rsid w:val="00EF2333"/>
    <w:rsid w:val="00EF41B8"/>
    <w:rsid w:val="00F000F5"/>
    <w:rsid w:val="00F03E86"/>
    <w:rsid w:val="00F07C98"/>
    <w:rsid w:val="00F317BC"/>
    <w:rsid w:val="00F43281"/>
    <w:rsid w:val="00F54D38"/>
    <w:rsid w:val="00F66AEF"/>
    <w:rsid w:val="00F774DD"/>
    <w:rsid w:val="00F832E9"/>
    <w:rsid w:val="00F86460"/>
    <w:rsid w:val="00F86A24"/>
    <w:rsid w:val="00FB3EF2"/>
    <w:rsid w:val="00FC431E"/>
    <w:rsid w:val="00FC52AE"/>
    <w:rsid w:val="00FD08B7"/>
    <w:rsid w:val="00FE07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419EFF"/>
  <w14:defaultImageDpi w14:val="0"/>
  <w15:docId w15:val="{81BE2FB1-3608-4D94-A610-7E4CEE41E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rPr>
      <w:rFonts w:cs="Times New Roman"/>
      <w:sz w:val="24"/>
      <w:lang w:val="x-none" w:eastAsia="en-US"/>
    </w:rPr>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b/>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227"/>
      </w:numPr>
      <w:spacing w:before="80" w:after="60"/>
      <w:jc w:val="both"/>
      <w:outlineLvl w:val="6"/>
    </w:pPr>
  </w:style>
  <w:style w:type="paragraph" w:customStyle="1" w:styleId="Asubpara">
    <w:name w:val="A subpara"/>
    <w:basedOn w:val="Normal"/>
    <w:pPr>
      <w:numPr>
        <w:ilvl w:val="7"/>
        <w:numId w:val="227"/>
      </w:numPr>
      <w:spacing w:before="80" w:after="60"/>
      <w:jc w:val="both"/>
      <w:outlineLvl w:val="7"/>
    </w:pPr>
  </w:style>
  <w:style w:type="paragraph" w:customStyle="1" w:styleId="Asubsubpara">
    <w:name w:val="A subsubpara"/>
    <w:basedOn w:val="Normal"/>
    <w:pPr>
      <w:numPr>
        <w:ilvl w:val="8"/>
        <w:numId w:val="227"/>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b/>
    </w:rPr>
  </w:style>
  <w:style w:type="paragraph" w:styleId="Header">
    <w:name w:val="header"/>
    <w:basedOn w:val="Normal"/>
    <w:link w:val="HeaderChar"/>
    <w:uiPriority w:val="99"/>
    <w:pPr>
      <w:tabs>
        <w:tab w:val="left" w:pos="2880"/>
        <w:tab w:val="center" w:pos="4153"/>
        <w:tab w:val="right" w:pos="8306"/>
      </w:tabs>
    </w:pPr>
  </w:style>
  <w:style w:type="character" w:customStyle="1" w:styleId="HeaderChar">
    <w:name w:val="Header Char"/>
    <w:basedOn w:val="DefaultParagraphFont"/>
    <w:link w:val="Header"/>
    <w:uiPriority w:val="99"/>
    <w:semiHidden/>
    <w:rPr>
      <w:rFonts w:cs="Times New Roman"/>
      <w:sz w:val="24"/>
      <w:lang w:val="x-none" w:eastAsia="en-US"/>
    </w:rPr>
  </w:style>
  <w:style w:type="paragraph" w:customStyle="1" w:styleId="ref">
    <w:name w:val="ref"/>
    <w:basedOn w:val="Normal"/>
    <w:next w:val="Normal"/>
    <w:pPr>
      <w:spacing w:after="60"/>
      <w:jc w:val="both"/>
    </w:pPr>
    <w:rPr>
      <w:sz w:val="18"/>
    </w:rPr>
  </w:style>
  <w:style w:type="character" w:customStyle="1" w:styleId="CharDivText">
    <w:name w:val="CharDivText"/>
    <w:basedOn w:val="DefaultParagraphFont"/>
    <w:rPr>
      <w:rFonts w:cs="Times New Roman"/>
    </w:rPr>
  </w:style>
  <w:style w:type="paragraph" w:customStyle="1" w:styleId="CoverInForce">
    <w:name w:val="CoverInForce"/>
    <w:basedOn w:val="Normal"/>
    <w:pPr>
      <w:tabs>
        <w:tab w:val="left" w:pos="2600"/>
      </w:tabs>
      <w:spacing w:before="200" w:after="60"/>
      <w:jc w:val="both"/>
    </w:pPr>
    <w:rPr>
      <w:rFonts w:ascii="Arial" w:hAnsi="Arial"/>
    </w:rPr>
  </w:style>
  <w:style w:type="paragraph" w:customStyle="1" w:styleId="AFHdg">
    <w:name w:val="AFHdg"/>
    <w:basedOn w:val="Normal"/>
    <w:pPr>
      <w:tabs>
        <w:tab w:val="left" w:pos="2600"/>
      </w:tabs>
      <w:spacing w:before="80" w:after="60"/>
      <w:jc w:val="both"/>
    </w:pPr>
    <w:rPr>
      <w:rFonts w:ascii="Arial" w:hAnsi="Arial"/>
      <w:b/>
      <w:sz w:val="32"/>
    </w:rPr>
  </w:style>
  <w:style w:type="paragraph" w:customStyle="1" w:styleId="ApprFormHd">
    <w:name w:val="ApprFormHd"/>
    <w:basedOn w:val="Normal"/>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Pr>
      <w:rFonts w:cs="Times New Roman"/>
    </w:rPr>
  </w:style>
  <w:style w:type="paragraph" w:customStyle="1" w:styleId="Aparabullet">
    <w:name w:val="A para bullet"/>
    <w:basedOn w:val="Normal"/>
    <w:pPr>
      <w:numPr>
        <w:numId w:val="4"/>
      </w:numPr>
    </w:pPr>
  </w:style>
  <w:style w:type="paragraph" w:styleId="TOC1">
    <w:name w:val="toc 1"/>
    <w:basedOn w:val="Normal"/>
    <w:next w:val="Normal"/>
    <w:autoRedefine/>
    <w:uiPriority w:val="39"/>
    <w:semiHidden/>
  </w:style>
  <w:style w:type="paragraph" w:styleId="TOC2">
    <w:name w:val="toc 2"/>
    <w:basedOn w:val="Normal"/>
    <w:next w:val="Normal"/>
    <w:autoRedefine/>
    <w:uiPriority w:val="39"/>
    <w:semiHidden/>
    <w:pPr>
      <w:ind w:left="240"/>
    </w:pPr>
  </w:style>
  <w:style w:type="paragraph" w:styleId="TOC3">
    <w:name w:val="toc 3"/>
    <w:basedOn w:val="Normal"/>
    <w:next w:val="Normal"/>
    <w:autoRedefine/>
    <w:uiPriority w:val="39"/>
    <w:semiHidden/>
    <w:pPr>
      <w:ind w:left="480"/>
    </w:pPr>
  </w:style>
  <w:style w:type="paragraph" w:styleId="TOC4">
    <w:name w:val="toc 4"/>
    <w:basedOn w:val="Normal"/>
    <w:next w:val="Normal"/>
    <w:autoRedefine/>
    <w:uiPriority w:val="39"/>
    <w:semiHidden/>
    <w:pPr>
      <w:ind w:left="720"/>
    </w:pPr>
  </w:style>
  <w:style w:type="paragraph" w:styleId="TOC5">
    <w:name w:val="toc 5"/>
    <w:basedOn w:val="Normal"/>
    <w:next w:val="Normal"/>
    <w:autoRedefine/>
    <w:uiPriority w:val="39"/>
    <w:semiHidden/>
    <w:pPr>
      <w:ind w:left="960"/>
    </w:pPr>
  </w:style>
  <w:style w:type="paragraph" w:styleId="TOC6">
    <w:name w:val="toc 6"/>
    <w:basedOn w:val="Normal"/>
    <w:next w:val="Normal"/>
    <w:autoRedefine/>
    <w:uiPriority w:val="39"/>
    <w:semiHidden/>
    <w:pPr>
      <w:ind w:left="1200"/>
    </w:pPr>
  </w:style>
  <w:style w:type="paragraph" w:styleId="TOC7">
    <w:name w:val="toc 7"/>
    <w:basedOn w:val="Normal"/>
    <w:next w:val="Normal"/>
    <w:autoRedefine/>
    <w:uiPriority w:val="39"/>
    <w:semiHidden/>
    <w:pPr>
      <w:ind w:left="1440"/>
    </w:pPr>
  </w:style>
  <w:style w:type="paragraph" w:styleId="TOC8">
    <w:name w:val="toc 8"/>
    <w:basedOn w:val="Normal"/>
    <w:next w:val="Normal"/>
    <w:autoRedefine/>
    <w:uiPriority w:val="39"/>
    <w:semiHidden/>
    <w:pPr>
      <w:ind w:left="1680"/>
    </w:pPr>
  </w:style>
  <w:style w:type="paragraph" w:styleId="TOC9">
    <w:name w:val="toc 9"/>
    <w:basedOn w:val="Normal"/>
    <w:next w:val="Normal"/>
    <w:autoRedefine/>
    <w:uiPriority w:val="39"/>
    <w:semiHidden/>
    <w:pPr>
      <w:ind w:left="1920"/>
    </w:pPr>
  </w:style>
  <w:style w:type="character" w:styleId="Hyperlink">
    <w:name w:val="Hyperlink"/>
    <w:basedOn w:val="DefaultParagraphFont"/>
    <w:uiPriority w:val="99"/>
    <w:rPr>
      <w:rFonts w:cs="Times New Roman"/>
      <w:color w:val="0000FF"/>
      <w:u w:val="single"/>
    </w:rPr>
  </w:style>
  <w:style w:type="paragraph" w:styleId="BodyTextIndent">
    <w:name w:val="Body Text Indent"/>
    <w:basedOn w:val="Normal"/>
    <w:link w:val="BodyTextIndentChar"/>
    <w:uiPriority w:val="99"/>
    <w:pPr>
      <w:spacing w:before="120" w:after="60"/>
      <w:ind w:left="709"/>
    </w:pPr>
  </w:style>
  <w:style w:type="character" w:customStyle="1" w:styleId="BodyTextIndentChar">
    <w:name w:val="Body Text Indent Char"/>
    <w:basedOn w:val="DefaultParagraphFont"/>
    <w:link w:val="BodyTextIndent"/>
    <w:uiPriority w:val="99"/>
    <w:semiHidden/>
    <w:rPr>
      <w:rFonts w:cs="Times New Roman"/>
      <w:sz w:val="24"/>
      <w:lang w:val="x-none" w:eastAsia="en-US"/>
    </w:rPr>
  </w:style>
  <w:style w:type="paragraph" w:customStyle="1" w:styleId="Minister">
    <w:name w:val="Minister"/>
    <w:basedOn w:val="Normal"/>
    <w:pPr>
      <w:spacing w:before="880" w:after="60"/>
      <w:jc w:val="right"/>
    </w:pPr>
    <w:rPr>
      <w:caps/>
      <w:szCs w:val="24"/>
    </w:rPr>
  </w:style>
  <w:style w:type="paragraph" w:customStyle="1" w:styleId="DateLine">
    <w:name w:val="DateLine"/>
    <w:basedOn w:val="Normal"/>
    <w:pPr>
      <w:tabs>
        <w:tab w:val="left" w:pos="4320"/>
      </w:tabs>
      <w:spacing w:before="80" w:after="60"/>
      <w:jc w:val="both"/>
    </w:pPr>
    <w:rPr>
      <w:szCs w:val="24"/>
    </w:rPr>
  </w:style>
  <w:style w:type="paragraph" w:customStyle="1" w:styleId="MinisterWord">
    <w:name w:val="MinisterWord"/>
    <w:basedOn w:val="Normal"/>
    <w:pPr>
      <w:tabs>
        <w:tab w:val="left" w:pos="2880"/>
      </w:tabs>
      <w:jc w:val="right"/>
    </w:pPr>
    <w:rPr>
      <w:szCs w:val="24"/>
    </w:rPr>
  </w:style>
  <w:style w:type="character" w:styleId="FollowedHyperlink">
    <w:name w:val="FollowedHyperlink"/>
    <w:basedOn w:val="DefaultParagraphFont"/>
    <w:uiPriority w:val="99"/>
    <w:rPr>
      <w:rFonts w:cs="Times New Roman"/>
      <w:color w:val="800080"/>
      <w:u w:val="single"/>
    </w:rPr>
  </w:style>
  <w:style w:type="character" w:styleId="FootnoteReference">
    <w:name w:val="footnote reference"/>
    <w:basedOn w:val="DefaultParagraphFont"/>
    <w:uiPriority w:val="99"/>
    <w:semiHidden/>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pPr>
      <w:spacing w:before="80" w:after="60"/>
      <w:jc w:val="both"/>
    </w:pPr>
    <w:rPr>
      <w:szCs w:val="24"/>
    </w:rPr>
  </w:style>
  <w:style w:type="character" w:customStyle="1" w:styleId="FootnoteTextChar">
    <w:name w:val="Footnote Text Char"/>
    <w:basedOn w:val="DefaultParagraphFont"/>
    <w:link w:val="FootnoteText"/>
    <w:uiPriority w:val="99"/>
    <w:semiHidden/>
    <w:rPr>
      <w:rFonts w:cs="Times New Roman"/>
      <w:lang w:val="x-none" w:eastAsia="en-US"/>
    </w:r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Pr>
      <w:rFonts w:cs="Times New Roman"/>
    </w:rPr>
  </w:style>
  <w:style w:type="paragraph" w:styleId="BalloonText">
    <w:name w:val="Balloon Text"/>
    <w:basedOn w:val="Normal"/>
    <w:link w:val="BalloonTextChar"/>
    <w:uiPriority w:val="99"/>
    <w:rsid w:val="00CD1F2F"/>
    <w:rPr>
      <w:rFonts w:ascii="Tahoma" w:hAnsi="Tahoma" w:cs="Tahoma"/>
      <w:sz w:val="16"/>
      <w:szCs w:val="16"/>
    </w:rPr>
  </w:style>
  <w:style w:type="character" w:customStyle="1" w:styleId="BalloonTextChar">
    <w:name w:val="Balloon Text Char"/>
    <w:basedOn w:val="DefaultParagraphFont"/>
    <w:link w:val="BalloonText"/>
    <w:uiPriority w:val="99"/>
    <w:locked/>
    <w:rsid w:val="00CD1F2F"/>
    <w:rPr>
      <w:rFonts w:ascii="Tahoma" w:hAnsi="Tahoma" w:cs="Tahoma"/>
      <w:sz w:val="16"/>
      <w:szCs w:val="16"/>
      <w:lang w:val="x-none" w:eastAsia="en-US"/>
    </w:rPr>
  </w:style>
  <w:style w:type="character" w:styleId="CommentReference">
    <w:name w:val="annotation reference"/>
    <w:basedOn w:val="DefaultParagraphFont"/>
    <w:uiPriority w:val="99"/>
    <w:rsid w:val="00CD1F2F"/>
    <w:rPr>
      <w:rFonts w:cs="Times New Roman"/>
      <w:sz w:val="16"/>
      <w:szCs w:val="16"/>
    </w:rPr>
  </w:style>
  <w:style w:type="paragraph" w:styleId="CommentText">
    <w:name w:val="annotation text"/>
    <w:basedOn w:val="Normal"/>
    <w:link w:val="CommentTextChar"/>
    <w:uiPriority w:val="99"/>
    <w:rsid w:val="00CD1F2F"/>
    <w:rPr>
      <w:sz w:val="20"/>
    </w:rPr>
  </w:style>
  <w:style w:type="character" w:customStyle="1" w:styleId="CommentTextChar">
    <w:name w:val="Comment Text Char"/>
    <w:basedOn w:val="DefaultParagraphFont"/>
    <w:link w:val="CommentText"/>
    <w:uiPriority w:val="99"/>
    <w:locked/>
    <w:rsid w:val="00CD1F2F"/>
    <w:rPr>
      <w:rFonts w:cs="Times New Roman"/>
      <w:lang w:val="x-none" w:eastAsia="en-US"/>
    </w:rPr>
  </w:style>
  <w:style w:type="paragraph" w:styleId="CommentSubject">
    <w:name w:val="annotation subject"/>
    <w:basedOn w:val="CommentText"/>
    <w:next w:val="CommentText"/>
    <w:link w:val="CommentSubjectChar"/>
    <w:uiPriority w:val="99"/>
    <w:rsid w:val="00CD1F2F"/>
    <w:rPr>
      <w:b/>
      <w:bCs/>
    </w:rPr>
  </w:style>
  <w:style w:type="character" w:customStyle="1" w:styleId="CommentSubjectChar">
    <w:name w:val="Comment Subject Char"/>
    <w:basedOn w:val="CommentTextChar"/>
    <w:link w:val="CommentSubject"/>
    <w:uiPriority w:val="99"/>
    <w:locked/>
    <w:rsid w:val="00CD1F2F"/>
    <w:rPr>
      <w:rFonts w:cs="Times New Roman"/>
      <w:b/>
      <w:bCs/>
      <w:lang w:val="x-none" w:eastAsia="en-US"/>
    </w:rPr>
  </w:style>
  <w:style w:type="paragraph" w:styleId="Revision">
    <w:name w:val="Revision"/>
    <w:hidden/>
    <w:uiPriority w:val="99"/>
    <w:semiHidden/>
    <w:rsid w:val="00CD1F2F"/>
    <w:rPr>
      <w:sz w:val="24"/>
      <w:lang w:eastAsia="en-US"/>
    </w:rPr>
  </w:style>
  <w:style w:type="paragraph" w:customStyle="1" w:styleId="Default">
    <w:name w:val="Default"/>
    <w:rsid w:val="001B5999"/>
    <w:pPr>
      <w:autoSpaceDE w:val="0"/>
      <w:autoSpaceDN w:val="0"/>
      <w:adjustRightInd w:val="0"/>
    </w:pPr>
    <w:rPr>
      <w:rFonts w:ascii="Gotham Light" w:hAnsi="Gotham Light" w:cs="Gotham Light"/>
      <w:color w:val="000000"/>
      <w:sz w:val="24"/>
      <w:szCs w:val="24"/>
      <w:lang w:eastAsia="en-US"/>
    </w:rPr>
  </w:style>
  <w:style w:type="paragraph" w:styleId="ListParagraph">
    <w:name w:val="List Paragraph"/>
    <w:basedOn w:val="Normal"/>
    <w:uiPriority w:val="34"/>
    <w:qFormat/>
    <w:rsid w:val="00BB062B"/>
    <w:pPr>
      <w:ind w:left="720"/>
      <w:contextualSpacing/>
    </w:pPr>
  </w:style>
  <w:style w:type="character" w:styleId="UnresolvedMention">
    <w:name w:val="Unresolved Mention"/>
    <w:basedOn w:val="DefaultParagraphFont"/>
    <w:uiPriority w:val="99"/>
    <w:semiHidden/>
    <w:unhideWhenUsed/>
    <w:rsid w:val="006808EB"/>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724</Words>
  <Characters>3951</Characters>
  <Application>Microsoft Office Word</Application>
  <DocSecurity>0</DocSecurity>
  <Lines>303</Lines>
  <Paragraphs>150</Paragraphs>
  <ScaleCrop>false</ScaleCrop>
  <Company>InTACT</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Moxon, KarenL</cp:lastModifiedBy>
  <cp:revision>2</cp:revision>
  <cp:lastPrinted>2014-06-17T04:51:00Z</cp:lastPrinted>
  <dcterms:created xsi:type="dcterms:W3CDTF">2026-07-14T02:32:00Z</dcterms:created>
  <dcterms:modified xsi:type="dcterms:W3CDTF">2026-07-14T02:32:00Z</dcterms:modified>
</cp:coreProperties>
</file>