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2CEB3"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5C009226" w14:textId="7945C8A3" w:rsidR="00F10CB2" w:rsidRPr="0031337E" w:rsidRDefault="0031337E">
      <w:pPr>
        <w:pStyle w:val="Billname"/>
        <w:spacing w:before="700"/>
        <w:rPr>
          <w:iCs/>
        </w:rPr>
      </w:pPr>
      <w:bookmarkStart w:id="1" w:name="_Hlk218782081"/>
      <w:r w:rsidRPr="0031337E">
        <w:rPr>
          <w:iCs/>
        </w:rPr>
        <w:t xml:space="preserve">Gaming </w:t>
      </w:r>
      <w:r w:rsidR="00B91FE9">
        <w:rPr>
          <w:iCs/>
        </w:rPr>
        <w:t>and Racing Control</w:t>
      </w:r>
      <w:r w:rsidRPr="0031337E">
        <w:rPr>
          <w:iCs/>
        </w:rPr>
        <w:t xml:space="preserve"> (</w:t>
      </w:r>
      <w:r w:rsidR="00B91FE9">
        <w:rPr>
          <w:iCs/>
        </w:rPr>
        <w:t xml:space="preserve">Code of Practice) </w:t>
      </w:r>
      <w:r w:rsidRPr="0031337E">
        <w:rPr>
          <w:iCs/>
        </w:rPr>
        <w:t>Amendment Regulation 202</w:t>
      </w:r>
      <w:r w:rsidR="00B91FE9">
        <w:rPr>
          <w:iCs/>
        </w:rPr>
        <w:t>6</w:t>
      </w:r>
      <w:r w:rsidR="00DC253F">
        <w:rPr>
          <w:iCs/>
        </w:rPr>
        <w:t xml:space="preserve"> (No</w:t>
      </w:r>
      <w:r w:rsidR="004548C3">
        <w:rPr>
          <w:iCs/>
        </w:rPr>
        <w:t> 1</w:t>
      </w:r>
      <w:r w:rsidR="00DC253F">
        <w:rPr>
          <w:iCs/>
        </w:rPr>
        <w:t>)</w:t>
      </w:r>
    </w:p>
    <w:bookmarkEnd w:id="1"/>
    <w:p w14:paraId="1CF3B5F1" w14:textId="790FE2EB" w:rsidR="00F10CB2" w:rsidRDefault="0031337E" w:rsidP="00D47F13">
      <w:pPr>
        <w:spacing w:before="340"/>
        <w:rPr>
          <w:rFonts w:ascii="Arial" w:hAnsi="Arial" w:cs="Arial"/>
          <w:b/>
          <w:bCs/>
        </w:rPr>
      </w:pPr>
      <w:r>
        <w:rPr>
          <w:rFonts w:ascii="Arial" w:hAnsi="Arial" w:cs="Arial"/>
          <w:b/>
          <w:bCs/>
        </w:rPr>
        <w:t xml:space="preserve">Subordinate </w:t>
      </w:r>
      <w:r w:rsidR="002747A4">
        <w:rPr>
          <w:rFonts w:ascii="Arial" w:hAnsi="Arial" w:cs="Arial"/>
          <w:b/>
          <w:bCs/>
        </w:rPr>
        <w:t>l</w:t>
      </w:r>
      <w:r>
        <w:rPr>
          <w:rFonts w:ascii="Arial" w:hAnsi="Arial" w:cs="Arial"/>
          <w:b/>
          <w:bCs/>
        </w:rPr>
        <w:t>aw SL202</w:t>
      </w:r>
      <w:r w:rsidR="00B91FE9">
        <w:rPr>
          <w:rFonts w:ascii="Arial" w:hAnsi="Arial" w:cs="Arial"/>
          <w:b/>
          <w:bCs/>
        </w:rPr>
        <w:t>6</w:t>
      </w:r>
      <w:r w:rsidR="00F10CB2">
        <w:rPr>
          <w:rFonts w:ascii="Arial" w:hAnsi="Arial" w:cs="Arial"/>
          <w:b/>
          <w:bCs/>
        </w:rPr>
        <w:t>–</w:t>
      </w:r>
      <w:r w:rsidR="001E29CE">
        <w:rPr>
          <w:rFonts w:ascii="Arial" w:hAnsi="Arial" w:cs="Arial"/>
          <w:b/>
          <w:bCs/>
        </w:rPr>
        <w:t>15</w:t>
      </w:r>
    </w:p>
    <w:p w14:paraId="4C9794E0" w14:textId="77777777" w:rsidR="00F10CB2" w:rsidRDefault="00F10CB2" w:rsidP="00CD4E55">
      <w:pPr>
        <w:pStyle w:val="madeunder"/>
        <w:spacing w:before="300" w:after="0"/>
      </w:pPr>
      <w:r>
        <w:t xml:space="preserve">made under the  </w:t>
      </w:r>
    </w:p>
    <w:p w14:paraId="6E37234C" w14:textId="3036EFEE" w:rsidR="00F10CB2" w:rsidRDefault="00B91FE9" w:rsidP="00CD4E55">
      <w:pPr>
        <w:pStyle w:val="CoverActName"/>
        <w:spacing w:before="320" w:after="0"/>
        <w:rPr>
          <w:rFonts w:cs="Arial"/>
          <w:sz w:val="20"/>
        </w:rPr>
      </w:pPr>
      <w:r w:rsidRPr="00B91FE9">
        <w:rPr>
          <w:rFonts w:cs="Arial"/>
          <w:sz w:val="20"/>
        </w:rPr>
        <w:t>Gambling and Racing Control</w:t>
      </w:r>
      <w:r>
        <w:rPr>
          <w:rFonts w:cs="Arial"/>
          <w:sz w:val="20"/>
        </w:rPr>
        <w:t xml:space="preserve"> Act 1999</w:t>
      </w:r>
      <w:r w:rsidR="00F10CB2">
        <w:rPr>
          <w:rFonts w:cs="Arial"/>
          <w:sz w:val="20"/>
        </w:rPr>
        <w:t xml:space="preserve">, </w:t>
      </w:r>
      <w:r w:rsidR="0031337E" w:rsidRPr="00B91FE9">
        <w:rPr>
          <w:rFonts w:cs="Arial"/>
          <w:sz w:val="20"/>
        </w:rPr>
        <w:t xml:space="preserve">s </w:t>
      </w:r>
      <w:r w:rsidRPr="00B91FE9">
        <w:rPr>
          <w:rFonts w:cs="Arial"/>
          <w:sz w:val="20"/>
        </w:rPr>
        <w:t>54</w:t>
      </w:r>
      <w:r w:rsidR="0031337E" w:rsidRPr="00B91FE9">
        <w:rPr>
          <w:rFonts w:cs="Arial"/>
          <w:sz w:val="20"/>
        </w:rPr>
        <w:t xml:space="preserve"> </w:t>
      </w:r>
      <w:r w:rsidR="00F10CB2" w:rsidRPr="00B91FE9">
        <w:rPr>
          <w:rFonts w:cs="Arial"/>
          <w:sz w:val="20"/>
        </w:rPr>
        <w:t>(</w:t>
      </w:r>
      <w:r w:rsidR="0031337E" w:rsidRPr="00B91FE9">
        <w:rPr>
          <w:rFonts w:cs="Arial"/>
          <w:sz w:val="20"/>
        </w:rPr>
        <w:t>Regulation-making power</w:t>
      </w:r>
      <w:r w:rsidR="00F10CB2" w:rsidRPr="00B91FE9">
        <w:rPr>
          <w:rFonts w:cs="Arial"/>
          <w:sz w:val="20"/>
        </w:rPr>
        <w:t>)</w:t>
      </w:r>
    </w:p>
    <w:p w14:paraId="54521737" w14:textId="77777777" w:rsidR="00F10CB2" w:rsidRDefault="00F10CB2" w:rsidP="00CD4E55">
      <w:pPr>
        <w:pStyle w:val="N-line3"/>
        <w:pBdr>
          <w:bottom w:val="none" w:sz="0" w:space="0" w:color="auto"/>
        </w:pBdr>
        <w:spacing w:before="60"/>
      </w:pPr>
    </w:p>
    <w:p w14:paraId="205EBB38" w14:textId="1AAABF42" w:rsidR="0031337E" w:rsidRPr="0031337E" w:rsidRDefault="0031337E" w:rsidP="0031337E">
      <w:pPr>
        <w:rPr>
          <w:rFonts w:ascii="Arial" w:hAnsi="Arial" w:cs="Arial"/>
          <w:b/>
          <w:bCs/>
          <w:sz w:val="28"/>
          <w:szCs w:val="22"/>
        </w:rPr>
      </w:pPr>
      <w:r w:rsidRPr="0031337E">
        <w:rPr>
          <w:rFonts w:ascii="Arial" w:hAnsi="Arial" w:cs="Arial"/>
          <w:b/>
          <w:bCs/>
          <w:sz w:val="28"/>
          <w:szCs w:val="22"/>
        </w:rPr>
        <w:t>EXPLANATORY STATEMENT</w:t>
      </w:r>
    </w:p>
    <w:p w14:paraId="4CE9E4A6" w14:textId="77777777" w:rsidR="0031337E" w:rsidRPr="0031337E" w:rsidRDefault="0031337E" w:rsidP="0031337E"/>
    <w:p w14:paraId="6C517584" w14:textId="77777777" w:rsidR="00F10CB2" w:rsidRDefault="00F10CB2">
      <w:pPr>
        <w:pStyle w:val="N-line3"/>
        <w:pBdr>
          <w:top w:val="single" w:sz="12" w:space="1" w:color="auto"/>
          <w:bottom w:val="none" w:sz="0" w:space="0" w:color="auto"/>
        </w:pBdr>
      </w:pPr>
    </w:p>
    <w:p w14:paraId="18AB08CB" w14:textId="66452D54" w:rsidR="00F10CB2" w:rsidRDefault="0031337E" w:rsidP="0031337E">
      <w:pPr>
        <w:spacing w:before="140"/>
      </w:pPr>
      <w:r w:rsidRPr="0031337E">
        <w:t>This</w:t>
      </w:r>
      <w:r>
        <w:t xml:space="preserve"> explanatory statement relates to the </w:t>
      </w:r>
      <w:bookmarkStart w:id="2" w:name="_Hlk218782593"/>
      <w:r w:rsidR="00B91FE9" w:rsidRPr="00B91FE9">
        <w:rPr>
          <w:i/>
          <w:iCs/>
        </w:rPr>
        <w:t xml:space="preserve">Gaming and Racing Control (Code of Practice) Amendment Regulation 2026 (No </w:t>
      </w:r>
      <w:r w:rsidR="004548C3">
        <w:rPr>
          <w:i/>
          <w:iCs/>
        </w:rPr>
        <w:t>1</w:t>
      </w:r>
      <w:r w:rsidR="00B91FE9" w:rsidRPr="00B91FE9">
        <w:rPr>
          <w:i/>
          <w:iCs/>
        </w:rPr>
        <w:t>)</w:t>
      </w:r>
      <w:r>
        <w:t>(</w:t>
      </w:r>
      <w:bookmarkEnd w:id="2"/>
      <w:r w:rsidRPr="00DC253F">
        <w:rPr>
          <w:b/>
          <w:bCs/>
          <w:i/>
          <w:iCs/>
        </w:rPr>
        <w:t>the</w:t>
      </w:r>
      <w:r>
        <w:t xml:space="preserve"> </w:t>
      </w:r>
      <w:r w:rsidR="00E80313">
        <w:rPr>
          <w:b/>
          <w:bCs/>
          <w:i/>
          <w:iCs/>
        </w:rPr>
        <w:t>Regulation</w:t>
      </w:r>
      <w:r>
        <w:t xml:space="preserve">) as made by the Executive. It has been prepared to assist the reader of the </w:t>
      </w:r>
      <w:r w:rsidR="00E80313">
        <w:t>Regulation</w:t>
      </w:r>
      <w:r>
        <w:t xml:space="preserve">. It does not form part of the </w:t>
      </w:r>
      <w:r w:rsidR="00E80313">
        <w:t xml:space="preserve">Regulation </w:t>
      </w:r>
      <w:r>
        <w:t xml:space="preserve">and has not been endorsed by the Legislative Assembly. </w:t>
      </w:r>
    </w:p>
    <w:p w14:paraId="326B0AAF" w14:textId="49421B0D" w:rsidR="0031337E" w:rsidRDefault="0031337E" w:rsidP="0031337E">
      <w:pPr>
        <w:spacing w:before="140"/>
      </w:pPr>
      <w:r>
        <w:t xml:space="preserve">This statement must be read in conjunction with the </w:t>
      </w:r>
      <w:r w:rsidR="00E80313">
        <w:t>Regulation</w:t>
      </w:r>
      <w:r>
        <w:t xml:space="preserve">. It is not, and is not meant to be, a comprehensive description of the </w:t>
      </w:r>
      <w:r w:rsidR="00E80313">
        <w:t>Regulation</w:t>
      </w:r>
      <w:r>
        <w:t>. What is said about a provision is not taken as an authoritative guide to the meaning of a provision, this being a task for the courts.</w:t>
      </w:r>
    </w:p>
    <w:p w14:paraId="2161D127" w14:textId="5BF24DC9" w:rsidR="0031337E" w:rsidRPr="00823C44" w:rsidRDefault="0031337E" w:rsidP="003F3D15">
      <w:pPr>
        <w:keepNext/>
        <w:spacing w:before="240" w:after="240"/>
        <w:rPr>
          <w:rFonts w:ascii="Arial" w:hAnsi="Arial" w:cs="Arial"/>
          <w:b/>
          <w:bCs/>
        </w:rPr>
      </w:pPr>
      <w:r w:rsidRPr="00823C44">
        <w:rPr>
          <w:rFonts w:ascii="Arial" w:hAnsi="Arial" w:cs="Arial"/>
          <w:b/>
          <w:bCs/>
        </w:rPr>
        <w:t>BACKGROUND</w:t>
      </w:r>
    </w:p>
    <w:p w14:paraId="2B2E8C16" w14:textId="4AC05F78" w:rsidR="00B91FE9" w:rsidRDefault="00B91FE9" w:rsidP="00B91FE9">
      <w:pPr>
        <w:keepNext/>
        <w:spacing w:before="240" w:after="240"/>
      </w:pPr>
      <w:r>
        <w:t>In the ACT</w:t>
      </w:r>
      <w:r w:rsidR="000555E8">
        <w:t>,</w:t>
      </w:r>
      <w:r>
        <w:t xml:space="preserve"> a gaming machine licensee must not operate a gaming machine between 4am and 9am.</w:t>
      </w:r>
    </w:p>
    <w:p w14:paraId="5C3AB61C" w14:textId="24B48C4A" w:rsidR="00B91FE9" w:rsidRDefault="00B91FE9" w:rsidP="00B91FE9">
      <w:pPr>
        <w:keepNext/>
        <w:spacing w:before="240" w:after="240"/>
      </w:pPr>
      <w:r>
        <w:t xml:space="preserve">The purpose of this Regulation is to amend the </w:t>
      </w:r>
      <w:r w:rsidRPr="00B91FE9">
        <w:rPr>
          <w:i/>
          <w:iCs/>
        </w:rPr>
        <w:t>Gambling and Racing Control (Code of Practice) Regulation 2002</w:t>
      </w:r>
      <w:r>
        <w:t xml:space="preserve"> to extend the shutdown period in which licensees must</w:t>
      </w:r>
      <w:r w:rsidR="00BA7277">
        <w:t xml:space="preserve"> </w:t>
      </w:r>
      <w:r>
        <w:t>not operate</w:t>
      </w:r>
      <w:r w:rsidR="00775B47">
        <w:t xml:space="preserve"> electronic</w:t>
      </w:r>
      <w:r>
        <w:t xml:space="preserve"> gaming machines </w:t>
      </w:r>
      <w:r w:rsidR="00775B47">
        <w:t xml:space="preserve">(EGMs) </w:t>
      </w:r>
      <w:r>
        <w:t>which will limit the availability and accessibility of gaming machines in the ACT.</w:t>
      </w:r>
    </w:p>
    <w:p w14:paraId="5E95F0E2" w14:textId="3809B5A2" w:rsidR="004A3EAF" w:rsidRDefault="004A3EAF" w:rsidP="00B91FE9">
      <w:pPr>
        <w:keepNext/>
        <w:spacing w:before="240" w:after="240"/>
      </w:pPr>
      <w:r w:rsidRPr="00D7215B">
        <w:t xml:space="preserve">The 2024 ACT Gambling Survey noted that comprehensive approaches to reducing harm from </w:t>
      </w:r>
      <w:r w:rsidR="00775B47">
        <w:t>EGMs</w:t>
      </w:r>
      <w:r w:rsidRPr="00D7215B">
        <w:t xml:space="preserve"> should incorporate evidence-based harm prevention and reduction policy, legislation and measures including, but not limited to, reducing the availability and accessibility of high-risk gambling products</w:t>
      </w:r>
      <w:r>
        <w:t>.</w:t>
      </w:r>
    </w:p>
    <w:p w14:paraId="417C2BF7" w14:textId="3FC74F51" w:rsidR="001D481D" w:rsidRPr="00823C44" w:rsidRDefault="001D481D" w:rsidP="00B91FE9">
      <w:pPr>
        <w:keepNext/>
        <w:spacing w:before="240" w:after="240"/>
        <w:rPr>
          <w:rFonts w:ascii="Arial" w:hAnsi="Arial" w:cs="Arial"/>
          <w:b/>
          <w:bCs/>
        </w:rPr>
      </w:pPr>
      <w:r w:rsidRPr="00823C44">
        <w:rPr>
          <w:rFonts w:ascii="Arial" w:hAnsi="Arial" w:cs="Arial"/>
          <w:b/>
          <w:bCs/>
        </w:rPr>
        <w:t>OVERVIEW OF THE REGULATION</w:t>
      </w:r>
    </w:p>
    <w:p w14:paraId="043B69BD" w14:textId="01D89655" w:rsidR="00B91FE9" w:rsidRDefault="001E536E" w:rsidP="00B91FE9">
      <w:pPr>
        <w:spacing w:before="140"/>
      </w:pPr>
      <w:r>
        <w:t xml:space="preserve">The </w:t>
      </w:r>
      <w:r w:rsidR="00E80313">
        <w:t xml:space="preserve">Regulation </w:t>
      </w:r>
      <w:r>
        <w:t xml:space="preserve">amends the </w:t>
      </w:r>
      <w:r w:rsidR="00B91FE9" w:rsidRPr="00B91FE9">
        <w:rPr>
          <w:i/>
          <w:iCs/>
        </w:rPr>
        <w:t>Gambling and Racing Control (Code of Practice) Regulation 2002</w:t>
      </w:r>
      <w:r w:rsidR="00B91FE9" w:rsidRPr="00B91FE9">
        <w:t xml:space="preserve"> to extend the shutdown period in which licensees must not operate gaming machines which will limit the availability and accessibility of gaming machines in the ACT.</w:t>
      </w:r>
      <w:r w:rsidR="000554C7">
        <w:t xml:space="preserve"> </w:t>
      </w:r>
    </w:p>
    <w:p w14:paraId="04D840FE" w14:textId="1B21812E" w:rsidR="00775B47" w:rsidRPr="00E53CD6" w:rsidRDefault="00775B47" w:rsidP="00775B47">
      <w:pPr>
        <w:spacing w:before="140"/>
      </w:pPr>
      <w:r>
        <w:lastRenderedPageBreak/>
        <w:t>The amendments e</w:t>
      </w:r>
      <w:r w:rsidRPr="00E53CD6">
        <w:t>xtend the EGM shutdown periods</w:t>
      </w:r>
      <w:r>
        <w:t>,</w:t>
      </w:r>
      <w:r w:rsidRPr="00E53CD6">
        <w:t xml:space="preserve"> so that there will be shorter hours of operation permitted during the week while retaining longer hours on Friday and Saturday and into Sunday morning. The revised EGM shutdown periods will be:</w:t>
      </w:r>
    </w:p>
    <w:p w14:paraId="77420E63" w14:textId="448769BA" w:rsidR="00775B47" w:rsidRPr="00E53CD6" w:rsidRDefault="00775B47" w:rsidP="00775B47">
      <w:pPr>
        <w:pStyle w:val="ListParagraph"/>
        <w:numPr>
          <w:ilvl w:val="0"/>
          <w:numId w:val="11"/>
        </w:numPr>
        <w:spacing w:before="140"/>
      </w:pPr>
      <w:r w:rsidRPr="00E53CD6">
        <w:t>2am to 10am from Monday to Thursday</w:t>
      </w:r>
      <w:r>
        <w:t>;</w:t>
      </w:r>
    </w:p>
    <w:p w14:paraId="3C2EDC0F" w14:textId="093B8430" w:rsidR="00775B47" w:rsidRPr="00E53CD6" w:rsidRDefault="00775B47" w:rsidP="00775B47">
      <w:pPr>
        <w:pStyle w:val="ListParagraph"/>
        <w:numPr>
          <w:ilvl w:val="0"/>
          <w:numId w:val="11"/>
        </w:numPr>
        <w:spacing w:before="140"/>
      </w:pPr>
      <w:r w:rsidRPr="00E53CD6">
        <w:t>2am to 9am Friday</w:t>
      </w:r>
      <w:r>
        <w:t>;</w:t>
      </w:r>
    </w:p>
    <w:p w14:paraId="6CBCFB18" w14:textId="2EF7DA13" w:rsidR="00775B47" w:rsidRPr="00E53CD6" w:rsidRDefault="00775B47" w:rsidP="00775B47">
      <w:pPr>
        <w:pStyle w:val="ListParagraph"/>
        <w:numPr>
          <w:ilvl w:val="0"/>
          <w:numId w:val="11"/>
        </w:numPr>
        <w:spacing w:before="140"/>
      </w:pPr>
      <w:r w:rsidRPr="00E53CD6">
        <w:t>4am to 9am Saturday</w:t>
      </w:r>
      <w:r>
        <w:t>; and</w:t>
      </w:r>
    </w:p>
    <w:p w14:paraId="28F9CB25" w14:textId="038D3975" w:rsidR="00775B47" w:rsidRPr="00E53CD6" w:rsidRDefault="00775B47" w:rsidP="00775B47">
      <w:pPr>
        <w:pStyle w:val="ListParagraph"/>
        <w:numPr>
          <w:ilvl w:val="0"/>
          <w:numId w:val="11"/>
        </w:numPr>
        <w:spacing w:before="140"/>
      </w:pPr>
      <w:r w:rsidRPr="00E53CD6">
        <w:t xml:space="preserve">4am to 10am Sunday. </w:t>
      </w:r>
    </w:p>
    <w:p w14:paraId="4904D114" w14:textId="77777777" w:rsidR="00775B47" w:rsidRPr="00B91FE9" w:rsidRDefault="00775B47" w:rsidP="00B91FE9">
      <w:pPr>
        <w:spacing w:before="140"/>
        <w:rPr>
          <w:i/>
          <w:iCs/>
        </w:rPr>
      </w:pPr>
    </w:p>
    <w:p w14:paraId="0CC0C09B" w14:textId="792AAC93" w:rsidR="001D481D" w:rsidRPr="00823C44" w:rsidRDefault="001D481D" w:rsidP="003F3D15">
      <w:pPr>
        <w:keepNext/>
        <w:spacing w:before="240" w:after="240"/>
        <w:rPr>
          <w:rFonts w:ascii="Arial" w:hAnsi="Arial" w:cs="Arial"/>
          <w:b/>
          <w:bCs/>
        </w:rPr>
      </w:pPr>
      <w:r w:rsidRPr="00823C44">
        <w:rPr>
          <w:rFonts w:ascii="Arial" w:hAnsi="Arial" w:cs="Arial"/>
          <w:b/>
          <w:bCs/>
        </w:rPr>
        <w:t>REGULATORY IMPACT STATEMENT</w:t>
      </w:r>
    </w:p>
    <w:p w14:paraId="594ED3B6" w14:textId="3F271963" w:rsidR="00E542F2" w:rsidRPr="00BA7277" w:rsidRDefault="00E542F2" w:rsidP="00E542F2">
      <w:pPr>
        <w:spacing w:before="140"/>
      </w:pPr>
      <w:r w:rsidRPr="00BA7277">
        <w:t>Section 34 of the </w:t>
      </w:r>
      <w:r w:rsidRPr="00BA7277">
        <w:rPr>
          <w:i/>
          <w:iCs/>
        </w:rPr>
        <w:t>Legislation Act 2001</w:t>
      </w:r>
      <w:r w:rsidRPr="00BA7277">
        <w:t> requires the preparation of a regulatory impact statement where a subordinate law is likely to impose appreciable costs on the community, or a part of the community.</w:t>
      </w:r>
    </w:p>
    <w:p w14:paraId="6A8BF5AD" w14:textId="6B68A710" w:rsidR="00BA70AA" w:rsidRPr="0031337E" w:rsidRDefault="00BA70AA" w:rsidP="00BA70AA">
      <w:pPr>
        <w:spacing w:before="140"/>
      </w:pPr>
      <w:r>
        <w:t>As t</w:t>
      </w:r>
      <w:r w:rsidRPr="00BA7277">
        <w:t xml:space="preserve">he Regulation reduces the operating hours of </w:t>
      </w:r>
      <w:r>
        <w:t xml:space="preserve">EGMs </w:t>
      </w:r>
      <w:r w:rsidRPr="00BA7277">
        <w:t xml:space="preserve">there will be </w:t>
      </w:r>
      <w:r w:rsidR="00494E2F">
        <w:t>a</w:t>
      </w:r>
      <w:r w:rsidRPr="00BA7277">
        <w:t xml:space="preserve"> </w:t>
      </w:r>
      <w:r>
        <w:t>financial impact</w:t>
      </w:r>
      <w:r w:rsidRPr="00BA7277">
        <w:t xml:space="preserve"> to licensees</w:t>
      </w:r>
      <w:r>
        <w:t xml:space="preserve"> and the Territory. It</w:t>
      </w:r>
      <w:r w:rsidRPr="00BA7277">
        <w:t xml:space="preserve"> is difficult to quantify a</w:t>
      </w:r>
      <w:r>
        <w:t>n</w:t>
      </w:r>
      <w:r w:rsidRPr="00BA7277">
        <w:t xml:space="preserve"> </w:t>
      </w:r>
      <w:r>
        <w:t xml:space="preserve">exact </w:t>
      </w:r>
      <w:r w:rsidRPr="00BA7277">
        <w:t>revenue impact to licensees</w:t>
      </w:r>
      <w:r>
        <w:t xml:space="preserve"> and the Territory</w:t>
      </w:r>
      <w:r w:rsidR="00BA5BEF">
        <w:t>. A</w:t>
      </w:r>
      <w:r w:rsidRPr="00BA7277">
        <w:t xml:space="preserve"> regulatory impact </w:t>
      </w:r>
      <w:r>
        <w:t>assessment</w:t>
      </w:r>
      <w:r w:rsidRPr="00BA7277">
        <w:t xml:space="preserve"> has been prepared </w:t>
      </w:r>
      <w:r>
        <w:t xml:space="preserve">for this </w:t>
      </w:r>
      <w:r w:rsidR="00BA5BEF">
        <w:t xml:space="preserve">Amendment Regulation. </w:t>
      </w:r>
    </w:p>
    <w:p w14:paraId="687726C6" w14:textId="77777777" w:rsidR="00823C44" w:rsidRDefault="00823C44" w:rsidP="00823C44">
      <w:pPr>
        <w:keepNext/>
        <w:spacing w:before="240" w:after="240"/>
        <w:rPr>
          <w:rFonts w:ascii="Arial" w:hAnsi="Arial" w:cs="Arial"/>
          <w:b/>
          <w:bCs/>
        </w:rPr>
      </w:pPr>
      <w:r w:rsidRPr="00823C44">
        <w:rPr>
          <w:rFonts w:ascii="Arial" w:hAnsi="Arial" w:cs="Arial"/>
          <w:b/>
          <w:bCs/>
        </w:rPr>
        <w:t>CLIMATE IMPACT</w:t>
      </w:r>
    </w:p>
    <w:p w14:paraId="64CE4BCE" w14:textId="15906C7C" w:rsidR="00823C44" w:rsidRPr="00823C44" w:rsidRDefault="00DC253F" w:rsidP="00823C44">
      <w:pPr>
        <w:keepNext/>
        <w:spacing w:before="240" w:after="240"/>
        <w:rPr>
          <w:rFonts w:ascii="Arial" w:hAnsi="Arial" w:cs="Arial"/>
          <w:b/>
          <w:bCs/>
        </w:rPr>
      </w:pPr>
      <w:r>
        <w:t>The</w:t>
      </w:r>
      <w:r w:rsidR="00823C44">
        <w:t xml:space="preserve"> </w:t>
      </w:r>
      <w:r w:rsidR="00E80313">
        <w:t xml:space="preserve">Regulation </w:t>
      </w:r>
      <w:r w:rsidR="00823C44">
        <w:t xml:space="preserve">will </w:t>
      </w:r>
      <w:r w:rsidR="00CE0D4B">
        <w:t>not have an impact</w:t>
      </w:r>
      <w:r w:rsidR="00823C44">
        <w:t xml:space="preserve"> on emissions production or abatement. </w:t>
      </w:r>
    </w:p>
    <w:p w14:paraId="2E85AB86" w14:textId="0B4A26F0" w:rsidR="001D481D" w:rsidRPr="00E530F1" w:rsidRDefault="001D481D" w:rsidP="003F3D15">
      <w:pPr>
        <w:keepNext/>
        <w:spacing w:before="240" w:after="240"/>
        <w:rPr>
          <w:rFonts w:ascii="Arial" w:hAnsi="Arial" w:cs="Arial"/>
          <w:b/>
          <w:bCs/>
        </w:rPr>
      </w:pPr>
      <w:r w:rsidRPr="00E530F1">
        <w:rPr>
          <w:rFonts w:ascii="Arial" w:hAnsi="Arial" w:cs="Arial"/>
          <w:b/>
          <w:bCs/>
        </w:rPr>
        <w:t>CONSISTENCY WITH HUMAN RIGHTS</w:t>
      </w:r>
    </w:p>
    <w:p w14:paraId="16A5195C" w14:textId="70022D5F" w:rsidR="00BA27AF" w:rsidRDefault="00BA27AF" w:rsidP="001D481D">
      <w:pPr>
        <w:spacing w:before="240" w:after="240"/>
      </w:pPr>
      <w:r w:rsidRPr="004A3EAF">
        <w:t>The </w:t>
      </w:r>
      <w:r w:rsidR="00E80313" w:rsidRPr="004A3EAF">
        <w:t xml:space="preserve">Regulation </w:t>
      </w:r>
      <w:r w:rsidRPr="004A3EAF">
        <w:t>does not engage</w:t>
      </w:r>
      <w:r w:rsidR="00BA7277" w:rsidRPr="004A3EAF">
        <w:t xml:space="preserve"> and limit</w:t>
      </w:r>
      <w:r w:rsidRPr="004A3EAF">
        <w:t xml:space="preserve"> any human rights set out in the </w:t>
      </w:r>
      <w:r w:rsidRPr="004A3EAF">
        <w:rPr>
          <w:i/>
          <w:iCs/>
        </w:rPr>
        <w:t>Human Rights Act</w:t>
      </w:r>
      <w:r w:rsidR="00BE4909" w:rsidRPr="004A3EAF">
        <w:rPr>
          <w:i/>
          <w:iCs/>
        </w:rPr>
        <w:t> </w:t>
      </w:r>
      <w:r w:rsidRPr="004A3EAF">
        <w:rPr>
          <w:i/>
          <w:iCs/>
        </w:rPr>
        <w:t>2004</w:t>
      </w:r>
      <w:r w:rsidR="00E530F1" w:rsidRPr="004A3EAF">
        <w:t>.</w:t>
      </w:r>
    </w:p>
    <w:p w14:paraId="36C48D92" w14:textId="534B9BCE" w:rsidR="001D481D" w:rsidRPr="00823C44" w:rsidRDefault="001D481D" w:rsidP="003F3D15">
      <w:pPr>
        <w:keepNext/>
        <w:spacing w:before="240" w:after="240"/>
        <w:rPr>
          <w:rFonts w:ascii="Arial" w:hAnsi="Arial" w:cs="Arial"/>
          <w:b/>
          <w:bCs/>
        </w:rPr>
      </w:pPr>
      <w:r w:rsidRPr="00823C44">
        <w:rPr>
          <w:rFonts w:ascii="Arial" w:hAnsi="Arial" w:cs="Arial"/>
          <w:b/>
          <w:bCs/>
        </w:rPr>
        <w:t>CLAUSE NOTES</w:t>
      </w:r>
    </w:p>
    <w:p w14:paraId="15A8FF3F" w14:textId="040E7A6F" w:rsidR="001D481D" w:rsidRPr="001D481D" w:rsidRDefault="001D481D" w:rsidP="003F3D15">
      <w:pPr>
        <w:keepNext/>
        <w:spacing w:before="240" w:after="240"/>
        <w:rPr>
          <w:rFonts w:ascii="Arial" w:hAnsi="Arial" w:cs="Arial"/>
          <w:b/>
          <w:bCs/>
        </w:rPr>
      </w:pPr>
      <w:r w:rsidRPr="001D481D">
        <w:rPr>
          <w:rFonts w:ascii="Arial" w:hAnsi="Arial" w:cs="Arial"/>
          <w:b/>
          <w:bCs/>
        </w:rPr>
        <w:t>Clause 1</w:t>
      </w:r>
      <w:r w:rsidRPr="001D481D">
        <w:rPr>
          <w:rFonts w:ascii="Arial" w:hAnsi="Arial" w:cs="Arial"/>
          <w:b/>
          <w:bCs/>
        </w:rPr>
        <w:tab/>
        <w:t>Name of regulation</w:t>
      </w:r>
    </w:p>
    <w:p w14:paraId="484D6298" w14:textId="06E8E276" w:rsidR="00F10CB2" w:rsidRDefault="001D481D" w:rsidP="001D481D">
      <w:pPr>
        <w:spacing w:before="140"/>
      </w:pPr>
      <w:r>
        <w:t xml:space="preserve">Clause 1 names the </w:t>
      </w:r>
      <w:bookmarkEnd w:id="0"/>
      <w:r w:rsidR="00E80313">
        <w:t xml:space="preserve">Regulation </w:t>
      </w:r>
      <w:r w:rsidR="002747A4">
        <w:t>as the</w:t>
      </w:r>
      <w:r w:rsidR="002747A4" w:rsidRPr="002747A4">
        <w:rPr>
          <w:i/>
          <w:iCs/>
        </w:rPr>
        <w:t xml:space="preserve"> </w:t>
      </w:r>
      <w:r w:rsidR="00671ABA" w:rsidRPr="00671ABA">
        <w:rPr>
          <w:i/>
          <w:iCs/>
        </w:rPr>
        <w:t xml:space="preserve">Gaming and Racing Control (Code of Practice) Amendment Regulation 2026 (No </w:t>
      </w:r>
      <w:r w:rsidR="004548C3">
        <w:rPr>
          <w:i/>
          <w:iCs/>
        </w:rPr>
        <w:t>1</w:t>
      </w:r>
      <w:r w:rsidR="00671ABA" w:rsidRPr="00671ABA">
        <w:rPr>
          <w:i/>
          <w:iCs/>
        </w:rPr>
        <w:t>)</w:t>
      </w:r>
    </w:p>
    <w:p w14:paraId="72AF5B5F" w14:textId="077D8743" w:rsidR="002747A4" w:rsidRPr="001D481D" w:rsidRDefault="002747A4" w:rsidP="003F3D15">
      <w:pPr>
        <w:keepNext/>
        <w:spacing w:before="240" w:after="240"/>
        <w:rPr>
          <w:rFonts w:ascii="Arial" w:hAnsi="Arial" w:cs="Arial"/>
          <w:b/>
          <w:bCs/>
        </w:rPr>
      </w:pPr>
      <w:r w:rsidRPr="001D481D">
        <w:rPr>
          <w:rFonts w:ascii="Arial" w:hAnsi="Arial" w:cs="Arial"/>
          <w:b/>
          <w:bCs/>
        </w:rPr>
        <w:t xml:space="preserve">Clause </w:t>
      </w:r>
      <w:r>
        <w:rPr>
          <w:rFonts w:ascii="Arial" w:hAnsi="Arial" w:cs="Arial"/>
          <w:b/>
          <w:bCs/>
        </w:rPr>
        <w:t>2</w:t>
      </w:r>
      <w:r w:rsidRPr="001D481D">
        <w:rPr>
          <w:rFonts w:ascii="Arial" w:hAnsi="Arial" w:cs="Arial"/>
          <w:b/>
          <w:bCs/>
        </w:rPr>
        <w:tab/>
      </w:r>
      <w:r w:rsidR="001750D5">
        <w:rPr>
          <w:rFonts w:ascii="Arial" w:hAnsi="Arial" w:cs="Arial"/>
          <w:b/>
          <w:bCs/>
        </w:rPr>
        <w:t>Commencement</w:t>
      </w:r>
    </w:p>
    <w:p w14:paraId="6BB6E54F" w14:textId="0889D1EA" w:rsidR="002747A4" w:rsidRDefault="001750D5" w:rsidP="001D481D">
      <w:pPr>
        <w:spacing w:before="140"/>
        <w:rPr>
          <w:color w:val="000000"/>
          <w:shd w:val="clear" w:color="auto" w:fill="FFFFFF"/>
        </w:rPr>
      </w:pPr>
      <w:r>
        <w:rPr>
          <w:color w:val="000000"/>
          <w:shd w:val="clear" w:color="auto" w:fill="FFFFFF"/>
        </w:rPr>
        <w:t xml:space="preserve">Clause 2 provides for the commencement of the </w:t>
      </w:r>
      <w:r w:rsidR="00046AD3">
        <w:rPr>
          <w:color w:val="000000"/>
          <w:shd w:val="clear" w:color="auto" w:fill="FFFFFF"/>
        </w:rPr>
        <w:t>Regulation </w:t>
      </w:r>
      <w:r w:rsidR="00671ABA" w:rsidRPr="00671ABA">
        <w:rPr>
          <w:color w:val="000000"/>
          <w:shd w:val="clear" w:color="auto" w:fill="FFFFFF"/>
        </w:rPr>
        <w:t>12 months after its notification day.</w:t>
      </w:r>
    </w:p>
    <w:p w14:paraId="687D06AE" w14:textId="6E697F00" w:rsidR="001750D5" w:rsidRPr="001D481D" w:rsidRDefault="001750D5" w:rsidP="003F3D15">
      <w:pPr>
        <w:keepNext/>
        <w:spacing w:before="240" w:after="240"/>
        <w:rPr>
          <w:rFonts w:ascii="Arial" w:hAnsi="Arial" w:cs="Arial"/>
          <w:b/>
          <w:bCs/>
        </w:rPr>
      </w:pPr>
      <w:r w:rsidRPr="001D481D">
        <w:rPr>
          <w:rFonts w:ascii="Arial" w:hAnsi="Arial" w:cs="Arial"/>
          <w:b/>
          <w:bCs/>
        </w:rPr>
        <w:t xml:space="preserve">Clause </w:t>
      </w:r>
      <w:r>
        <w:rPr>
          <w:rFonts w:ascii="Arial" w:hAnsi="Arial" w:cs="Arial"/>
          <w:b/>
          <w:bCs/>
        </w:rPr>
        <w:t>3</w:t>
      </w:r>
      <w:r w:rsidRPr="001D481D">
        <w:rPr>
          <w:rFonts w:ascii="Arial" w:hAnsi="Arial" w:cs="Arial"/>
          <w:b/>
          <w:bCs/>
        </w:rPr>
        <w:tab/>
      </w:r>
      <w:r>
        <w:rPr>
          <w:rFonts w:ascii="Arial" w:hAnsi="Arial" w:cs="Arial"/>
          <w:b/>
          <w:bCs/>
        </w:rPr>
        <w:t xml:space="preserve">Legislation amended </w:t>
      </w:r>
    </w:p>
    <w:p w14:paraId="1F762B50" w14:textId="6D6AF356" w:rsidR="001750D5" w:rsidRDefault="001750D5" w:rsidP="001750D5">
      <w:pPr>
        <w:spacing w:before="140"/>
      </w:pPr>
      <w:r>
        <w:rPr>
          <w:color w:val="000000"/>
          <w:shd w:val="clear" w:color="auto" w:fill="FFFFFF"/>
        </w:rPr>
        <w:t>Clause 3</w:t>
      </w:r>
      <w:r w:rsidRPr="001750D5">
        <w:rPr>
          <w:color w:val="000000"/>
          <w:shd w:val="clear" w:color="auto" w:fill="FFFFFF"/>
        </w:rPr>
        <w:t xml:space="preserve"> </w:t>
      </w:r>
      <w:r>
        <w:rPr>
          <w:color w:val="000000"/>
          <w:shd w:val="clear" w:color="auto" w:fill="FFFFFF"/>
        </w:rPr>
        <w:t xml:space="preserve">provides that the </w:t>
      </w:r>
      <w:r w:rsidR="00046AD3">
        <w:rPr>
          <w:color w:val="000000"/>
          <w:shd w:val="clear" w:color="auto" w:fill="FFFFFF"/>
        </w:rPr>
        <w:t xml:space="preserve">Regulation </w:t>
      </w:r>
      <w:r>
        <w:rPr>
          <w:color w:val="000000"/>
          <w:shd w:val="clear" w:color="auto" w:fill="FFFFFF"/>
        </w:rPr>
        <w:t>amends the</w:t>
      </w:r>
      <w:r w:rsidRPr="001750D5">
        <w:rPr>
          <w:i/>
          <w:iCs/>
        </w:rPr>
        <w:t xml:space="preserve"> </w:t>
      </w:r>
      <w:r w:rsidR="00671ABA" w:rsidRPr="00671ABA">
        <w:rPr>
          <w:i/>
          <w:iCs/>
        </w:rPr>
        <w:t>Gambling and Racing Control (Code of Practice) Regulations 2002</w:t>
      </w:r>
      <w:r w:rsidR="00671ABA">
        <w:rPr>
          <w:i/>
          <w:iCs/>
        </w:rPr>
        <w:t>.</w:t>
      </w:r>
    </w:p>
    <w:p w14:paraId="42784714" w14:textId="538BEBD5" w:rsidR="001750D5" w:rsidRPr="001D481D" w:rsidRDefault="001750D5" w:rsidP="003F3D15">
      <w:pPr>
        <w:keepNext/>
        <w:spacing w:before="240" w:after="240"/>
        <w:rPr>
          <w:rFonts w:ascii="Arial" w:hAnsi="Arial" w:cs="Arial"/>
          <w:b/>
          <w:bCs/>
        </w:rPr>
      </w:pPr>
      <w:r w:rsidRPr="001D481D">
        <w:rPr>
          <w:rFonts w:ascii="Arial" w:hAnsi="Arial" w:cs="Arial"/>
          <w:b/>
          <w:bCs/>
        </w:rPr>
        <w:t xml:space="preserve">Clause </w:t>
      </w:r>
      <w:r>
        <w:rPr>
          <w:rFonts w:ascii="Arial" w:hAnsi="Arial" w:cs="Arial"/>
          <w:b/>
          <w:bCs/>
        </w:rPr>
        <w:t>4</w:t>
      </w:r>
      <w:r w:rsidRPr="001D481D">
        <w:rPr>
          <w:rFonts w:ascii="Arial" w:hAnsi="Arial" w:cs="Arial"/>
          <w:b/>
          <w:bCs/>
        </w:rPr>
        <w:tab/>
      </w:r>
      <w:r w:rsidR="00671ABA" w:rsidRPr="00671ABA">
        <w:rPr>
          <w:rFonts w:ascii="Arial" w:hAnsi="Arial" w:cs="Arial"/>
          <w:b/>
          <w:bCs/>
        </w:rPr>
        <w:t>Schedule 1, section 1.27B</w:t>
      </w:r>
      <w:r>
        <w:rPr>
          <w:rFonts w:ascii="Arial" w:hAnsi="Arial" w:cs="Arial"/>
          <w:b/>
          <w:bCs/>
        </w:rPr>
        <w:t xml:space="preserve"> </w:t>
      </w:r>
    </w:p>
    <w:p w14:paraId="3EFD53D9" w14:textId="1AD1829D" w:rsidR="001750D5" w:rsidRPr="004A6B56" w:rsidRDefault="001750D5" w:rsidP="00671ABA">
      <w:pPr>
        <w:spacing w:before="140"/>
      </w:pPr>
      <w:r>
        <w:rPr>
          <w:color w:val="000000"/>
          <w:shd w:val="clear" w:color="auto" w:fill="FFFFFF"/>
        </w:rPr>
        <w:t xml:space="preserve">Clause 4 </w:t>
      </w:r>
      <w:r w:rsidR="00671ABA" w:rsidRPr="00671ABA">
        <w:rPr>
          <w:color w:val="000000"/>
          <w:shd w:val="clear" w:color="auto" w:fill="FFFFFF"/>
        </w:rPr>
        <w:t xml:space="preserve">sets out the times which licensees must not </w:t>
      </w:r>
      <w:r w:rsidR="00CD7F17">
        <w:rPr>
          <w:color w:val="000000"/>
          <w:shd w:val="clear" w:color="auto" w:fill="FFFFFF"/>
        </w:rPr>
        <w:t xml:space="preserve">operate </w:t>
      </w:r>
      <w:r w:rsidR="00671ABA" w:rsidRPr="00671ABA">
        <w:rPr>
          <w:color w:val="000000"/>
          <w:shd w:val="clear" w:color="auto" w:fill="FFFFFF"/>
        </w:rPr>
        <w:t>gaming machines. Table 1.27B provides gaming machine operating time restrictions and refers to hours in which licensees must not operate gaming machines in column 3 and the corresponding days of the week in column 2.</w:t>
      </w:r>
    </w:p>
    <w:sectPr w:rsidR="001750D5" w:rsidRPr="004A6B56" w:rsidSect="00C615CB">
      <w:headerReference w:type="even" r:id="rId9"/>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EE64" w14:textId="77777777" w:rsidR="00D67E10" w:rsidRDefault="00D67E10" w:rsidP="00F10CB2">
      <w:r>
        <w:separator/>
      </w:r>
    </w:p>
  </w:endnote>
  <w:endnote w:type="continuationSeparator" w:id="0">
    <w:p w14:paraId="30D8758A" w14:textId="77777777" w:rsidR="00D67E10" w:rsidRDefault="00D67E10"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BFF6" w14:textId="77777777" w:rsidR="00D601AB" w:rsidRDefault="00D60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3228" w14:textId="2B4DF646" w:rsidR="00704DC3" w:rsidRPr="00D601AB" w:rsidRDefault="00D601AB" w:rsidP="00D601AB">
    <w:pPr>
      <w:pStyle w:val="Footer"/>
      <w:jc w:val="center"/>
      <w:rPr>
        <w:rFonts w:cs="Arial"/>
        <w:sz w:val="14"/>
      </w:rPr>
    </w:pPr>
    <w:r w:rsidRPr="00D601AB">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BFB9" w14:textId="77777777" w:rsidR="00D601AB" w:rsidRDefault="00D60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D2771" w14:textId="77777777" w:rsidR="00D67E10" w:rsidRDefault="00D67E10" w:rsidP="00F10CB2">
      <w:r>
        <w:separator/>
      </w:r>
    </w:p>
  </w:footnote>
  <w:footnote w:type="continuationSeparator" w:id="0">
    <w:p w14:paraId="0C6D628B" w14:textId="77777777" w:rsidR="00D67E10" w:rsidRDefault="00D67E10" w:rsidP="00F1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CB436" w14:textId="77777777" w:rsidR="00D601AB" w:rsidRDefault="00D60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ACAC" w14:textId="0875FD14" w:rsidR="00704DC3" w:rsidRPr="009F561C" w:rsidRDefault="00704DC3" w:rsidP="009F561C">
    <w:pPr>
      <w:pStyle w:val="Header"/>
      <w:jc w:val="center"/>
      <w:rPr>
        <w:b/>
        <w:bCs/>
        <w:color w:val="FF0000"/>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D638A" w14:textId="77777777" w:rsidR="00D601AB" w:rsidRDefault="00D60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67B7228"/>
    <w:multiLevelType w:val="hybridMultilevel"/>
    <w:tmpl w:val="6750033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6"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7"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8"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9"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7D242A89"/>
    <w:multiLevelType w:val="multilevel"/>
    <w:tmpl w:val="FE48D3A6"/>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360" w:hanging="340"/>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num w:numId="1" w16cid:durableId="1571766070">
    <w:abstractNumId w:val="2"/>
  </w:num>
  <w:num w:numId="2" w16cid:durableId="1123185387">
    <w:abstractNumId w:val="0"/>
  </w:num>
  <w:num w:numId="3" w16cid:durableId="1556695274">
    <w:abstractNumId w:val="3"/>
  </w:num>
  <w:num w:numId="4" w16cid:durableId="1312171949">
    <w:abstractNumId w:val="8"/>
  </w:num>
  <w:num w:numId="5" w16cid:durableId="83844083">
    <w:abstractNumId w:val="9"/>
  </w:num>
  <w:num w:numId="6" w16cid:durableId="1141654512">
    <w:abstractNumId w:val="1"/>
  </w:num>
  <w:num w:numId="7" w16cid:durableId="1093627604">
    <w:abstractNumId w:val="6"/>
  </w:num>
  <w:num w:numId="8" w16cid:durableId="1024790815">
    <w:abstractNumId w:val="7"/>
  </w:num>
  <w:num w:numId="9" w16cid:durableId="1339504889">
    <w:abstractNumId w:val="5"/>
  </w:num>
  <w:num w:numId="10" w16cid:durableId="1753313540">
    <w:abstractNumId w:val="10"/>
  </w:num>
  <w:num w:numId="11" w16cid:durableId="718285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5C"/>
    <w:rsid w:val="00022B16"/>
    <w:rsid w:val="00046AD3"/>
    <w:rsid w:val="000554C7"/>
    <w:rsid w:val="000555E8"/>
    <w:rsid w:val="00064C55"/>
    <w:rsid w:val="000A1A69"/>
    <w:rsid w:val="000D73B8"/>
    <w:rsid w:val="000E0780"/>
    <w:rsid w:val="001750D5"/>
    <w:rsid w:val="00194AC7"/>
    <w:rsid w:val="001D481D"/>
    <w:rsid w:val="001E29CE"/>
    <w:rsid w:val="001E536E"/>
    <w:rsid w:val="00200D7C"/>
    <w:rsid w:val="00216B3D"/>
    <w:rsid w:val="00226D9C"/>
    <w:rsid w:val="00232478"/>
    <w:rsid w:val="002561A5"/>
    <w:rsid w:val="002747A4"/>
    <w:rsid w:val="002B2950"/>
    <w:rsid w:val="0030233C"/>
    <w:rsid w:val="0031337E"/>
    <w:rsid w:val="00391779"/>
    <w:rsid w:val="003E423C"/>
    <w:rsid w:val="003F206B"/>
    <w:rsid w:val="003F3D15"/>
    <w:rsid w:val="00445EB0"/>
    <w:rsid w:val="004548C3"/>
    <w:rsid w:val="00494E2F"/>
    <w:rsid w:val="004A3EAF"/>
    <w:rsid w:val="004A6B56"/>
    <w:rsid w:val="00575BD4"/>
    <w:rsid w:val="00596737"/>
    <w:rsid w:val="00616AD2"/>
    <w:rsid w:val="00622B29"/>
    <w:rsid w:val="0062686E"/>
    <w:rsid w:val="00627F0C"/>
    <w:rsid w:val="00667281"/>
    <w:rsid w:val="00671ABA"/>
    <w:rsid w:val="00671F7D"/>
    <w:rsid w:val="00676F0B"/>
    <w:rsid w:val="006C11E0"/>
    <w:rsid w:val="006F09D5"/>
    <w:rsid w:val="006F1102"/>
    <w:rsid w:val="006F5DD4"/>
    <w:rsid w:val="00704DC3"/>
    <w:rsid w:val="0072003E"/>
    <w:rsid w:val="0074031B"/>
    <w:rsid w:val="00775B47"/>
    <w:rsid w:val="00807F6A"/>
    <w:rsid w:val="00822E4F"/>
    <w:rsid w:val="00823C44"/>
    <w:rsid w:val="008574CE"/>
    <w:rsid w:val="008B6C76"/>
    <w:rsid w:val="008C225C"/>
    <w:rsid w:val="00901924"/>
    <w:rsid w:val="009355F3"/>
    <w:rsid w:val="009B39F6"/>
    <w:rsid w:val="009B7BA8"/>
    <w:rsid w:val="009D39C7"/>
    <w:rsid w:val="009E2E69"/>
    <w:rsid w:val="009F561C"/>
    <w:rsid w:val="00A0585C"/>
    <w:rsid w:val="00A62ECE"/>
    <w:rsid w:val="00A729FE"/>
    <w:rsid w:val="00AD146A"/>
    <w:rsid w:val="00B1736F"/>
    <w:rsid w:val="00B30B9A"/>
    <w:rsid w:val="00B35FC3"/>
    <w:rsid w:val="00B91FE9"/>
    <w:rsid w:val="00BA27AF"/>
    <w:rsid w:val="00BA52F5"/>
    <w:rsid w:val="00BA5BEF"/>
    <w:rsid w:val="00BA70AA"/>
    <w:rsid w:val="00BA7277"/>
    <w:rsid w:val="00BB241F"/>
    <w:rsid w:val="00BB6FF1"/>
    <w:rsid w:val="00BD44B8"/>
    <w:rsid w:val="00BE4909"/>
    <w:rsid w:val="00C36DAD"/>
    <w:rsid w:val="00C41B1B"/>
    <w:rsid w:val="00C615CB"/>
    <w:rsid w:val="00C67F84"/>
    <w:rsid w:val="00C81201"/>
    <w:rsid w:val="00C96CEA"/>
    <w:rsid w:val="00CC605B"/>
    <w:rsid w:val="00CD4E55"/>
    <w:rsid w:val="00CD7F17"/>
    <w:rsid w:val="00CE0D4B"/>
    <w:rsid w:val="00D47F13"/>
    <w:rsid w:val="00D601AB"/>
    <w:rsid w:val="00D67E10"/>
    <w:rsid w:val="00D7215B"/>
    <w:rsid w:val="00DA1589"/>
    <w:rsid w:val="00DC253F"/>
    <w:rsid w:val="00E00401"/>
    <w:rsid w:val="00E155A8"/>
    <w:rsid w:val="00E1707D"/>
    <w:rsid w:val="00E34354"/>
    <w:rsid w:val="00E530F1"/>
    <w:rsid w:val="00E542F2"/>
    <w:rsid w:val="00E556F2"/>
    <w:rsid w:val="00E74033"/>
    <w:rsid w:val="00E80313"/>
    <w:rsid w:val="00E92A1D"/>
    <w:rsid w:val="00EF6FD7"/>
    <w:rsid w:val="00F10CB2"/>
    <w:rsid w:val="00F15AC3"/>
    <w:rsid w:val="00F23B01"/>
    <w:rsid w:val="00F65B42"/>
    <w:rsid w:val="00F80F8C"/>
    <w:rsid w:val="00FF14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23A8C"/>
  <w15:docId w15:val="{BA255ED2-B3BD-414B-928B-FE12BCEA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C3"/>
    <w:rPr>
      <w:sz w:val="24"/>
      <w:lang w:eastAsia="en-US"/>
    </w:rPr>
  </w:style>
  <w:style w:type="paragraph" w:styleId="Heading1">
    <w:name w:val="heading 1"/>
    <w:basedOn w:val="Normal"/>
    <w:next w:val="Normal"/>
    <w:qFormat/>
    <w:rsid w:val="00F15AC3"/>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F15AC3"/>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F15AC3"/>
    <w:pPr>
      <w:keepNext/>
      <w:pBdr>
        <w:right w:val="single" w:sz="4" w:space="4" w:color="auto"/>
      </w:pBdr>
      <w:outlineLvl w:val="2"/>
    </w:pPr>
    <w:rPr>
      <w:i/>
      <w:iCs/>
      <w:sz w:val="22"/>
      <w:szCs w:val="22"/>
    </w:rPr>
  </w:style>
  <w:style w:type="paragraph" w:styleId="Heading4">
    <w:name w:val="heading 4"/>
    <w:basedOn w:val="Normal"/>
    <w:next w:val="Normal"/>
    <w:qFormat/>
    <w:rsid w:val="00F15AC3"/>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F15AC3"/>
    <w:pPr>
      <w:tabs>
        <w:tab w:val="left" w:pos="2880"/>
      </w:tabs>
      <w:spacing w:before="120" w:after="60" w:line="240" w:lineRule="exact"/>
    </w:pPr>
    <w:rPr>
      <w:rFonts w:ascii="Arial" w:hAnsi="Arial"/>
      <w:sz w:val="18"/>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9"/>
      </w:numPr>
      <w:spacing w:before="80" w:after="60"/>
      <w:jc w:val="both"/>
      <w:outlineLvl w:val="6"/>
    </w:pPr>
  </w:style>
  <w:style w:type="paragraph" w:customStyle="1" w:styleId="Asubpara">
    <w:name w:val="A subpara"/>
    <w:basedOn w:val="Normal"/>
    <w:rsid w:val="00F15AC3"/>
    <w:pPr>
      <w:numPr>
        <w:ilvl w:val="7"/>
        <w:numId w:val="9"/>
      </w:numPr>
      <w:spacing w:before="80" w:after="60"/>
      <w:jc w:val="both"/>
      <w:outlineLvl w:val="7"/>
    </w:pPr>
  </w:style>
  <w:style w:type="paragraph" w:customStyle="1" w:styleId="Asubsubpara">
    <w:name w:val="A subsubpara"/>
    <w:basedOn w:val="Normal"/>
    <w:rsid w:val="00F15AC3"/>
    <w:pPr>
      <w:numPr>
        <w:ilvl w:val="8"/>
        <w:numId w:val="9"/>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semiHidden/>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4"/>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character" w:styleId="CommentReference">
    <w:name w:val="annotation reference"/>
    <w:basedOn w:val="DefaultParagraphFont"/>
    <w:uiPriority w:val="99"/>
    <w:semiHidden/>
    <w:unhideWhenUsed/>
    <w:rsid w:val="00EF6FD7"/>
    <w:rPr>
      <w:sz w:val="16"/>
      <w:szCs w:val="16"/>
    </w:rPr>
  </w:style>
  <w:style w:type="paragraph" w:styleId="CommentText">
    <w:name w:val="annotation text"/>
    <w:basedOn w:val="Normal"/>
    <w:link w:val="CommentTextChar"/>
    <w:uiPriority w:val="99"/>
    <w:unhideWhenUsed/>
    <w:rsid w:val="00EF6FD7"/>
    <w:rPr>
      <w:sz w:val="20"/>
    </w:rPr>
  </w:style>
  <w:style w:type="character" w:customStyle="1" w:styleId="CommentTextChar">
    <w:name w:val="Comment Text Char"/>
    <w:basedOn w:val="DefaultParagraphFont"/>
    <w:link w:val="CommentText"/>
    <w:uiPriority w:val="99"/>
    <w:rsid w:val="00EF6FD7"/>
    <w:rPr>
      <w:lang w:eastAsia="en-US"/>
    </w:rPr>
  </w:style>
  <w:style w:type="paragraph" w:styleId="CommentSubject">
    <w:name w:val="annotation subject"/>
    <w:basedOn w:val="CommentText"/>
    <w:next w:val="CommentText"/>
    <w:link w:val="CommentSubjectChar"/>
    <w:uiPriority w:val="99"/>
    <w:semiHidden/>
    <w:unhideWhenUsed/>
    <w:rsid w:val="00EF6FD7"/>
    <w:rPr>
      <w:b/>
      <w:bCs/>
    </w:rPr>
  </w:style>
  <w:style w:type="character" w:customStyle="1" w:styleId="CommentSubjectChar">
    <w:name w:val="Comment Subject Char"/>
    <w:basedOn w:val="CommentTextChar"/>
    <w:link w:val="CommentSubject"/>
    <w:uiPriority w:val="99"/>
    <w:semiHidden/>
    <w:rsid w:val="00EF6FD7"/>
    <w:rPr>
      <w:b/>
      <w:bCs/>
      <w:lang w:eastAsia="en-US"/>
    </w:rPr>
  </w:style>
  <w:style w:type="paragraph" w:styleId="Revision">
    <w:name w:val="Revision"/>
    <w:hidden/>
    <w:uiPriority w:val="99"/>
    <w:semiHidden/>
    <w:rsid w:val="00B35FC3"/>
    <w:rPr>
      <w:sz w:val="24"/>
      <w:lang w:eastAsia="en-US"/>
    </w:rPr>
  </w:style>
  <w:style w:type="paragraph" w:customStyle="1" w:styleId="Paragraphtext">
    <w:name w:val="Paragraph text"/>
    <w:basedOn w:val="Normal"/>
    <w:link w:val="ParagraphtextChar"/>
    <w:qFormat/>
    <w:rsid w:val="00775B47"/>
    <w:pPr>
      <w:spacing w:before="120" w:after="120"/>
    </w:pPr>
    <w:rPr>
      <w:rFonts w:ascii="Calibri" w:eastAsia="Calibri" w:hAnsi="Calibri"/>
      <w:color w:val="000000" w:themeColor="text1"/>
      <w:szCs w:val="22"/>
    </w:rPr>
  </w:style>
  <w:style w:type="character" w:customStyle="1" w:styleId="ParagraphtextChar">
    <w:name w:val="Paragraph text Char"/>
    <w:basedOn w:val="DefaultParagraphFont"/>
    <w:link w:val="Paragraphtext"/>
    <w:rsid w:val="00775B47"/>
    <w:rPr>
      <w:rFonts w:ascii="Calibri" w:eastAsia="Calibri" w:hAnsi="Calibri"/>
      <w:color w:val="000000" w:themeColor="text1"/>
      <w:sz w:val="24"/>
      <w:szCs w:val="22"/>
      <w:lang w:eastAsia="en-US"/>
    </w:rPr>
  </w:style>
  <w:style w:type="paragraph" w:styleId="ListParagraph">
    <w:name w:val="List Paragraph"/>
    <w:basedOn w:val="Normal"/>
    <w:uiPriority w:val="34"/>
    <w:qFormat/>
    <w:rsid w:val="00775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200614">
      <w:bodyDiv w:val="1"/>
      <w:marLeft w:val="0"/>
      <w:marRight w:val="0"/>
      <w:marTop w:val="0"/>
      <w:marBottom w:val="0"/>
      <w:divBdr>
        <w:top w:val="none" w:sz="0" w:space="0" w:color="auto"/>
        <w:left w:val="none" w:sz="0" w:space="0" w:color="auto"/>
        <w:bottom w:val="none" w:sz="0" w:space="0" w:color="auto"/>
        <w:right w:val="none" w:sz="0" w:space="0" w:color="auto"/>
      </w:divBdr>
    </w:div>
    <w:div w:id="43818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550CA7E2FD645B9F6F1E8C412B5A6" ma:contentTypeVersion="19" ma:contentTypeDescription="Create a new document." ma:contentTypeScope="" ma:versionID="d19490b8eeadf6720f35363679f7a8bb">
  <xsd:schema xmlns:xsd="http://www.w3.org/2001/XMLSchema" xmlns:xs="http://www.w3.org/2001/XMLSchema" xmlns:p="http://schemas.microsoft.com/office/2006/metadata/properties" xmlns:ns2="3e89e175-73fc-42ca-9535-6b65a62dc54f" xmlns:ns3="38b4ef72-48bb-414b-9145-d71cfc9bb66e" targetNamespace="http://schemas.microsoft.com/office/2006/metadata/properties" ma:root="true" ma:fieldsID="7a8d9175564070b6490bb37c05246a30" ns2:_="" ns3:_="">
    <xsd:import namespace="3e89e175-73fc-42ca-9535-6b65a62dc54f"/>
    <xsd:import namespace="38b4ef72-48bb-414b-9145-d71cfc9bb6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Brief" minOccurs="0"/>
                <xsd:element ref="ns2:JACSITEMS" minOccurs="0"/>
                <xsd:element ref="ns2:AttendanceRequired"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9e175-73fc-42ca-9535-6b65a62dc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rief" ma:index="12" nillable="true" ma:displayName="Brief" ma:default="1" ma:format="Dropdown" ma:internalName="Brief">
      <xsd:simpleType>
        <xsd:restriction base="dms:Boolean"/>
      </xsd:simpleType>
    </xsd:element>
    <xsd:element name="JACSITEMS" ma:index="13" nillable="true" ma:displayName="JACS ITEMS " ma:format="Dropdown" ma:internalName="JACSITEMS">
      <xsd:simpleType>
        <xsd:restriction base="dms:Note">
          <xsd:maxLength value="255"/>
        </xsd:restriction>
      </xsd:simpleType>
    </xsd:element>
    <xsd:element name="AttendanceRequired" ma:index="14" nillable="true" ma:displayName="Attendance Required" ma:default="1" ma:format="Dropdown" ma:internalName="AttendanceRequired">
      <xsd:simpleType>
        <xsd:restriction base="dms:Boolea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b4ef72-48bb-414b-9145-d71cfc9bb6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72b55b3-4feb-4bf7-a216-0dac91a3caef}" ma:internalName="TaxCatchAll" ma:showField="CatchAllData" ma:web="38b4ef72-48bb-414b-9145-d71cfc9bb6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C03D3-D97C-4D98-90D7-4457856BE03E}">
  <ds:schemaRefs>
    <ds:schemaRef ds:uri="http://schemas.microsoft.com/sharepoint/v3/contenttype/forms"/>
  </ds:schemaRefs>
</ds:datastoreItem>
</file>

<file path=customXml/itemProps2.xml><?xml version="1.0" encoding="utf-8"?>
<ds:datastoreItem xmlns:ds="http://schemas.openxmlformats.org/officeDocument/2006/customXml" ds:itemID="{742ACE6D-2A5C-4FF9-91AD-CAD0DA6DE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9e175-73fc-42ca-9535-6b65a62dc54f"/>
    <ds:schemaRef ds:uri="38b4ef72-48bb-414b-9145-d71cfc9bb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3054</Characters>
  <Application>Microsoft Office Word</Application>
  <DocSecurity>0</DocSecurity>
  <Lines>71</Lines>
  <Paragraphs>35</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2004-04-05T00:37:00Z</cp:lastPrinted>
  <dcterms:created xsi:type="dcterms:W3CDTF">2026-09-16T05:54:00Z</dcterms:created>
  <dcterms:modified xsi:type="dcterms:W3CDTF">2026-09-16T05:54:00Z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2024-05-06T05:27:51Z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739a4039-2192-4cb2-bab2-1cf11428cfc4</vt:lpwstr>
  </property>
  <property fmtid="{D5CDD505-2E9C-101B-9397-08002B2CF9AE}" pid="8" name="MSIP_Label_69af8531-eb46-4968-8cb3-105d2f5ea87e_ContentBits">
    <vt:lpwstr>0</vt:lpwstr>
  </property>
  <property fmtid="{D5CDD505-2E9C-101B-9397-08002B2CF9AE}" pid="9" name="ContentTypeId">
    <vt:lpwstr>0x010100D9C550CA7E2FD645B9F6F1E8C412B5A6</vt:lpwstr>
  </property>
  <property fmtid="{D5CDD505-2E9C-101B-9397-08002B2CF9AE}" pid="10" name="CHECKEDOUTFROMJMS">
    <vt:lpwstr/>
  </property>
  <property fmtid="{D5CDD505-2E9C-101B-9397-08002B2CF9AE}" pid="11" name="DMSID">
    <vt:lpwstr>15941199</vt:lpwstr>
  </property>
  <property fmtid="{D5CDD505-2E9C-101B-9397-08002B2CF9AE}" pid="12" name="JMSREQUIREDCHECKIN">
    <vt:lpwstr/>
  </property>
</Properties>
</file>