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C5F9B" w14:textId="77777777" w:rsidR="00E90DF9" w:rsidRPr="008C3B92" w:rsidRDefault="00E90DF9" w:rsidP="00E90DF9">
      <w:pPr>
        <w:spacing w:after="0"/>
        <w:rPr>
          <w:rFonts w:ascii="Arial" w:hAnsi="Arial" w:cs="Arial"/>
          <w:b/>
          <w:bCs/>
          <w:sz w:val="24"/>
          <w:szCs w:val="24"/>
        </w:rPr>
      </w:pPr>
    </w:p>
    <w:p w14:paraId="5C6C9ECA" w14:textId="21C06ABF" w:rsidR="00E90DF9" w:rsidRPr="00BB387E" w:rsidRDefault="00E90DF9" w:rsidP="00E90DF9">
      <w:pPr>
        <w:spacing w:after="0"/>
        <w:jc w:val="center"/>
        <w:rPr>
          <w:rFonts w:ascii="Arial" w:hAnsi="Arial" w:cs="Arial"/>
          <w:b/>
          <w:bCs/>
          <w:sz w:val="24"/>
          <w:szCs w:val="24"/>
        </w:rPr>
      </w:pPr>
      <w:r w:rsidRPr="00BB387E">
        <w:rPr>
          <w:rFonts w:ascii="Arial" w:hAnsi="Arial" w:cs="Arial"/>
          <w:b/>
          <w:bCs/>
          <w:sz w:val="24"/>
          <w:szCs w:val="24"/>
        </w:rPr>
        <w:t>20</w:t>
      </w:r>
      <w:r>
        <w:rPr>
          <w:rFonts w:ascii="Arial" w:hAnsi="Arial" w:cs="Arial"/>
          <w:b/>
          <w:bCs/>
          <w:sz w:val="24"/>
          <w:szCs w:val="24"/>
        </w:rPr>
        <w:t>2</w:t>
      </w:r>
      <w:r w:rsidR="00BB7B6E">
        <w:rPr>
          <w:rFonts w:ascii="Arial" w:hAnsi="Arial" w:cs="Arial"/>
          <w:b/>
          <w:bCs/>
          <w:sz w:val="24"/>
          <w:szCs w:val="24"/>
        </w:rPr>
        <w:t>6</w:t>
      </w:r>
    </w:p>
    <w:p w14:paraId="4E149149" w14:textId="77777777" w:rsidR="00E90DF9" w:rsidRPr="00BB387E" w:rsidRDefault="00E90DF9" w:rsidP="00E90DF9">
      <w:pPr>
        <w:spacing w:after="0"/>
        <w:jc w:val="center"/>
        <w:rPr>
          <w:rFonts w:ascii="Arial" w:hAnsi="Arial" w:cs="Arial"/>
          <w:b/>
          <w:sz w:val="24"/>
          <w:szCs w:val="24"/>
        </w:rPr>
      </w:pPr>
    </w:p>
    <w:p w14:paraId="06167890" w14:textId="77777777" w:rsidR="00E90DF9" w:rsidRPr="00BB387E" w:rsidRDefault="00E90DF9" w:rsidP="00E90DF9">
      <w:pPr>
        <w:spacing w:after="0"/>
        <w:jc w:val="center"/>
        <w:rPr>
          <w:rFonts w:ascii="Arial" w:hAnsi="Arial" w:cs="Arial"/>
          <w:b/>
          <w:sz w:val="24"/>
          <w:szCs w:val="24"/>
        </w:rPr>
      </w:pPr>
    </w:p>
    <w:p w14:paraId="271BD407" w14:textId="77777777" w:rsidR="00E90DF9" w:rsidRPr="00BB387E" w:rsidRDefault="00E90DF9" w:rsidP="00E90DF9">
      <w:pPr>
        <w:spacing w:after="0"/>
        <w:jc w:val="center"/>
        <w:rPr>
          <w:rFonts w:ascii="Arial" w:hAnsi="Arial" w:cs="Arial"/>
          <w:b/>
          <w:sz w:val="24"/>
          <w:szCs w:val="24"/>
        </w:rPr>
      </w:pPr>
    </w:p>
    <w:p w14:paraId="71A1CE5B" w14:textId="77777777" w:rsidR="00E90DF9" w:rsidRPr="00BB387E" w:rsidRDefault="00E90DF9" w:rsidP="00E90DF9">
      <w:pPr>
        <w:spacing w:after="0"/>
        <w:jc w:val="center"/>
        <w:rPr>
          <w:rFonts w:ascii="Arial" w:hAnsi="Arial" w:cs="Arial"/>
          <w:b/>
          <w:sz w:val="24"/>
          <w:szCs w:val="24"/>
        </w:rPr>
      </w:pPr>
    </w:p>
    <w:p w14:paraId="677673A4" w14:textId="77777777" w:rsidR="00E90DF9" w:rsidRPr="00BB387E" w:rsidRDefault="00E90DF9" w:rsidP="00E90DF9">
      <w:pPr>
        <w:spacing w:after="0"/>
        <w:jc w:val="center"/>
        <w:rPr>
          <w:rFonts w:ascii="Arial" w:hAnsi="Arial" w:cs="Arial"/>
          <w:b/>
          <w:bCs/>
          <w:sz w:val="24"/>
          <w:szCs w:val="24"/>
        </w:rPr>
      </w:pPr>
    </w:p>
    <w:p w14:paraId="463F3AB6" w14:textId="77777777" w:rsidR="00E90DF9" w:rsidRPr="00BB387E" w:rsidRDefault="00E90DF9" w:rsidP="00E90DF9">
      <w:pPr>
        <w:spacing w:after="0"/>
        <w:jc w:val="center"/>
        <w:rPr>
          <w:rFonts w:ascii="Arial" w:hAnsi="Arial" w:cs="Arial"/>
          <w:b/>
          <w:bCs/>
          <w:sz w:val="24"/>
          <w:szCs w:val="24"/>
        </w:rPr>
      </w:pPr>
    </w:p>
    <w:p w14:paraId="02BC33AF" w14:textId="77777777" w:rsidR="00E90DF9" w:rsidRPr="00BB387E" w:rsidRDefault="00E90DF9" w:rsidP="00E90DF9">
      <w:pPr>
        <w:spacing w:after="0"/>
        <w:jc w:val="center"/>
        <w:rPr>
          <w:rFonts w:ascii="Arial" w:hAnsi="Arial" w:cs="Arial"/>
          <w:b/>
          <w:bCs/>
          <w:sz w:val="24"/>
          <w:szCs w:val="24"/>
        </w:rPr>
      </w:pPr>
      <w:r w:rsidRPr="00BB387E">
        <w:rPr>
          <w:rFonts w:ascii="Arial" w:hAnsi="Arial" w:cs="Arial"/>
          <w:b/>
          <w:bCs/>
          <w:sz w:val="24"/>
          <w:szCs w:val="24"/>
        </w:rPr>
        <w:t>THE LEGISLATIVE ASSEMBLY FOR THE</w:t>
      </w:r>
    </w:p>
    <w:p w14:paraId="091772B4" w14:textId="77777777" w:rsidR="00E90DF9" w:rsidRPr="00BB387E" w:rsidRDefault="00E90DF9" w:rsidP="00E90DF9">
      <w:pPr>
        <w:spacing w:after="0"/>
        <w:jc w:val="center"/>
        <w:rPr>
          <w:rFonts w:ascii="Arial" w:hAnsi="Arial" w:cs="Arial"/>
          <w:b/>
          <w:sz w:val="24"/>
          <w:szCs w:val="24"/>
        </w:rPr>
      </w:pPr>
      <w:r w:rsidRPr="00BB387E">
        <w:rPr>
          <w:rFonts w:ascii="Arial" w:hAnsi="Arial" w:cs="Arial"/>
          <w:b/>
          <w:bCs/>
          <w:sz w:val="24"/>
          <w:szCs w:val="24"/>
        </w:rPr>
        <w:t>AUSTRALIAN CAPITAL TERRITORY</w:t>
      </w:r>
    </w:p>
    <w:p w14:paraId="63982AB9" w14:textId="77777777" w:rsidR="00E90DF9" w:rsidRPr="00BB387E" w:rsidRDefault="00E90DF9" w:rsidP="00E90DF9">
      <w:pPr>
        <w:spacing w:after="0"/>
        <w:jc w:val="center"/>
        <w:rPr>
          <w:rFonts w:ascii="Arial" w:hAnsi="Arial" w:cs="Arial"/>
          <w:b/>
          <w:sz w:val="24"/>
          <w:szCs w:val="24"/>
        </w:rPr>
      </w:pPr>
    </w:p>
    <w:p w14:paraId="5FABE90A" w14:textId="77777777" w:rsidR="00E90DF9" w:rsidRPr="00BB387E" w:rsidRDefault="00E90DF9" w:rsidP="00E90DF9">
      <w:pPr>
        <w:spacing w:after="0"/>
        <w:jc w:val="center"/>
        <w:rPr>
          <w:rFonts w:ascii="Arial" w:hAnsi="Arial" w:cs="Arial"/>
          <w:b/>
          <w:sz w:val="24"/>
          <w:szCs w:val="24"/>
        </w:rPr>
      </w:pPr>
    </w:p>
    <w:p w14:paraId="6118207D" w14:textId="77777777" w:rsidR="00E90DF9" w:rsidRPr="00BB387E" w:rsidRDefault="00E90DF9" w:rsidP="00E90DF9">
      <w:pPr>
        <w:spacing w:after="0"/>
        <w:jc w:val="center"/>
        <w:rPr>
          <w:rFonts w:ascii="Arial" w:hAnsi="Arial" w:cs="Arial"/>
          <w:b/>
          <w:sz w:val="24"/>
          <w:szCs w:val="24"/>
        </w:rPr>
      </w:pPr>
    </w:p>
    <w:p w14:paraId="12B1793E" w14:textId="77777777" w:rsidR="00E90DF9" w:rsidRPr="00BB387E" w:rsidRDefault="00E90DF9" w:rsidP="00E90DF9">
      <w:pPr>
        <w:spacing w:after="0"/>
        <w:jc w:val="center"/>
        <w:rPr>
          <w:rFonts w:ascii="Arial" w:hAnsi="Arial" w:cs="Arial"/>
          <w:b/>
          <w:sz w:val="24"/>
          <w:szCs w:val="24"/>
        </w:rPr>
      </w:pPr>
    </w:p>
    <w:p w14:paraId="3D84F818" w14:textId="77777777" w:rsidR="00E90DF9" w:rsidRPr="00BB387E" w:rsidRDefault="00E90DF9" w:rsidP="00E90DF9">
      <w:pPr>
        <w:spacing w:after="0"/>
        <w:jc w:val="center"/>
        <w:rPr>
          <w:rFonts w:ascii="Arial" w:hAnsi="Arial" w:cs="Arial"/>
          <w:b/>
          <w:sz w:val="24"/>
          <w:szCs w:val="24"/>
        </w:rPr>
      </w:pPr>
    </w:p>
    <w:p w14:paraId="312E8FE1" w14:textId="77777777" w:rsidR="00E90DF9" w:rsidRPr="00BB387E" w:rsidRDefault="00E90DF9" w:rsidP="00E90DF9">
      <w:pPr>
        <w:spacing w:after="0"/>
        <w:jc w:val="center"/>
        <w:rPr>
          <w:rFonts w:ascii="Arial" w:hAnsi="Arial" w:cs="Arial"/>
          <w:b/>
          <w:sz w:val="24"/>
          <w:szCs w:val="24"/>
        </w:rPr>
      </w:pPr>
    </w:p>
    <w:p w14:paraId="62527870" w14:textId="77777777" w:rsidR="00E90DF9" w:rsidRPr="00BB387E" w:rsidRDefault="00E90DF9" w:rsidP="00E90DF9">
      <w:pPr>
        <w:spacing w:after="0"/>
        <w:jc w:val="center"/>
        <w:rPr>
          <w:rFonts w:ascii="Arial" w:hAnsi="Arial" w:cs="Arial"/>
          <w:b/>
          <w:sz w:val="24"/>
          <w:szCs w:val="24"/>
        </w:rPr>
      </w:pPr>
    </w:p>
    <w:p w14:paraId="10E34864" w14:textId="77777777" w:rsidR="00E90DF9" w:rsidRPr="00BB387E" w:rsidRDefault="00E90DF9" w:rsidP="00E90DF9">
      <w:pPr>
        <w:spacing w:after="0"/>
        <w:jc w:val="center"/>
        <w:rPr>
          <w:rFonts w:ascii="Arial" w:hAnsi="Arial" w:cs="Arial"/>
          <w:b/>
          <w:sz w:val="24"/>
          <w:szCs w:val="24"/>
        </w:rPr>
      </w:pPr>
    </w:p>
    <w:p w14:paraId="7A5CE6C9" w14:textId="77777777" w:rsidR="00E90DF9" w:rsidRPr="00BB387E" w:rsidRDefault="00E90DF9" w:rsidP="00E90DF9">
      <w:pPr>
        <w:spacing w:after="0"/>
        <w:jc w:val="center"/>
        <w:rPr>
          <w:rFonts w:ascii="Arial" w:hAnsi="Arial" w:cs="Arial"/>
          <w:b/>
          <w:sz w:val="24"/>
          <w:szCs w:val="24"/>
        </w:rPr>
      </w:pPr>
    </w:p>
    <w:p w14:paraId="590EB1A4" w14:textId="70483B6A" w:rsidR="00E90DF9" w:rsidRPr="00963075" w:rsidRDefault="00E96E53" w:rsidP="00E90DF9">
      <w:pPr>
        <w:spacing w:after="0"/>
        <w:jc w:val="center"/>
        <w:rPr>
          <w:rFonts w:ascii="Arial" w:hAnsi="Arial" w:cs="Arial"/>
          <w:b/>
          <w:bCs/>
          <w:sz w:val="24"/>
          <w:szCs w:val="24"/>
        </w:rPr>
      </w:pPr>
      <w:r>
        <w:rPr>
          <w:rFonts w:ascii="Arial" w:hAnsi="Arial" w:cs="Arial"/>
          <w:b/>
          <w:bCs/>
          <w:sz w:val="24"/>
          <w:szCs w:val="24"/>
        </w:rPr>
        <w:t>GAMBLING AND RACING CONTROL (GAMBLING EXCLUSION) AMENDMENT</w:t>
      </w:r>
      <w:r w:rsidR="00460BB9" w:rsidRPr="00963075">
        <w:rPr>
          <w:rFonts w:ascii="Arial" w:hAnsi="Arial" w:cs="Arial"/>
          <w:b/>
          <w:bCs/>
          <w:sz w:val="24"/>
          <w:szCs w:val="24"/>
        </w:rPr>
        <w:t xml:space="preserve"> BILL 202</w:t>
      </w:r>
      <w:r>
        <w:rPr>
          <w:rFonts w:ascii="Arial" w:hAnsi="Arial" w:cs="Arial"/>
          <w:b/>
          <w:bCs/>
          <w:sz w:val="24"/>
          <w:szCs w:val="24"/>
        </w:rPr>
        <w:t>6</w:t>
      </w:r>
    </w:p>
    <w:p w14:paraId="23C1CDE7" w14:textId="77777777" w:rsidR="00E90DF9" w:rsidRPr="00963075" w:rsidRDefault="00E90DF9" w:rsidP="00E90DF9">
      <w:pPr>
        <w:spacing w:after="0"/>
        <w:jc w:val="center"/>
        <w:rPr>
          <w:rFonts w:ascii="Arial" w:hAnsi="Arial" w:cs="Arial"/>
          <w:b/>
          <w:bCs/>
          <w:sz w:val="24"/>
          <w:szCs w:val="24"/>
        </w:rPr>
      </w:pPr>
    </w:p>
    <w:p w14:paraId="5D04CAEB" w14:textId="77777777" w:rsidR="00E90DF9" w:rsidRPr="00963075" w:rsidRDefault="00E90DF9" w:rsidP="00E90DF9">
      <w:pPr>
        <w:spacing w:after="0"/>
        <w:jc w:val="center"/>
        <w:rPr>
          <w:rFonts w:ascii="Arial" w:hAnsi="Arial" w:cs="Arial"/>
          <w:b/>
          <w:sz w:val="24"/>
          <w:szCs w:val="24"/>
        </w:rPr>
      </w:pPr>
    </w:p>
    <w:p w14:paraId="25D1DDA5" w14:textId="77777777" w:rsidR="00963075" w:rsidRDefault="00963075" w:rsidP="00E90DF9">
      <w:pPr>
        <w:spacing w:after="0"/>
        <w:jc w:val="center"/>
        <w:rPr>
          <w:rFonts w:ascii="Arial" w:hAnsi="Arial" w:cs="Arial"/>
          <w:i/>
          <w:iCs/>
          <w:sz w:val="24"/>
          <w:szCs w:val="24"/>
        </w:rPr>
      </w:pPr>
    </w:p>
    <w:p w14:paraId="664BEC68" w14:textId="73EEB53B" w:rsidR="00E90DF9" w:rsidRPr="00963075" w:rsidRDefault="00E90DF9" w:rsidP="00E90DF9">
      <w:pPr>
        <w:spacing w:after="0"/>
        <w:jc w:val="center"/>
        <w:rPr>
          <w:rFonts w:ascii="Arial" w:hAnsi="Arial" w:cs="Arial"/>
          <w:b/>
          <w:bCs/>
          <w:sz w:val="24"/>
          <w:szCs w:val="24"/>
        </w:rPr>
      </w:pPr>
      <w:r w:rsidRPr="00963075">
        <w:rPr>
          <w:rFonts w:ascii="Arial" w:hAnsi="Arial" w:cs="Arial"/>
          <w:b/>
          <w:bCs/>
          <w:sz w:val="24"/>
          <w:szCs w:val="24"/>
        </w:rPr>
        <w:t>EXPLANATORY STATEMENT</w:t>
      </w:r>
    </w:p>
    <w:p w14:paraId="09B948FF" w14:textId="77777777" w:rsidR="00E90DF9" w:rsidRPr="00963075" w:rsidRDefault="00E90DF9" w:rsidP="00E90DF9">
      <w:pPr>
        <w:spacing w:after="0"/>
        <w:jc w:val="center"/>
        <w:rPr>
          <w:rFonts w:ascii="Arial" w:hAnsi="Arial" w:cs="Arial"/>
          <w:b/>
          <w:bCs/>
          <w:sz w:val="24"/>
          <w:szCs w:val="24"/>
        </w:rPr>
      </w:pPr>
      <w:r w:rsidRPr="00963075">
        <w:rPr>
          <w:rFonts w:ascii="Arial" w:hAnsi="Arial" w:cs="Arial"/>
          <w:b/>
          <w:bCs/>
          <w:sz w:val="24"/>
          <w:szCs w:val="24"/>
        </w:rPr>
        <w:t>and</w:t>
      </w:r>
    </w:p>
    <w:p w14:paraId="243211BD" w14:textId="6A84639F" w:rsidR="00E90DF9" w:rsidRPr="00963075" w:rsidRDefault="00E90DF9" w:rsidP="00E90DF9">
      <w:pPr>
        <w:spacing w:after="0"/>
        <w:jc w:val="center"/>
        <w:rPr>
          <w:rFonts w:ascii="Arial" w:hAnsi="Arial" w:cs="Arial"/>
          <w:b/>
          <w:bCs/>
          <w:sz w:val="24"/>
          <w:szCs w:val="24"/>
        </w:rPr>
      </w:pPr>
      <w:r w:rsidRPr="00963075">
        <w:rPr>
          <w:rFonts w:ascii="Arial" w:hAnsi="Arial" w:cs="Arial"/>
          <w:b/>
          <w:bCs/>
          <w:sz w:val="24"/>
          <w:szCs w:val="24"/>
        </w:rPr>
        <w:t>HUMAN RIGHTS COMPATIBILITY STATEMENT</w:t>
      </w:r>
    </w:p>
    <w:p w14:paraId="2FDF54DB" w14:textId="77777777" w:rsidR="00E90DF9" w:rsidRPr="00963075" w:rsidRDefault="00E90DF9" w:rsidP="00E90DF9">
      <w:pPr>
        <w:spacing w:after="0"/>
        <w:jc w:val="center"/>
        <w:rPr>
          <w:rFonts w:ascii="Arial" w:hAnsi="Arial" w:cs="Arial"/>
          <w:b/>
          <w:sz w:val="24"/>
          <w:szCs w:val="24"/>
        </w:rPr>
      </w:pPr>
      <w:r w:rsidRPr="00963075">
        <w:rPr>
          <w:rFonts w:ascii="Arial" w:hAnsi="Arial" w:cs="Arial"/>
          <w:b/>
          <w:bCs/>
          <w:sz w:val="24"/>
          <w:szCs w:val="24"/>
        </w:rPr>
        <w:t>(</w:t>
      </w:r>
      <w:r w:rsidRPr="00963075">
        <w:rPr>
          <w:rFonts w:ascii="Arial" w:hAnsi="Arial" w:cs="Arial"/>
          <w:b/>
          <w:bCs/>
          <w:i/>
          <w:iCs/>
          <w:sz w:val="24"/>
          <w:szCs w:val="24"/>
        </w:rPr>
        <w:t>Human Rights Act 2004</w:t>
      </w:r>
      <w:r w:rsidRPr="00963075">
        <w:rPr>
          <w:rFonts w:ascii="Arial" w:hAnsi="Arial" w:cs="Arial"/>
          <w:b/>
          <w:bCs/>
          <w:sz w:val="24"/>
          <w:szCs w:val="24"/>
        </w:rPr>
        <w:t>, s 37)</w:t>
      </w:r>
    </w:p>
    <w:p w14:paraId="25C71D31" w14:textId="77777777" w:rsidR="00E90DF9" w:rsidRPr="00963075" w:rsidRDefault="00E90DF9" w:rsidP="00E90DF9">
      <w:pPr>
        <w:spacing w:after="0"/>
        <w:jc w:val="center"/>
        <w:rPr>
          <w:rFonts w:ascii="Arial" w:hAnsi="Arial" w:cs="Arial"/>
          <w:b/>
          <w:sz w:val="24"/>
          <w:szCs w:val="24"/>
        </w:rPr>
      </w:pPr>
    </w:p>
    <w:p w14:paraId="62B7AD27" w14:textId="77777777" w:rsidR="00E90DF9" w:rsidRPr="00963075" w:rsidRDefault="00E90DF9" w:rsidP="00E90DF9">
      <w:pPr>
        <w:spacing w:after="0"/>
        <w:jc w:val="center"/>
        <w:rPr>
          <w:rFonts w:ascii="Arial" w:hAnsi="Arial" w:cs="Arial"/>
          <w:b/>
          <w:sz w:val="24"/>
          <w:szCs w:val="24"/>
        </w:rPr>
      </w:pPr>
    </w:p>
    <w:p w14:paraId="3B7A8E87" w14:textId="77777777" w:rsidR="00E90DF9" w:rsidRPr="00963075" w:rsidRDefault="00E90DF9" w:rsidP="00E90DF9">
      <w:pPr>
        <w:spacing w:after="0"/>
        <w:jc w:val="center"/>
        <w:rPr>
          <w:rFonts w:ascii="Arial" w:hAnsi="Arial" w:cs="Arial"/>
          <w:b/>
          <w:sz w:val="24"/>
          <w:szCs w:val="24"/>
        </w:rPr>
      </w:pPr>
    </w:p>
    <w:p w14:paraId="3D25356F" w14:textId="77777777" w:rsidR="00E90DF9" w:rsidRPr="00963075" w:rsidRDefault="00E90DF9" w:rsidP="00E90DF9">
      <w:pPr>
        <w:spacing w:after="0"/>
        <w:jc w:val="center"/>
        <w:rPr>
          <w:rFonts w:ascii="Arial" w:hAnsi="Arial" w:cs="Arial"/>
          <w:b/>
          <w:sz w:val="24"/>
          <w:szCs w:val="24"/>
        </w:rPr>
      </w:pPr>
    </w:p>
    <w:p w14:paraId="5A9A0527" w14:textId="77777777" w:rsidR="00E90DF9" w:rsidRPr="00963075" w:rsidRDefault="00E90DF9" w:rsidP="00E90DF9">
      <w:pPr>
        <w:spacing w:after="0"/>
        <w:jc w:val="center"/>
        <w:rPr>
          <w:rFonts w:ascii="Arial" w:hAnsi="Arial" w:cs="Arial"/>
          <w:b/>
          <w:sz w:val="24"/>
          <w:szCs w:val="24"/>
        </w:rPr>
      </w:pPr>
    </w:p>
    <w:p w14:paraId="4CDC9EA3" w14:textId="77777777" w:rsidR="00E90DF9" w:rsidRPr="00963075" w:rsidRDefault="00E90DF9" w:rsidP="00E90DF9">
      <w:pPr>
        <w:spacing w:after="0"/>
        <w:jc w:val="center"/>
        <w:rPr>
          <w:rFonts w:ascii="Arial" w:hAnsi="Arial" w:cs="Arial"/>
          <w:b/>
          <w:sz w:val="24"/>
          <w:szCs w:val="24"/>
        </w:rPr>
      </w:pPr>
    </w:p>
    <w:p w14:paraId="01179C4F" w14:textId="77777777" w:rsidR="00E90DF9" w:rsidRPr="00963075" w:rsidRDefault="00E90DF9" w:rsidP="00E90DF9">
      <w:pPr>
        <w:keepNext/>
        <w:widowControl w:val="0"/>
        <w:spacing w:after="0"/>
        <w:jc w:val="center"/>
        <w:outlineLvl w:val="7"/>
        <w:rPr>
          <w:rFonts w:ascii="Arial" w:hAnsi="Arial" w:cs="Arial"/>
          <w:b/>
          <w:bCs/>
          <w:sz w:val="24"/>
          <w:szCs w:val="24"/>
        </w:rPr>
      </w:pPr>
    </w:p>
    <w:p w14:paraId="63FA2BF3" w14:textId="77777777" w:rsidR="00B9385E" w:rsidRDefault="00B9385E" w:rsidP="00E90DF9">
      <w:pPr>
        <w:keepNext/>
        <w:widowControl w:val="0"/>
        <w:spacing w:after="0"/>
        <w:jc w:val="center"/>
        <w:outlineLvl w:val="7"/>
        <w:rPr>
          <w:rFonts w:ascii="Arial" w:hAnsi="Arial" w:cs="Arial"/>
          <w:b/>
          <w:bCs/>
          <w:sz w:val="24"/>
          <w:szCs w:val="24"/>
        </w:rPr>
      </w:pPr>
    </w:p>
    <w:p w14:paraId="6D031206" w14:textId="77777777" w:rsidR="002E24E3" w:rsidRPr="00963075" w:rsidRDefault="002E24E3" w:rsidP="00E90DF9">
      <w:pPr>
        <w:keepNext/>
        <w:widowControl w:val="0"/>
        <w:spacing w:after="0"/>
        <w:jc w:val="center"/>
        <w:outlineLvl w:val="7"/>
        <w:rPr>
          <w:rFonts w:ascii="Arial" w:hAnsi="Arial" w:cs="Arial"/>
          <w:b/>
          <w:bCs/>
          <w:sz w:val="24"/>
          <w:szCs w:val="24"/>
        </w:rPr>
      </w:pPr>
    </w:p>
    <w:p w14:paraId="158291B5" w14:textId="77777777" w:rsidR="00B9385E" w:rsidRPr="00963075" w:rsidRDefault="00B9385E" w:rsidP="00E90DF9">
      <w:pPr>
        <w:keepNext/>
        <w:widowControl w:val="0"/>
        <w:spacing w:after="0"/>
        <w:jc w:val="center"/>
        <w:outlineLvl w:val="7"/>
        <w:rPr>
          <w:rFonts w:ascii="Arial" w:hAnsi="Arial" w:cs="Arial"/>
          <w:b/>
          <w:bCs/>
          <w:sz w:val="24"/>
          <w:szCs w:val="24"/>
        </w:rPr>
      </w:pPr>
    </w:p>
    <w:p w14:paraId="3547463A" w14:textId="77777777" w:rsidR="00B9385E" w:rsidRPr="00963075" w:rsidRDefault="00B9385E" w:rsidP="00D978E9">
      <w:pPr>
        <w:keepNext/>
        <w:widowControl w:val="0"/>
        <w:spacing w:after="0"/>
        <w:outlineLvl w:val="7"/>
        <w:rPr>
          <w:rFonts w:ascii="Arial" w:hAnsi="Arial" w:cs="Arial"/>
          <w:b/>
          <w:bCs/>
          <w:sz w:val="24"/>
          <w:szCs w:val="24"/>
        </w:rPr>
      </w:pPr>
    </w:p>
    <w:p w14:paraId="461523AD" w14:textId="77777777" w:rsidR="00E90DF9" w:rsidRPr="00963075" w:rsidRDefault="00E90DF9" w:rsidP="00E90DF9">
      <w:pPr>
        <w:keepNext/>
        <w:widowControl w:val="0"/>
        <w:spacing w:after="0"/>
        <w:ind w:right="686"/>
        <w:jc w:val="right"/>
        <w:outlineLvl w:val="7"/>
        <w:rPr>
          <w:rFonts w:ascii="Arial" w:hAnsi="Arial" w:cs="Arial"/>
          <w:b/>
          <w:bCs/>
          <w:sz w:val="24"/>
          <w:szCs w:val="24"/>
        </w:rPr>
      </w:pPr>
      <w:r w:rsidRPr="00963075">
        <w:rPr>
          <w:rFonts w:ascii="Arial" w:hAnsi="Arial" w:cs="Arial"/>
          <w:b/>
          <w:bCs/>
          <w:sz w:val="24"/>
          <w:szCs w:val="24"/>
        </w:rPr>
        <w:t>Presented by</w:t>
      </w:r>
    </w:p>
    <w:p w14:paraId="2B65FA14" w14:textId="221A4E7C" w:rsidR="00E90DF9" w:rsidRDefault="00617097" w:rsidP="00617097">
      <w:pPr>
        <w:spacing w:after="0"/>
        <w:ind w:right="686"/>
        <w:jc w:val="right"/>
        <w:rPr>
          <w:rFonts w:ascii="Arial" w:hAnsi="Arial" w:cs="Arial"/>
          <w:b/>
          <w:bCs/>
          <w:sz w:val="24"/>
          <w:szCs w:val="24"/>
        </w:rPr>
      </w:pPr>
      <w:r>
        <w:rPr>
          <w:rFonts w:ascii="Arial" w:hAnsi="Arial" w:cs="Arial"/>
          <w:b/>
          <w:bCs/>
          <w:sz w:val="24"/>
          <w:szCs w:val="24"/>
        </w:rPr>
        <w:t>Marisa Paterson</w:t>
      </w:r>
      <w:r w:rsidR="00E96E53">
        <w:rPr>
          <w:rFonts w:ascii="Arial" w:hAnsi="Arial" w:cs="Arial"/>
          <w:b/>
          <w:bCs/>
          <w:sz w:val="24"/>
          <w:szCs w:val="24"/>
        </w:rPr>
        <w:t xml:space="preserve"> </w:t>
      </w:r>
      <w:r>
        <w:rPr>
          <w:rFonts w:ascii="Arial" w:hAnsi="Arial" w:cs="Arial"/>
          <w:b/>
          <w:bCs/>
          <w:sz w:val="24"/>
          <w:szCs w:val="24"/>
        </w:rPr>
        <w:t>MLA</w:t>
      </w:r>
    </w:p>
    <w:p w14:paraId="7FDE1BAA" w14:textId="24DD4BA5" w:rsidR="00617097" w:rsidRPr="00963075" w:rsidRDefault="00617097" w:rsidP="00617097">
      <w:pPr>
        <w:spacing w:after="0"/>
        <w:ind w:right="686"/>
        <w:jc w:val="right"/>
        <w:rPr>
          <w:rFonts w:ascii="Arial" w:hAnsi="Arial" w:cs="Arial"/>
          <w:b/>
          <w:bCs/>
          <w:sz w:val="24"/>
          <w:szCs w:val="24"/>
        </w:rPr>
      </w:pPr>
      <w:r>
        <w:rPr>
          <w:rFonts w:ascii="Arial" w:hAnsi="Arial" w:cs="Arial"/>
          <w:b/>
          <w:bCs/>
          <w:sz w:val="24"/>
          <w:szCs w:val="24"/>
        </w:rPr>
        <w:t>Minister for Gaming Reform</w:t>
      </w:r>
    </w:p>
    <w:p w14:paraId="764EA7E1" w14:textId="521A1F2D" w:rsidR="00E90DF9" w:rsidRPr="008C3B92" w:rsidRDefault="00E90DF9" w:rsidP="00E90DF9">
      <w:pPr>
        <w:spacing w:after="0" w:line="240" w:lineRule="auto"/>
        <w:rPr>
          <w:rFonts w:ascii="Arial" w:hAnsi="Arial" w:cs="Arial"/>
          <w:b/>
          <w:bCs/>
          <w:sz w:val="24"/>
          <w:szCs w:val="24"/>
          <w:u w:val="single"/>
        </w:rPr>
        <w:sectPr w:rsidR="00E90DF9" w:rsidRPr="008C3B92">
          <w:headerReference w:type="even" r:id="rId11"/>
          <w:headerReference w:type="default" r:id="rId12"/>
          <w:footerReference w:type="even" r:id="rId13"/>
          <w:footerReference w:type="default" r:id="rId14"/>
          <w:headerReference w:type="first" r:id="rId15"/>
          <w:footerReference w:type="first" r:id="rId16"/>
          <w:pgSz w:w="11906" w:h="16838"/>
          <w:pgMar w:top="1276" w:right="1440" w:bottom="1440" w:left="1440" w:header="709" w:footer="675" w:gutter="0"/>
          <w:pgNumType w:start="1"/>
          <w:cols w:space="708"/>
          <w:docGrid w:linePitch="360"/>
        </w:sectPr>
      </w:pPr>
      <w:r w:rsidRPr="008C3B92">
        <w:rPr>
          <w:rFonts w:ascii="Arial" w:hAnsi="Arial" w:cs="Arial"/>
          <w:b/>
          <w:bCs/>
          <w:sz w:val="24"/>
          <w:szCs w:val="24"/>
          <w:u w:val="single"/>
        </w:rPr>
        <w:br w:type="page"/>
      </w:r>
    </w:p>
    <w:p w14:paraId="42D2423C" w14:textId="77777777" w:rsidR="0027703B" w:rsidRDefault="0027703B" w:rsidP="00187F84">
      <w:pPr>
        <w:spacing w:after="0"/>
        <w:contextualSpacing/>
        <w:jc w:val="center"/>
        <w:rPr>
          <w:rFonts w:ascii="Arial" w:eastAsiaTheme="majorEastAsia" w:hAnsi="Arial"/>
          <w:b/>
          <w:bCs/>
          <w:sz w:val="28"/>
          <w:szCs w:val="28"/>
        </w:rPr>
      </w:pPr>
    </w:p>
    <w:p w14:paraId="791A60D0" w14:textId="3329A503" w:rsidR="00E90DF9" w:rsidRDefault="00187F84" w:rsidP="00187F84">
      <w:pPr>
        <w:spacing w:after="0"/>
        <w:contextualSpacing/>
        <w:jc w:val="center"/>
        <w:rPr>
          <w:rFonts w:ascii="Arial" w:eastAsiaTheme="majorEastAsia" w:hAnsi="Arial"/>
          <w:b/>
          <w:bCs/>
          <w:sz w:val="28"/>
          <w:szCs w:val="28"/>
        </w:rPr>
      </w:pPr>
      <w:r w:rsidRPr="00187F84">
        <w:rPr>
          <w:rFonts w:ascii="Arial" w:eastAsiaTheme="majorEastAsia" w:hAnsi="Arial"/>
          <w:b/>
          <w:bCs/>
          <w:sz w:val="28"/>
          <w:szCs w:val="28"/>
        </w:rPr>
        <w:t xml:space="preserve">GAMBLING </w:t>
      </w:r>
      <w:r w:rsidR="00A22CA8">
        <w:rPr>
          <w:rFonts w:ascii="Arial" w:eastAsiaTheme="majorEastAsia" w:hAnsi="Arial"/>
          <w:b/>
          <w:bCs/>
          <w:sz w:val="28"/>
          <w:szCs w:val="28"/>
        </w:rPr>
        <w:t>AND RACI</w:t>
      </w:r>
      <w:r w:rsidR="00104237">
        <w:rPr>
          <w:rFonts w:ascii="Arial" w:eastAsiaTheme="majorEastAsia" w:hAnsi="Arial"/>
          <w:b/>
          <w:bCs/>
          <w:sz w:val="28"/>
          <w:szCs w:val="28"/>
        </w:rPr>
        <w:t>N</w:t>
      </w:r>
      <w:r w:rsidR="00A22CA8">
        <w:rPr>
          <w:rFonts w:ascii="Arial" w:eastAsiaTheme="majorEastAsia" w:hAnsi="Arial"/>
          <w:b/>
          <w:bCs/>
          <w:sz w:val="28"/>
          <w:szCs w:val="28"/>
        </w:rPr>
        <w:t xml:space="preserve">G CONTROL (GAMBLING </w:t>
      </w:r>
      <w:r w:rsidRPr="00187F84">
        <w:rPr>
          <w:rFonts w:ascii="Arial" w:eastAsiaTheme="majorEastAsia" w:hAnsi="Arial"/>
          <w:b/>
          <w:bCs/>
          <w:sz w:val="28"/>
          <w:szCs w:val="28"/>
        </w:rPr>
        <w:t>EXCLUSION) AMENDMENT BILL 2026</w:t>
      </w:r>
    </w:p>
    <w:p w14:paraId="45B7FCBC" w14:textId="77777777" w:rsidR="00187F84" w:rsidRDefault="00187F84" w:rsidP="00187F84">
      <w:pPr>
        <w:spacing w:after="0"/>
        <w:contextualSpacing/>
        <w:jc w:val="center"/>
        <w:rPr>
          <w:rFonts w:ascii="Arial" w:hAnsi="Arial" w:cs="Arial"/>
          <w:bCs/>
          <w:sz w:val="24"/>
          <w:szCs w:val="24"/>
        </w:rPr>
      </w:pPr>
    </w:p>
    <w:p w14:paraId="04010BFE" w14:textId="69DA61A0" w:rsidR="00E90DF9" w:rsidRPr="00834FC9" w:rsidRDefault="00E90DF9" w:rsidP="00E90DF9">
      <w:pPr>
        <w:spacing w:after="0"/>
        <w:contextualSpacing/>
        <w:rPr>
          <w:rFonts w:ascii="Arial" w:hAnsi="Arial" w:cs="Arial"/>
          <w:bCs/>
          <w:sz w:val="24"/>
          <w:szCs w:val="24"/>
        </w:rPr>
      </w:pPr>
      <w:r w:rsidRPr="00834FC9">
        <w:rPr>
          <w:rFonts w:ascii="Arial" w:hAnsi="Arial" w:cs="Arial"/>
          <w:bCs/>
          <w:sz w:val="24"/>
          <w:szCs w:val="24"/>
        </w:rPr>
        <w:t xml:space="preserve">The </w:t>
      </w:r>
      <w:r w:rsidR="00783140">
        <w:rPr>
          <w:rFonts w:ascii="Arial" w:hAnsi="Arial" w:cs="Arial"/>
          <w:bCs/>
          <w:sz w:val="24"/>
          <w:szCs w:val="24"/>
        </w:rPr>
        <w:t>Gambling and Racing Control (Gambling Exclusion) Amendment Bill 2026 (the</w:t>
      </w:r>
      <w:r w:rsidR="00A80BAE">
        <w:rPr>
          <w:rFonts w:ascii="Arial" w:hAnsi="Arial" w:cs="Arial"/>
          <w:bCs/>
          <w:sz w:val="24"/>
          <w:szCs w:val="24"/>
        </w:rPr>
        <w:t> </w:t>
      </w:r>
      <w:r w:rsidR="00783140">
        <w:rPr>
          <w:rFonts w:ascii="Arial" w:hAnsi="Arial" w:cs="Arial"/>
          <w:bCs/>
          <w:sz w:val="24"/>
          <w:szCs w:val="24"/>
        </w:rPr>
        <w:t>Bill)</w:t>
      </w:r>
      <w:r w:rsidR="004476BF">
        <w:rPr>
          <w:rFonts w:ascii="Arial" w:hAnsi="Arial" w:cs="Arial"/>
          <w:bCs/>
          <w:sz w:val="24"/>
          <w:szCs w:val="24"/>
        </w:rPr>
        <w:t xml:space="preserve"> </w:t>
      </w:r>
      <w:r w:rsidR="00963075" w:rsidRPr="00963075">
        <w:rPr>
          <w:rFonts w:ascii="Arial" w:hAnsi="Arial" w:cs="Arial"/>
          <w:b/>
          <w:sz w:val="24"/>
          <w:szCs w:val="24"/>
        </w:rPr>
        <w:t>i</w:t>
      </w:r>
      <w:r w:rsidRPr="00963075">
        <w:rPr>
          <w:rFonts w:ascii="Arial" w:hAnsi="Arial" w:cs="Arial"/>
          <w:b/>
          <w:sz w:val="24"/>
          <w:szCs w:val="24"/>
        </w:rPr>
        <w:t>s</w:t>
      </w:r>
      <w:r w:rsidR="00187F84">
        <w:rPr>
          <w:rFonts w:ascii="Arial" w:hAnsi="Arial" w:cs="Arial"/>
          <w:b/>
          <w:sz w:val="24"/>
          <w:szCs w:val="24"/>
        </w:rPr>
        <w:t xml:space="preserve"> not</w:t>
      </w:r>
      <w:r w:rsidRPr="00834FC9">
        <w:rPr>
          <w:rFonts w:ascii="Arial" w:hAnsi="Arial" w:cs="Arial"/>
          <w:bCs/>
          <w:sz w:val="24"/>
          <w:szCs w:val="24"/>
        </w:rPr>
        <w:t xml:space="preserve"> a Significant Bill. Significant Bills are bills that </w:t>
      </w:r>
      <w:r>
        <w:rPr>
          <w:rFonts w:ascii="Arial" w:hAnsi="Arial" w:cs="Arial"/>
          <w:bCs/>
          <w:sz w:val="24"/>
          <w:szCs w:val="24"/>
        </w:rPr>
        <w:t>have been assessed</w:t>
      </w:r>
      <w:r w:rsidRPr="00834FC9">
        <w:rPr>
          <w:rFonts w:ascii="Arial" w:hAnsi="Arial" w:cs="Arial"/>
          <w:bCs/>
          <w:sz w:val="24"/>
          <w:szCs w:val="24"/>
        </w:rPr>
        <w:t xml:space="preserve"> as </w:t>
      </w:r>
      <w:r>
        <w:rPr>
          <w:rFonts w:ascii="Arial" w:hAnsi="Arial" w:cs="Arial"/>
          <w:bCs/>
          <w:sz w:val="24"/>
          <w:szCs w:val="24"/>
        </w:rPr>
        <w:t>likely to have</w:t>
      </w:r>
      <w:r w:rsidRPr="00834FC9">
        <w:rPr>
          <w:rFonts w:ascii="Arial" w:hAnsi="Arial" w:cs="Arial"/>
          <w:bCs/>
          <w:sz w:val="24"/>
          <w:szCs w:val="24"/>
        </w:rPr>
        <w:t xml:space="preserve"> significant </w:t>
      </w:r>
      <w:r>
        <w:rPr>
          <w:rFonts w:ascii="Arial" w:hAnsi="Arial" w:cs="Arial"/>
          <w:bCs/>
          <w:sz w:val="24"/>
          <w:szCs w:val="24"/>
        </w:rPr>
        <w:t>engagement of human rights</w:t>
      </w:r>
      <w:r w:rsidRPr="00834FC9">
        <w:rPr>
          <w:rFonts w:ascii="Arial" w:hAnsi="Arial" w:cs="Arial"/>
          <w:bCs/>
          <w:sz w:val="24"/>
          <w:szCs w:val="24"/>
        </w:rPr>
        <w:t xml:space="preserve"> and require more detailed reasoning in relation to </w:t>
      </w:r>
      <w:r>
        <w:rPr>
          <w:rFonts w:ascii="Arial" w:hAnsi="Arial" w:cs="Arial"/>
          <w:bCs/>
          <w:sz w:val="24"/>
          <w:szCs w:val="24"/>
        </w:rPr>
        <w:t xml:space="preserve">compatibility with the </w:t>
      </w:r>
      <w:r w:rsidRPr="00834FC9">
        <w:rPr>
          <w:rFonts w:ascii="Arial" w:hAnsi="Arial" w:cs="Arial"/>
          <w:bCs/>
          <w:i/>
          <w:iCs/>
          <w:sz w:val="24"/>
          <w:szCs w:val="24"/>
        </w:rPr>
        <w:t>Human Rights Act 2004</w:t>
      </w:r>
      <w:r w:rsidR="00617097">
        <w:rPr>
          <w:rFonts w:ascii="Arial" w:hAnsi="Arial" w:cs="Arial"/>
          <w:bCs/>
          <w:i/>
          <w:iCs/>
          <w:sz w:val="24"/>
          <w:szCs w:val="24"/>
        </w:rPr>
        <w:t xml:space="preserve"> </w:t>
      </w:r>
      <w:r w:rsidR="00617097" w:rsidRPr="00617097">
        <w:rPr>
          <w:rFonts w:ascii="Arial" w:hAnsi="Arial" w:cs="Arial"/>
          <w:bCs/>
          <w:sz w:val="24"/>
          <w:szCs w:val="24"/>
        </w:rPr>
        <w:t>(the HRA)</w:t>
      </w:r>
      <w:r w:rsidRPr="00617097">
        <w:rPr>
          <w:rFonts w:ascii="Arial" w:hAnsi="Arial" w:cs="Arial"/>
          <w:bCs/>
          <w:sz w:val="24"/>
          <w:szCs w:val="24"/>
        </w:rPr>
        <w:t>.</w:t>
      </w:r>
      <w:r w:rsidR="00872C38" w:rsidRPr="00617097">
        <w:rPr>
          <w:rFonts w:ascii="Arial" w:hAnsi="Arial" w:cs="Arial"/>
          <w:bCs/>
          <w:sz w:val="24"/>
          <w:szCs w:val="24"/>
        </w:rPr>
        <w:t xml:space="preserve"> </w:t>
      </w:r>
    </w:p>
    <w:p w14:paraId="3735CFA3" w14:textId="77777777" w:rsidR="00E90DF9" w:rsidRPr="00834FC9" w:rsidRDefault="00E90DF9" w:rsidP="00E90DF9">
      <w:pPr>
        <w:spacing w:after="0"/>
        <w:rPr>
          <w:rFonts w:ascii="Arial" w:hAnsi="Arial" w:cs="Arial"/>
          <w:bCs/>
          <w:sz w:val="24"/>
          <w:szCs w:val="24"/>
          <w:highlight w:val="yellow"/>
        </w:rPr>
      </w:pPr>
    </w:p>
    <w:p w14:paraId="266B7B2E" w14:textId="77777777" w:rsidR="00E90DF9" w:rsidRDefault="00E90DF9" w:rsidP="00E90DF9">
      <w:pPr>
        <w:pStyle w:val="Heading2"/>
      </w:pPr>
      <w:r>
        <w:t>OVERVIEW OF THE BILL</w:t>
      </w:r>
    </w:p>
    <w:p w14:paraId="7C8C914C" w14:textId="5EA7C0B1" w:rsidR="004F183A" w:rsidRPr="00697F9D" w:rsidRDefault="004F183A" w:rsidP="004F183A">
      <w:pPr>
        <w:spacing w:after="120"/>
        <w:ind w:right="-45"/>
        <w:rPr>
          <w:rFonts w:ascii="Arial" w:hAnsi="Arial" w:cs="Arial"/>
          <w:iCs/>
          <w:sz w:val="24"/>
          <w:szCs w:val="24"/>
        </w:rPr>
      </w:pPr>
      <w:r w:rsidRPr="00697F9D">
        <w:rPr>
          <w:rFonts w:ascii="Arial" w:hAnsi="Arial" w:cs="Arial"/>
          <w:iCs/>
          <w:sz w:val="24"/>
          <w:szCs w:val="24"/>
        </w:rPr>
        <w:t>Gambling harm is a significant issue facing the ACT population, with the 2024 ACT Gambling Survey (Survey) finding that 15.8% of ACT adults experienced some form of gambling-related harm in the 12 months</w:t>
      </w:r>
      <w:r>
        <w:rPr>
          <w:rFonts w:ascii="Arial" w:hAnsi="Arial" w:cs="Arial"/>
          <w:iCs/>
          <w:sz w:val="24"/>
          <w:szCs w:val="24"/>
        </w:rPr>
        <w:t xml:space="preserve"> preceding the Survey in 2024</w:t>
      </w:r>
      <w:r w:rsidRPr="00697F9D">
        <w:rPr>
          <w:rFonts w:ascii="Arial" w:hAnsi="Arial" w:cs="Arial"/>
          <w:iCs/>
          <w:sz w:val="24"/>
          <w:szCs w:val="24"/>
        </w:rPr>
        <w:t>.</w:t>
      </w:r>
      <w:r>
        <w:rPr>
          <w:rStyle w:val="FootnoteReference"/>
          <w:rFonts w:ascii="Arial" w:hAnsi="Arial"/>
          <w:iCs/>
          <w:sz w:val="24"/>
          <w:szCs w:val="24"/>
        </w:rPr>
        <w:footnoteReference w:id="2"/>
      </w:r>
      <w:r w:rsidRPr="00697F9D">
        <w:rPr>
          <w:rFonts w:ascii="Arial" w:hAnsi="Arial" w:cs="Arial"/>
          <w:iCs/>
          <w:sz w:val="24"/>
          <w:szCs w:val="24"/>
        </w:rPr>
        <w:t xml:space="preserve"> This includes harm from their own gambling, someone else’s gambling or legacy harm</w:t>
      </w:r>
      <w:r w:rsidR="00542DB9">
        <w:rPr>
          <w:rFonts w:ascii="Arial" w:hAnsi="Arial" w:cs="Arial"/>
          <w:iCs/>
          <w:sz w:val="24"/>
          <w:szCs w:val="24"/>
        </w:rPr>
        <w:t>, meaning</w:t>
      </w:r>
      <w:r w:rsidR="00B92D44">
        <w:rPr>
          <w:rFonts w:ascii="Arial" w:hAnsi="Arial" w:cs="Arial"/>
          <w:iCs/>
          <w:sz w:val="24"/>
          <w:szCs w:val="24"/>
        </w:rPr>
        <w:t xml:space="preserve"> harm that </w:t>
      </w:r>
      <w:r w:rsidR="00A85505">
        <w:rPr>
          <w:rFonts w:ascii="Arial" w:hAnsi="Arial" w:cs="Arial"/>
          <w:iCs/>
          <w:sz w:val="24"/>
          <w:szCs w:val="24"/>
        </w:rPr>
        <w:t>has lasting effects</w:t>
      </w:r>
      <w:r w:rsidR="005F5A9E">
        <w:rPr>
          <w:rFonts w:ascii="Arial" w:hAnsi="Arial" w:cs="Arial"/>
          <w:iCs/>
          <w:sz w:val="24"/>
          <w:szCs w:val="24"/>
        </w:rPr>
        <w:t xml:space="preserve"> after past</w:t>
      </w:r>
      <w:r w:rsidR="004B1C30">
        <w:rPr>
          <w:rFonts w:ascii="Arial" w:hAnsi="Arial" w:cs="Arial"/>
          <w:iCs/>
          <w:sz w:val="24"/>
          <w:szCs w:val="24"/>
        </w:rPr>
        <w:t xml:space="preserve"> gambling harm</w:t>
      </w:r>
      <w:r w:rsidR="005F5A9E">
        <w:rPr>
          <w:rFonts w:ascii="Arial" w:hAnsi="Arial" w:cs="Arial"/>
          <w:iCs/>
          <w:sz w:val="24"/>
          <w:szCs w:val="24"/>
        </w:rPr>
        <w:t xml:space="preserve"> events</w:t>
      </w:r>
      <w:r w:rsidRPr="00697F9D">
        <w:rPr>
          <w:rFonts w:ascii="Arial" w:hAnsi="Arial" w:cs="Arial"/>
          <w:iCs/>
          <w:sz w:val="24"/>
          <w:szCs w:val="24"/>
        </w:rPr>
        <w:t xml:space="preserve">. </w:t>
      </w:r>
    </w:p>
    <w:p w14:paraId="37AEFF48" w14:textId="77777777" w:rsidR="004F183A" w:rsidRPr="00697F9D" w:rsidRDefault="004F183A" w:rsidP="004F183A">
      <w:pPr>
        <w:pStyle w:val="Numberedlist"/>
        <w:numPr>
          <w:ilvl w:val="1"/>
          <w:numId w:val="19"/>
        </w:numPr>
        <w:rPr>
          <w:rStyle w:val="Calibri12"/>
          <w:rFonts w:ascii="Arial" w:hAnsi="Arial" w:cs="Arial"/>
        </w:rPr>
      </w:pPr>
      <w:r w:rsidRPr="00697F9D">
        <w:rPr>
          <w:rStyle w:val="Calibri12"/>
          <w:rFonts w:ascii="Arial" w:hAnsi="Arial" w:cs="Arial"/>
        </w:rPr>
        <w:t>Notwithstanding this, the Survey report also note</w:t>
      </w:r>
      <w:r>
        <w:rPr>
          <w:rStyle w:val="Calibri12"/>
          <w:rFonts w:ascii="Arial" w:hAnsi="Arial" w:cs="Arial"/>
        </w:rPr>
        <w:t>s</w:t>
      </w:r>
      <w:r w:rsidRPr="00697F9D">
        <w:rPr>
          <w:rStyle w:val="Calibri12"/>
          <w:rFonts w:ascii="Arial" w:hAnsi="Arial" w:cs="Arial"/>
        </w:rPr>
        <w:t xml:space="preserve"> that help-seeking remains low, with only 1.5% of people who had participated in gambling ever wanting help for their gambling. While almost all people who wanted help sought help, this comprise</w:t>
      </w:r>
      <w:r>
        <w:rPr>
          <w:rStyle w:val="Calibri12"/>
          <w:rFonts w:ascii="Arial" w:hAnsi="Arial" w:cs="Arial"/>
        </w:rPr>
        <w:t>d</w:t>
      </w:r>
      <w:r w:rsidRPr="00697F9D">
        <w:rPr>
          <w:rStyle w:val="Calibri12"/>
          <w:rFonts w:ascii="Arial" w:hAnsi="Arial" w:cs="Arial"/>
        </w:rPr>
        <w:t xml:space="preserve"> mostly informal avenues such as talking to family members and trying self-help strategies like budgeting. Respondents were twice as likely to report having accessed informal supports than formal supports, with only 34.5% of those who wanted help seeking help through self-exclusion.</w:t>
      </w:r>
      <w:r w:rsidRPr="00697F9D">
        <w:rPr>
          <w:rStyle w:val="FootnoteReference"/>
          <w:rFonts w:ascii="Arial" w:hAnsi="Arial" w:cs="Arial"/>
        </w:rPr>
        <w:footnoteReference w:id="3"/>
      </w:r>
      <w:r w:rsidRPr="00697F9D">
        <w:rPr>
          <w:rStyle w:val="Calibri12"/>
          <w:rFonts w:ascii="Arial" w:hAnsi="Arial" w:cs="Arial"/>
        </w:rPr>
        <w:t xml:space="preserve"> </w:t>
      </w:r>
    </w:p>
    <w:p w14:paraId="4F842B92" w14:textId="65858193" w:rsidR="004F183A" w:rsidRPr="00697F9D" w:rsidRDefault="004F183A" w:rsidP="004F183A">
      <w:pPr>
        <w:pStyle w:val="Numberedlist"/>
        <w:numPr>
          <w:ilvl w:val="1"/>
          <w:numId w:val="19"/>
        </w:numPr>
        <w:rPr>
          <w:rStyle w:val="Calibri12"/>
          <w:rFonts w:ascii="Arial" w:hAnsi="Arial" w:cs="Arial"/>
        </w:rPr>
      </w:pPr>
      <w:r w:rsidRPr="00697F9D">
        <w:rPr>
          <w:rStyle w:val="Calibri12"/>
          <w:rFonts w:ascii="Arial" w:hAnsi="Arial" w:cs="Arial"/>
        </w:rPr>
        <w:t xml:space="preserve">While uptake of </w:t>
      </w:r>
      <w:r>
        <w:rPr>
          <w:rStyle w:val="Calibri12"/>
          <w:rFonts w:ascii="Arial" w:hAnsi="Arial" w:cs="Arial"/>
        </w:rPr>
        <w:t xml:space="preserve">gambling </w:t>
      </w:r>
      <w:r w:rsidRPr="00697F9D">
        <w:rPr>
          <w:rStyle w:val="Calibri12"/>
          <w:rFonts w:ascii="Arial" w:hAnsi="Arial" w:cs="Arial"/>
        </w:rPr>
        <w:t xml:space="preserve">self-exclusion </w:t>
      </w:r>
      <w:r>
        <w:rPr>
          <w:rStyle w:val="Calibri12"/>
          <w:rFonts w:ascii="Arial" w:hAnsi="Arial" w:cs="Arial"/>
        </w:rPr>
        <w:t xml:space="preserve">is </w:t>
      </w:r>
      <w:r w:rsidRPr="00697F9D">
        <w:rPr>
          <w:rStyle w:val="Calibri12"/>
          <w:rFonts w:ascii="Arial" w:hAnsi="Arial" w:cs="Arial"/>
        </w:rPr>
        <w:t>low</w:t>
      </w:r>
      <w:r>
        <w:rPr>
          <w:rStyle w:val="Calibri12"/>
          <w:rFonts w:ascii="Arial" w:hAnsi="Arial" w:cs="Arial"/>
        </w:rPr>
        <w:t xml:space="preserve"> in the ACT</w:t>
      </w:r>
      <w:r w:rsidRPr="00697F9D">
        <w:rPr>
          <w:rStyle w:val="Calibri12"/>
          <w:rFonts w:ascii="Arial" w:hAnsi="Arial" w:cs="Arial"/>
        </w:rPr>
        <w:t>, its perceived helpfulness and levels of awareness of it are high.</w:t>
      </w:r>
      <w:r w:rsidR="000360EE">
        <w:rPr>
          <w:rStyle w:val="Calibri12"/>
          <w:rFonts w:ascii="Arial" w:hAnsi="Arial" w:cs="Arial"/>
        </w:rPr>
        <w:t xml:space="preserve">  </w:t>
      </w:r>
      <w:r w:rsidR="004C21D0">
        <w:rPr>
          <w:rStyle w:val="Calibri12"/>
          <w:rFonts w:ascii="Arial" w:hAnsi="Arial" w:cs="Arial"/>
        </w:rPr>
        <w:t>O</w:t>
      </w:r>
      <w:r w:rsidR="00AC0BF8" w:rsidRPr="00697F9D">
        <w:rPr>
          <w:rStyle w:val="Calibri12"/>
          <w:rFonts w:ascii="Arial" w:hAnsi="Arial" w:cs="Arial"/>
        </w:rPr>
        <w:t>f those classified as ‘problem gamblers’, 69.9% were aware of the ACT’s self-exclusion scheme.</w:t>
      </w:r>
      <w:r w:rsidR="00AC0BF8" w:rsidRPr="00697F9D">
        <w:rPr>
          <w:rStyle w:val="FootnoteReference"/>
          <w:rFonts w:ascii="Arial" w:hAnsi="Arial" w:cs="Arial"/>
        </w:rPr>
        <w:footnoteReference w:id="4"/>
      </w:r>
    </w:p>
    <w:p w14:paraId="1C8865A5" w14:textId="2DDF2B1B" w:rsidR="004F183A" w:rsidRPr="00697F9D" w:rsidRDefault="004F183A" w:rsidP="004F183A">
      <w:pPr>
        <w:pStyle w:val="Numberedlist"/>
        <w:numPr>
          <w:ilvl w:val="1"/>
          <w:numId w:val="19"/>
        </w:numPr>
        <w:rPr>
          <w:rStyle w:val="Calibri12"/>
          <w:rFonts w:ascii="Arial" w:hAnsi="Arial" w:cs="Arial"/>
        </w:rPr>
      </w:pPr>
      <w:r w:rsidRPr="00697F9D">
        <w:rPr>
          <w:rStyle w:val="Calibri12"/>
          <w:rFonts w:ascii="Arial" w:hAnsi="Arial" w:cs="Arial"/>
        </w:rPr>
        <w:t>Self-exclusion ha</w:t>
      </w:r>
      <w:r>
        <w:rPr>
          <w:rStyle w:val="Calibri12"/>
          <w:rFonts w:ascii="Arial" w:hAnsi="Arial" w:cs="Arial"/>
        </w:rPr>
        <w:t>d</w:t>
      </w:r>
      <w:r w:rsidRPr="00697F9D">
        <w:rPr>
          <w:rStyle w:val="Calibri12"/>
          <w:rFonts w:ascii="Arial" w:hAnsi="Arial" w:cs="Arial"/>
        </w:rPr>
        <w:t xml:space="preserve"> the highest reported perceived helpfulness of any help or support investigated as part of the Survey, with 52% of respondents who had utilised self-exclusion finding it ‘very helpful’ (the most helpful category).</w:t>
      </w:r>
      <w:r w:rsidRPr="00697F9D">
        <w:rPr>
          <w:rStyle w:val="FootnoteReference"/>
          <w:rFonts w:ascii="Arial" w:hAnsi="Arial" w:cs="Arial"/>
        </w:rPr>
        <w:footnoteReference w:id="5"/>
      </w:r>
      <w:r w:rsidRPr="00697F9D">
        <w:rPr>
          <w:rStyle w:val="Calibri12"/>
          <w:rFonts w:ascii="Arial" w:hAnsi="Arial" w:cs="Arial"/>
        </w:rPr>
        <w:t xml:space="preserve"> Supports from family and friends, self-help, and professional health support had higher uptake rates but were </w:t>
      </w:r>
      <w:r w:rsidR="007A4EB3">
        <w:rPr>
          <w:rStyle w:val="Calibri12"/>
          <w:rFonts w:ascii="Arial" w:hAnsi="Arial" w:cs="Arial"/>
        </w:rPr>
        <w:t xml:space="preserve">only </w:t>
      </w:r>
      <w:r w:rsidRPr="00697F9D">
        <w:rPr>
          <w:rStyle w:val="Calibri12"/>
          <w:rFonts w:ascii="Arial" w:hAnsi="Arial" w:cs="Arial"/>
        </w:rPr>
        <w:t xml:space="preserve">perceived as very helpful by much lower proportions of those who had used them: at 37%, 33%, and 23% respectively. </w:t>
      </w:r>
    </w:p>
    <w:p w14:paraId="37B02A1B" w14:textId="2845943A" w:rsidR="004F183A" w:rsidRDefault="004F183A" w:rsidP="004F183A">
      <w:pPr>
        <w:spacing w:after="120"/>
        <w:ind w:right="-45"/>
        <w:rPr>
          <w:rFonts w:ascii="Arial" w:hAnsi="Arial" w:cs="Arial"/>
          <w:iCs/>
          <w:sz w:val="24"/>
          <w:szCs w:val="24"/>
        </w:rPr>
      </w:pPr>
      <w:r>
        <w:rPr>
          <w:rFonts w:ascii="Arial" w:hAnsi="Arial" w:cs="Arial"/>
          <w:iCs/>
          <w:sz w:val="24"/>
          <w:szCs w:val="24"/>
        </w:rPr>
        <w:t>This evidence demonstrates that</w:t>
      </w:r>
      <w:r w:rsidR="004F16FC">
        <w:rPr>
          <w:rFonts w:ascii="Arial" w:hAnsi="Arial" w:cs="Arial"/>
          <w:iCs/>
          <w:sz w:val="24"/>
          <w:szCs w:val="24"/>
        </w:rPr>
        <w:t xml:space="preserve"> there is a need to reform the ACT’s gambling harm minimisation framework with a focus on ensuring </w:t>
      </w:r>
      <w:r w:rsidR="00345453">
        <w:rPr>
          <w:rFonts w:ascii="Arial" w:hAnsi="Arial" w:cs="Arial"/>
          <w:iCs/>
          <w:sz w:val="24"/>
          <w:szCs w:val="24"/>
        </w:rPr>
        <w:t xml:space="preserve">accessibility of the option for people to self-exclude from gambling. </w:t>
      </w:r>
    </w:p>
    <w:p w14:paraId="3857F0F3" w14:textId="77777777" w:rsidR="004D0E7C" w:rsidRDefault="00187F84" w:rsidP="004D0E7C">
      <w:pPr>
        <w:spacing w:after="120"/>
        <w:ind w:right="-45"/>
        <w:rPr>
          <w:rFonts w:ascii="Arial" w:hAnsi="Arial" w:cs="Arial"/>
          <w:iCs/>
          <w:sz w:val="24"/>
          <w:szCs w:val="24"/>
        </w:rPr>
      </w:pPr>
      <w:r>
        <w:rPr>
          <w:rFonts w:ascii="Arial" w:hAnsi="Arial" w:cs="Arial"/>
          <w:iCs/>
          <w:sz w:val="24"/>
          <w:szCs w:val="24"/>
        </w:rPr>
        <w:t xml:space="preserve">The Bill </w:t>
      </w:r>
      <w:r w:rsidR="00144672">
        <w:rPr>
          <w:rFonts w:ascii="Arial" w:hAnsi="Arial" w:cs="Arial"/>
          <w:iCs/>
          <w:sz w:val="24"/>
          <w:szCs w:val="24"/>
        </w:rPr>
        <w:t>addresses this need by making</w:t>
      </w:r>
      <w:r>
        <w:rPr>
          <w:rFonts w:ascii="Arial" w:hAnsi="Arial" w:cs="Arial"/>
          <w:iCs/>
          <w:sz w:val="24"/>
          <w:szCs w:val="24"/>
        </w:rPr>
        <w:t xml:space="preserve"> changes to</w:t>
      </w:r>
      <w:r w:rsidR="00D202EA">
        <w:rPr>
          <w:rFonts w:ascii="Arial" w:hAnsi="Arial" w:cs="Arial"/>
          <w:iCs/>
          <w:sz w:val="24"/>
          <w:szCs w:val="24"/>
        </w:rPr>
        <w:t xml:space="preserve"> strengthen</w:t>
      </w:r>
      <w:r>
        <w:rPr>
          <w:rFonts w:ascii="Arial" w:hAnsi="Arial" w:cs="Arial"/>
          <w:iCs/>
          <w:sz w:val="24"/>
          <w:szCs w:val="24"/>
        </w:rPr>
        <w:t xml:space="preserve"> the ACT</w:t>
      </w:r>
      <w:r w:rsidR="006E2053">
        <w:rPr>
          <w:rFonts w:ascii="Arial" w:hAnsi="Arial" w:cs="Arial"/>
          <w:iCs/>
          <w:sz w:val="24"/>
          <w:szCs w:val="24"/>
        </w:rPr>
        <w:t xml:space="preserve">’s gambling harm reduction </w:t>
      </w:r>
      <w:r w:rsidR="00EF1EC6">
        <w:rPr>
          <w:rFonts w:ascii="Arial" w:hAnsi="Arial" w:cs="Arial"/>
          <w:iCs/>
          <w:sz w:val="24"/>
          <w:szCs w:val="24"/>
        </w:rPr>
        <w:t xml:space="preserve">legal </w:t>
      </w:r>
      <w:r w:rsidR="006E2053">
        <w:rPr>
          <w:rFonts w:ascii="Arial" w:hAnsi="Arial" w:cs="Arial"/>
          <w:iCs/>
          <w:sz w:val="24"/>
          <w:szCs w:val="24"/>
        </w:rPr>
        <w:t xml:space="preserve">framework, </w:t>
      </w:r>
      <w:r w:rsidR="00144672">
        <w:rPr>
          <w:rFonts w:ascii="Arial" w:hAnsi="Arial" w:cs="Arial"/>
          <w:iCs/>
          <w:sz w:val="24"/>
          <w:szCs w:val="24"/>
        </w:rPr>
        <w:t xml:space="preserve">particularly </w:t>
      </w:r>
      <w:r w:rsidR="006E2053">
        <w:rPr>
          <w:rFonts w:ascii="Arial" w:hAnsi="Arial" w:cs="Arial"/>
          <w:iCs/>
          <w:sz w:val="24"/>
          <w:szCs w:val="24"/>
        </w:rPr>
        <w:t>the</w:t>
      </w:r>
      <w:r>
        <w:rPr>
          <w:rFonts w:ascii="Arial" w:hAnsi="Arial" w:cs="Arial"/>
          <w:iCs/>
          <w:sz w:val="24"/>
          <w:szCs w:val="24"/>
        </w:rPr>
        <w:t xml:space="preserve"> </w:t>
      </w:r>
      <w:r w:rsidR="006E2053">
        <w:rPr>
          <w:rFonts w:ascii="Arial" w:hAnsi="Arial" w:cs="Arial"/>
          <w:iCs/>
          <w:sz w:val="24"/>
          <w:szCs w:val="24"/>
        </w:rPr>
        <w:t xml:space="preserve">existing </w:t>
      </w:r>
      <w:r>
        <w:rPr>
          <w:rFonts w:ascii="Arial" w:hAnsi="Arial" w:cs="Arial"/>
          <w:iCs/>
          <w:sz w:val="24"/>
          <w:szCs w:val="24"/>
        </w:rPr>
        <w:t xml:space="preserve">gambling exclusion scheme </w:t>
      </w:r>
      <w:r>
        <w:rPr>
          <w:rFonts w:ascii="Arial" w:hAnsi="Arial" w:cs="Arial"/>
          <w:iCs/>
          <w:sz w:val="24"/>
          <w:szCs w:val="24"/>
        </w:rPr>
        <w:lastRenderedPageBreak/>
        <w:t>(the scheme)</w:t>
      </w:r>
      <w:r w:rsidR="00791EE4">
        <w:rPr>
          <w:rFonts w:ascii="Arial" w:hAnsi="Arial" w:cs="Arial"/>
          <w:iCs/>
          <w:sz w:val="24"/>
          <w:szCs w:val="24"/>
        </w:rPr>
        <w:t xml:space="preserve"> </w:t>
      </w:r>
      <w:r w:rsidR="00D202EA">
        <w:rPr>
          <w:rFonts w:ascii="Arial" w:hAnsi="Arial" w:cs="Arial"/>
          <w:iCs/>
          <w:sz w:val="24"/>
          <w:szCs w:val="24"/>
        </w:rPr>
        <w:t>and clarify the role</w:t>
      </w:r>
      <w:r w:rsidR="00FB236D">
        <w:rPr>
          <w:rFonts w:ascii="Arial" w:hAnsi="Arial" w:cs="Arial"/>
          <w:iCs/>
          <w:sz w:val="24"/>
          <w:szCs w:val="24"/>
        </w:rPr>
        <w:t>s</w:t>
      </w:r>
      <w:r w:rsidR="00D202EA">
        <w:rPr>
          <w:rFonts w:ascii="Arial" w:hAnsi="Arial" w:cs="Arial"/>
          <w:iCs/>
          <w:sz w:val="24"/>
          <w:szCs w:val="24"/>
        </w:rPr>
        <w:t xml:space="preserve"> and obligations of licensees to prevent gambling harm</w:t>
      </w:r>
      <w:r w:rsidR="00791EE4">
        <w:rPr>
          <w:rFonts w:ascii="Arial" w:hAnsi="Arial" w:cs="Arial"/>
          <w:iCs/>
          <w:sz w:val="24"/>
          <w:szCs w:val="24"/>
        </w:rPr>
        <w:t xml:space="preserve">. </w:t>
      </w:r>
    </w:p>
    <w:p w14:paraId="02613F9A" w14:textId="39A6AE6F" w:rsidR="004D0E7C" w:rsidRDefault="004D0E7C" w:rsidP="00F80F60">
      <w:pPr>
        <w:spacing w:after="120"/>
        <w:ind w:right="-45"/>
        <w:rPr>
          <w:rFonts w:ascii="Arial" w:hAnsi="Arial" w:cs="Arial"/>
          <w:iCs/>
          <w:sz w:val="24"/>
          <w:szCs w:val="24"/>
        </w:rPr>
      </w:pPr>
      <w:r>
        <w:rPr>
          <w:rFonts w:ascii="Arial" w:hAnsi="Arial" w:cs="Arial"/>
          <w:iCs/>
          <w:sz w:val="24"/>
          <w:szCs w:val="24"/>
        </w:rPr>
        <w:t xml:space="preserve">The Bill elevates the existing exclusion scheme from its current basis in the Gambling and Racing Control (Code of Practice) Regulation 2002 (the Code of Practice), which is a subordinate law to the </w:t>
      </w:r>
      <w:r w:rsidRPr="007A2967">
        <w:rPr>
          <w:rFonts w:ascii="Arial" w:hAnsi="Arial" w:cs="Arial"/>
          <w:i/>
          <w:sz w:val="24"/>
          <w:szCs w:val="24"/>
        </w:rPr>
        <w:t>Gambling and Racing Control Act 1999</w:t>
      </w:r>
      <w:r>
        <w:rPr>
          <w:rFonts w:ascii="Arial" w:hAnsi="Arial" w:cs="Arial"/>
          <w:i/>
          <w:sz w:val="24"/>
          <w:szCs w:val="24"/>
        </w:rPr>
        <w:t xml:space="preserve"> </w:t>
      </w:r>
      <w:r w:rsidRPr="000775E2">
        <w:rPr>
          <w:rFonts w:ascii="Arial" w:hAnsi="Arial" w:cs="Arial"/>
          <w:iCs/>
          <w:sz w:val="24"/>
          <w:szCs w:val="24"/>
        </w:rPr>
        <w:t>(the Act)</w:t>
      </w:r>
      <w:r>
        <w:rPr>
          <w:rFonts w:ascii="Arial" w:hAnsi="Arial" w:cs="Arial"/>
          <w:iCs/>
          <w:sz w:val="24"/>
          <w:szCs w:val="24"/>
        </w:rPr>
        <w:t>, providing it with a clear</w:t>
      </w:r>
      <w:r w:rsidR="00280F3D">
        <w:rPr>
          <w:rFonts w:ascii="Arial" w:hAnsi="Arial" w:cs="Arial"/>
          <w:iCs/>
          <w:sz w:val="24"/>
          <w:szCs w:val="24"/>
        </w:rPr>
        <w:t xml:space="preserve">er </w:t>
      </w:r>
      <w:r>
        <w:rPr>
          <w:rFonts w:ascii="Arial" w:hAnsi="Arial" w:cs="Arial"/>
          <w:iCs/>
          <w:sz w:val="24"/>
          <w:szCs w:val="24"/>
        </w:rPr>
        <w:t>statutory foundation</w:t>
      </w:r>
      <w:r w:rsidR="00280F3D">
        <w:rPr>
          <w:rFonts w:ascii="Arial" w:hAnsi="Arial" w:cs="Arial"/>
          <w:iCs/>
          <w:sz w:val="24"/>
          <w:szCs w:val="24"/>
        </w:rPr>
        <w:t>.</w:t>
      </w:r>
    </w:p>
    <w:p w14:paraId="79DEB6E5" w14:textId="552A5DE2" w:rsidR="00187F84" w:rsidRDefault="00791EE4" w:rsidP="00F80F60">
      <w:pPr>
        <w:spacing w:after="120"/>
        <w:ind w:right="-45"/>
        <w:rPr>
          <w:rFonts w:ascii="Arial" w:hAnsi="Arial" w:cs="Arial"/>
          <w:iCs/>
          <w:sz w:val="24"/>
          <w:szCs w:val="24"/>
        </w:rPr>
      </w:pPr>
      <w:r>
        <w:rPr>
          <w:rFonts w:ascii="Arial" w:hAnsi="Arial" w:cs="Arial"/>
          <w:iCs/>
          <w:sz w:val="24"/>
          <w:szCs w:val="24"/>
        </w:rPr>
        <w:t>The Bill</w:t>
      </w:r>
      <w:r w:rsidR="00187F84">
        <w:rPr>
          <w:rFonts w:ascii="Arial" w:hAnsi="Arial" w:cs="Arial"/>
          <w:iCs/>
          <w:sz w:val="24"/>
          <w:szCs w:val="24"/>
        </w:rPr>
        <w:t xml:space="preserve"> </w:t>
      </w:r>
      <w:r w:rsidR="00DF2817">
        <w:rPr>
          <w:rFonts w:ascii="Arial" w:hAnsi="Arial" w:cs="Arial"/>
          <w:iCs/>
          <w:sz w:val="24"/>
          <w:szCs w:val="24"/>
        </w:rPr>
        <w:t>aims to improve the accessibility of gambling exclusio</w:t>
      </w:r>
      <w:r w:rsidR="00280F3D">
        <w:rPr>
          <w:rFonts w:ascii="Arial" w:hAnsi="Arial" w:cs="Arial"/>
          <w:iCs/>
          <w:sz w:val="24"/>
          <w:szCs w:val="24"/>
        </w:rPr>
        <w:t>n,</w:t>
      </w:r>
      <w:r w:rsidR="00DF2817">
        <w:rPr>
          <w:rFonts w:ascii="Arial" w:hAnsi="Arial" w:cs="Arial"/>
          <w:iCs/>
          <w:sz w:val="24"/>
          <w:szCs w:val="24"/>
        </w:rPr>
        <w:t xml:space="preserve"> which </w:t>
      </w:r>
      <w:r w:rsidR="00E002E7">
        <w:rPr>
          <w:rFonts w:ascii="Arial" w:hAnsi="Arial" w:cs="Arial"/>
          <w:iCs/>
          <w:sz w:val="24"/>
          <w:szCs w:val="24"/>
        </w:rPr>
        <w:t xml:space="preserve">the Survey </w:t>
      </w:r>
      <w:r w:rsidR="00DF2817">
        <w:rPr>
          <w:rFonts w:ascii="Arial" w:hAnsi="Arial" w:cs="Arial"/>
          <w:iCs/>
          <w:sz w:val="24"/>
          <w:szCs w:val="24"/>
        </w:rPr>
        <w:t>evidence demonstrates is highly useful in addressing gambling harm yet underutilised by the community relative to its helpfulness</w:t>
      </w:r>
      <w:r w:rsidR="00280F3D">
        <w:rPr>
          <w:rFonts w:ascii="Arial" w:hAnsi="Arial" w:cs="Arial"/>
          <w:iCs/>
          <w:sz w:val="24"/>
          <w:szCs w:val="24"/>
        </w:rPr>
        <w:t>,</w:t>
      </w:r>
      <w:r w:rsidR="00DF2817">
        <w:rPr>
          <w:rFonts w:ascii="Arial" w:hAnsi="Arial" w:cs="Arial"/>
          <w:iCs/>
          <w:sz w:val="24"/>
          <w:szCs w:val="24"/>
        </w:rPr>
        <w:t xml:space="preserve"> by </w:t>
      </w:r>
      <w:r w:rsidR="007F70EF">
        <w:rPr>
          <w:rFonts w:ascii="Arial" w:hAnsi="Arial" w:cs="Arial"/>
          <w:iCs/>
          <w:sz w:val="24"/>
          <w:szCs w:val="24"/>
        </w:rPr>
        <w:t>stream</w:t>
      </w:r>
      <w:r w:rsidR="00FD0A8E">
        <w:rPr>
          <w:rFonts w:ascii="Arial" w:hAnsi="Arial" w:cs="Arial"/>
          <w:iCs/>
          <w:sz w:val="24"/>
          <w:szCs w:val="24"/>
        </w:rPr>
        <w:t>lin</w:t>
      </w:r>
      <w:r w:rsidR="007F70EF">
        <w:rPr>
          <w:rFonts w:ascii="Arial" w:hAnsi="Arial" w:cs="Arial"/>
          <w:iCs/>
          <w:sz w:val="24"/>
          <w:szCs w:val="24"/>
        </w:rPr>
        <w:t>ing, clarifying, and modernising</w:t>
      </w:r>
      <w:r w:rsidR="00D202EA">
        <w:rPr>
          <w:rFonts w:ascii="Arial" w:hAnsi="Arial" w:cs="Arial"/>
          <w:iCs/>
          <w:sz w:val="24"/>
          <w:szCs w:val="24"/>
        </w:rPr>
        <w:t xml:space="preserve"> </w:t>
      </w:r>
      <w:r w:rsidR="00187F84">
        <w:rPr>
          <w:rFonts w:ascii="Arial" w:hAnsi="Arial" w:cs="Arial"/>
          <w:iCs/>
          <w:sz w:val="24"/>
          <w:szCs w:val="24"/>
        </w:rPr>
        <w:t>gambling exclusion</w:t>
      </w:r>
      <w:r w:rsidR="00AE38F2">
        <w:rPr>
          <w:rFonts w:ascii="Arial" w:hAnsi="Arial" w:cs="Arial"/>
          <w:iCs/>
          <w:sz w:val="24"/>
          <w:szCs w:val="24"/>
        </w:rPr>
        <w:t xml:space="preserve"> processes</w:t>
      </w:r>
      <w:r>
        <w:rPr>
          <w:rFonts w:ascii="Arial" w:hAnsi="Arial" w:cs="Arial"/>
          <w:iCs/>
          <w:sz w:val="24"/>
          <w:szCs w:val="24"/>
        </w:rPr>
        <w:t xml:space="preserve">. The Bill </w:t>
      </w:r>
      <w:r w:rsidR="006E2053">
        <w:rPr>
          <w:rFonts w:ascii="Arial" w:hAnsi="Arial" w:cs="Arial"/>
          <w:iCs/>
          <w:sz w:val="24"/>
          <w:szCs w:val="24"/>
        </w:rPr>
        <w:t>clarif</w:t>
      </w:r>
      <w:r>
        <w:rPr>
          <w:rFonts w:ascii="Arial" w:hAnsi="Arial" w:cs="Arial"/>
          <w:iCs/>
          <w:sz w:val="24"/>
          <w:szCs w:val="24"/>
        </w:rPr>
        <w:t>ies</w:t>
      </w:r>
      <w:r w:rsidR="006E2053">
        <w:rPr>
          <w:rFonts w:ascii="Arial" w:hAnsi="Arial" w:cs="Arial"/>
          <w:iCs/>
          <w:sz w:val="24"/>
          <w:szCs w:val="24"/>
        </w:rPr>
        <w:t xml:space="preserve"> the definition</w:t>
      </w:r>
      <w:r>
        <w:rPr>
          <w:rFonts w:ascii="Arial" w:hAnsi="Arial" w:cs="Arial"/>
          <w:iCs/>
          <w:sz w:val="24"/>
          <w:szCs w:val="24"/>
        </w:rPr>
        <w:t xml:space="preserve"> and signs</w:t>
      </w:r>
      <w:r w:rsidR="006E2053">
        <w:rPr>
          <w:rFonts w:ascii="Arial" w:hAnsi="Arial" w:cs="Arial"/>
          <w:iCs/>
          <w:sz w:val="24"/>
          <w:szCs w:val="24"/>
        </w:rPr>
        <w:t xml:space="preserve"> of gambling harm</w:t>
      </w:r>
      <w:r w:rsidR="00D34595">
        <w:rPr>
          <w:rFonts w:ascii="Arial" w:hAnsi="Arial" w:cs="Arial"/>
          <w:iCs/>
          <w:sz w:val="24"/>
          <w:szCs w:val="24"/>
        </w:rPr>
        <w:t xml:space="preserve"> risk</w:t>
      </w:r>
      <w:r w:rsidR="00280F3D">
        <w:rPr>
          <w:rFonts w:ascii="Arial" w:hAnsi="Arial" w:cs="Arial"/>
          <w:iCs/>
          <w:sz w:val="24"/>
          <w:szCs w:val="24"/>
        </w:rPr>
        <w:t xml:space="preserve"> </w:t>
      </w:r>
      <w:r w:rsidR="006A08A0">
        <w:rPr>
          <w:rFonts w:ascii="Arial" w:hAnsi="Arial" w:cs="Arial"/>
          <w:iCs/>
          <w:sz w:val="24"/>
          <w:szCs w:val="24"/>
        </w:rPr>
        <w:t>and clarifies</w:t>
      </w:r>
      <w:r>
        <w:rPr>
          <w:rFonts w:ascii="Arial" w:hAnsi="Arial" w:cs="Arial"/>
          <w:iCs/>
          <w:sz w:val="24"/>
          <w:szCs w:val="24"/>
        </w:rPr>
        <w:t xml:space="preserve"> licensees’ obligations to monitor for risk of gambling harm and take appropriate action to </w:t>
      </w:r>
      <w:r w:rsidR="00D202EA">
        <w:rPr>
          <w:rFonts w:ascii="Arial" w:hAnsi="Arial" w:cs="Arial"/>
          <w:iCs/>
          <w:sz w:val="24"/>
          <w:szCs w:val="24"/>
        </w:rPr>
        <w:t xml:space="preserve">prevent and </w:t>
      </w:r>
      <w:r>
        <w:rPr>
          <w:rFonts w:ascii="Arial" w:hAnsi="Arial" w:cs="Arial"/>
          <w:iCs/>
          <w:sz w:val="24"/>
          <w:szCs w:val="24"/>
        </w:rPr>
        <w:t xml:space="preserve">minimise </w:t>
      </w:r>
      <w:r w:rsidR="00D202EA">
        <w:rPr>
          <w:rFonts w:ascii="Arial" w:hAnsi="Arial" w:cs="Arial"/>
          <w:iCs/>
          <w:sz w:val="24"/>
          <w:szCs w:val="24"/>
        </w:rPr>
        <w:t xml:space="preserve">gambling </w:t>
      </w:r>
      <w:r>
        <w:rPr>
          <w:rFonts w:ascii="Arial" w:hAnsi="Arial" w:cs="Arial"/>
          <w:iCs/>
          <w:sz w:val="24"/>
          <w:szCs w:val="24"/>
        </w:rPr>
        <w:t>harm.</w:t>
      </w:r>
    </w:p>
    <w:p w14:paraId="37374C03" w14:textId="55607A6C" w:rsidR="00A22CA8" w:rsidRDefault="00AE38F2" w:rsidP="00F80F60">
      <w:pPr>
        <w:spacing w:after="120"/>
        <w:ind w:right="-45"/>
        <w:rPr>
          <w:rFonts w:ascii="Arial" w:hAnsi="Arial" w:cs="Arial"/>
          <w:iCs/>
          <w:sz w:val="24"/>
          <w:szCs w:val="24"/>
        </w:rPr>
      </w:pPr>
      <w:r>
        <w:rPr>
          <w:rFonts w:ascii="Arial" w:hAnsi="Arial" w:cs="Arial"/>
          <w:iCs/>
          <w:sz w:val="24"/>
          <w:szCs w:val="24"/>
        </w:rPr>
        <w:t>‘</w:t>
      </w:r>
      <w:r w:rsidR="00880C2C">
        <w:rPr>
          <w:rFonts w:ascii="Arial" w:hAnsi="Arial" w:cs="Arial"/>
          <w:iCs/>
          <w:sz w:val="24"/>
          <w:szCs w:val="24"/>
        </w:rPr>
        <w:t>Gambling exclusion</w:t>
      </w:r>
      <w:r>
        <w:rPr>
          <w:rFonts w:ascii="Arial" w:hAnsi="Arial" w:cs="Arial"/>
          <w:iCs/>
          <w:sz w:val="24"/>
          <w:szCs w:val="24"/>
        </w:rPr>
        <w:t>’</w:t>
      </w:r>
      <w:r w:rsidR="00880C2C">
        <w:rPr>
          <w:rFonts w:ascii="Arial" w:hAnsi="Arial" w:cs="Arial"/>
          <w:iCs/>
          <w:sz w:val="24"/>
          <w:szCs w:val="24"/>
        </w:rPr>
        <w:t xml:space="preserve"> means the voluntary or involuntary prohibition of</w:t>
      </w:r>
      <w:r>
        <w:rPr>
          <w:rFonts w:ascii="Arial" w:hAnsi="Arial" w:cs="Arial"/>
          <w:iCs/>
          <w:sz w:val="24"/>
          <w:szCs w:val="24"/>
        </w:rPr>
        <w:t xml:space="preserve"> a person’s</w:t>
      </w:r>
      <w:r w:rsidR="00880C2C">
        <w:rPr>
          <w:rFonts w:ascii="Arial" w:hAnsi="Arial" w:cs="Arial"/>
          <w:iCs/>
          <w:sz w:val="24"/>
          <w:szCs w:val="24"/>
        </w:rPr>
        <w:t xml:space="preserve"> access to participate in a gambling activity</w:t>
      </w:r>
      <w:r>
        <w:rPr>
          <w:rFonts w:ascii="Arial" w:hAnsi="Arial" w:cs="Arial"/>
          <w:iCs/>
          <w:sz w:val="24"/>
          <w:szCs w:val="24"/>
        </w:rPr>
        <w:t xml:space="preserve"> licensed in the ACT</w:t>
      </w:r>
      <w:r w:rsidR="00880C2C">
        <w:rPr>
          <w:rFonts w:ascii="Arial" w:hAnsi="Arial" w:cs="Arial"/>
          <w:iCs/>
          <w:sz w:val="24"/>
          <w:szCs w:val="24"/>
        </w:rPr>
        <w:t xml:space="preserve">. </w:t>
      </w:r>
      <w:r w:rsidR="00A22CA8">
        <w:rPr>
          <w:rFonts w:ascii="Arial" w:hAnsi="Arial" w:cs="Arial"/>
          <w:iCs/>
          <w:sz w:val="24"/>
          <w:szCs w:val="24"/>
        </w:rPr>
        <w:t xml:space="preserve">The gambling exclusion scheme encompasses </w:t>
      </w:r>
      <w:r w:rsidR="006E2053">
        <w:rPr>
          <w:rFonts w:ascii="Arial" w:hAnsi="Arial" w:cs="Arial"/>
          <w:iCs/>
          <w:sz w:val="24"/>
          <w:szCs w:val="24"/>
        </w:rPr>
        <w:t>‘</w:t>
      </w:r>
      <w:r w:rsidR="00A22CA8">
        <w:rPr>
          <w:rFonts w:ascii="Arial" w:hAnsi="Arial" w:cs="Arial"/>
          <w:iCs/>
          <w:sz w:val="24"/>
          <w:szCs w:val="24"/>
        </w:rPr>
        <w:t>self-exclusion</w:t>
      </w:r>
      <w:r w:rsidR="006E2053">
        <w:rPr>
          <w:rFonts w:ascii="Arial" w:hAnsi="Arial" w:cs="Arial"/>
          <w:iCs/>
          <w:sz w:val="24"/>
          <w:szCs w:val="24"/>
        </w:rPr>
        <w:t>’ and</w:t>
      </w:r>
      <w:r w:rsidR="00A22CA8">
        <w:rPr>
          <w:rFonts w:ascii="Arial" w:hAnsi="Arial" w:cs="Arial"/>
          <w:iCs/>
          <w:sz w:val="24"/>
          <w:szCs w:val="24"/>
        </w:rPr>
        <w:t xml:space="preserve"> </w:t>
      </w:r>
      <w:r w:rsidR="006E2053">
        <w:rPr>
          <w:rFonts w:ascii="Arial" w:hAnsi="Arial" w:cs="Arial"/>
          <w:iCs/>
          <w:sz w:val="24"/>
          <w:szCs w:val="24"/>
        </w:rPr>
        <w:t>‘</w:t>
      </w:r>
      <w:r w:rsidR="00A22CA8">
        <w:rPr>
          <w:rFonts w:ascii="Arial" w:hAnsi="Arial" w:cs="Arial"/>
          <w:iCs/>
          <w:sz w:val="24"/>
          <w:szCs w:val="24"/>
        </w:rPr>
        <w:t>licensee exclusion</w:t>
      </w:r>
      <w:r w:rsidR="006E2053">
        <w:rPr>
          <w:rFonts w:ascii="Arial" w:hAnsi="Arial" w:cs="Arial"/>
          <w:iCs/>
          <w:sz w:val="24"/>
          <w:szCs w:val="24"/>
        </w:rPr>
        <w:t>’</w:t>
      </w:r>
      <w:r w:rsidR="00A22CA8">
        <w:rPr>
          <w:rFonts w:ascii="Arial" w:hAnsi="Arial" w:cs="Arial"/>
          <w:iCs/>
          <w:sz w:val="24"/>
          <w:szCs w:val="24"/>
        </w:rPr>
        <w:t xml:space="preserve"> and </w:t>
      </w:r>
      <w:r w:rsidR="006E2053">
        <w:rPr>
          <w:rFonts w:ascii="Arial" w:hAnsi="Arial" w:cs="Arial"/>
          <w:iCs/>
          <w:sz w:val="24"/>
          <w:szCs w:val="24"/>
        </w:rPr>
        <w:t xml:space="preserve">associated </w:t>
      </w:r>
      <w:r w:rsidR="009D1FED">
        <w:rPr>
          <w:rFonts w:ascii="Arial" w:hAnsi="Arial" w:cs="Arial"/>
          <w:iCs/>
          <w:sz w:val="24"/>
          <w:szCs w:val="24"/>
        </w:rPr>
        <w:t>rights</w:t>
      </w:r>
      <w:r w:rsidR="00A22CA8">
        <w:rPr>
          <w:rFonts w:ascii="Arial" w:hAnsi="Arial" w:cs="Arial"/>
          <w:iCs/>
          <w:sz w:val="24"/>
          <w:szCs w:val="24"/>
        </w:rPr>
        <w:t xml:space="preserve"> and protections in relation to </w:t>
      </w:r>
      <w:r w:rsidR="006E2053">
        <w:rPr>
          <w:rFonts w:ascii="Arial" w:hAnsi="Arial" w:cs="Arial"/>
          <w:iCs/>
          <w:sz w:val="24"/>
          <w:szCs w:val="24"/>
        </w:rPr>
        <w:t>how the scheme facilitates</w:t>
      </w:r>
      <w:r w:rsidR="00A22CA8">
        <w:rPr>
          <w:rFonts w:ascii="Arial" w:hAnsi="Arial" w:cs="Arial"/>
          <w:iCs/>
          <w:sz w:val="24"/>
          <w:szCs w:val="24"/>
        </w:rPr>
        <w:t xml:space="preserve"> </w:t>
      </w:r>
      <w:r w:rsidR="009D5310">
        <w:rPr>
          <w:rFonts w:ascii="Arial" w:hAnsi="Arial" w:cs="Arial"/>
          <w:iCs/>
          <w:sz w:val="24"/>
          <w:szCs w:val="24"/>
        </w:rPr>
        <w:t xml:space="preserve">exclusion </w:t>
      </w:r>
      <w:r w:rsidR="00A22CA8">
        <w:rPr>
          <w:rFonts w:ascii="Arial" w:hAnsi="Arial" w:cs="Arial"/>
          <w:iCs/>
          <w:sz w:val="24"/>
          <w:szCs w:val="24"/>
        </w:rPr>
        <w:t>from gambling in the ACT.</w:t>
      </w:r>
      <w:r w:rsidR="006E2053">
        <w:rPr>
          <w:rFonts w:ascii="Arial" w:hAnsi="Arial" w:cs="Arial"/>
          <w:iCs/>
          <w:sz w:val="24"/>
          <w:szCs w:val="24"/>
        </w:rPr>
        <w:t xml:space="preserve"> </w:t>
      </w:r>
    </w:p>
    <w:p w14:paraId="279FA887" w14:textId="1DD4F386" w:rsidR="002A0C88" w:rsidRDefault="00880C2C" w:rsidP="00F80F60">
      <w:pPr>
        <w:spacing w:after="120"/>
        <w:ind w:right="-45"/>
        <w:rPr>
          <w:rFonts w:ascii="Arial" w:hAnsi="Arial" w:cs="Arial"/>
          <w:iCs/>
          <w:sz w:val="24"/>
          <w:szCs w:val="24"/>
        </w:rPr>
      </w:pPr>
      <w:r>
        <w:rPr>
          <w:rFonts w:ascii="Arial" w:hAnsi="Arial" w:cs="Arial"/>
          <w:iCs/>
          <w:sz w:val="24"/>
          <w:szCs w:val="24"/>
        </w:rPr>
        <w:t>Gambling ‘self</w:t>
      </w:r>
      <w:r w:rsidR="00AE38F2">
        <w:rPr>
          <w:rFonts w:ascii="Arial" w:hAnsi="Arial" w:cs="Arial"/>
          <w:iCs/>
          <w:sz w:val="24"/>
          <w:szCs w:val="24"/>
        </w:rPr>
        <w:t>-</w:t>
      </w:r>
      <w:r>
        <w:rPr>
          <w:rFonts w:ascii="Arial" w:hAnsi="Arial" w:cs="Arial"/>
          <w:iCs/>
          <w:sz w:val="24"/>
          <w:szCs w:val="24"/>
        </w:rPr>
        <w:t xml:space="preserve">exclusion’ means a request made by a person to </w:t>
      </w:r>
      <w:r w:rsidR="00907C93">
        <w:rPr>
          <w:rFonts w:ascii="Arial" w:hAnsi="Arial" w:cs="Arial"/>
          <w:iCs/>
          <w:sz w:val="24"/>
          <w:szCs w:val="24"/>
        </w:rPr>
        <w:t>prevent</w:t>
      </w:r>
      <w:r w:rsidR="004628B6">
        <w:rPr>
          <w:rFonts w:ascii="Arial" w:hAnsi="Arial" w:cs="Arial"/>
          <w:iCs/>
          <w:sz w:val="24"/>
          <w:szCs w:val="24"/>
        </w:rPr>
        <w:t xml:space="preserve"> themselves</w:t>
      </w:r>
      <w:r>
        <w:rPr>
          <w:rFonts w:ascii="Arial" w:hAnsi="Arial" w:cs="Arial"/>
          <w:iCs/>
          <w:sz w:val="24"/>
          <w:szCs w:val="24"/>
        </w:rPr>
        <w:t xml:space="preserve"> from </w:t>
      </w:r>
      <w:r w:rsidR="00A82929">
        <w:rPr>
          <w:rFonts w:ascii="Arial" w:hAnsi="Arial" w:cs="Arial"/>
          <w:iCs/>
          <w:sz w:val="24"/>
          <w:szCs w:val="24"/>
        </w:rPr>
        <w:t>accessing</w:t>
      </w:r>
      <w:r>
        <w:rPr>
          <w:rFonts w:ascii="Arial" w:hAnsi="Arial" w:cs="Arial"/>
          <w:iCs/>
          <w:sz w:val="24"/>
          <w:szCs w:val="24"/>
        </w:rPr>
        <w:t xml:space="preserve"> any </w:t>
      </w:r>
      <w:r w:rsidR="004628B6">
        <w:rPr>
          <w:rFonts w:ascii="Arial" w:hAnsi="Arial" w:cs="Arial"/>
          <w:iCs/>
          <w:sz w:val="24"/>
          <w:szCs w:val="24"/>
        </w:rPr>
        <w:t xml:space="preserve">ACT-licensed </w:t>
      </w:r>
      <w:r>
        <w:rPr>
          <w:rFonts w:ascii="Arial" w:hAnsi="Arial" w:cs="Arial"/>
          <w:iCs/>
          <w:sz w:val="24"/>
          <w:szCs w:val="24"/>
        </w:rPr>
        <w:t>gambling activity</w:t>
      </w:r>
      <w:r w:rsidR="004628B6">
        <w:rPr>
          <w:rFonts w:ascii="Arial" w:hAnsi="Arial" w:cs="Arial"/>
          <w:iCs/>
          <w:sz w:val="24"/>
          <w:szCs w:val="24"/>
        </w:rPr>
        <w:t xml:space="preserve"> or venue</w:t>
      </w:r>
      <w:r>
        <w:rPr>
          <w:rFonts w:ascii="Arial" w:hAnsi="Arial" w:cs="Arial"/>
          <w:iCs/>
          <w:sz w:val="24"/>
          <w:szCs w:val="24"/>
        </w:rPr>
        <w:t xml:space="preserve"> they choose.</w:t>
      </w:r>
      <w:r w:rsidR="00A22CA8">
        <w:rPr>
          <w:rFonts w:ascii="Arial" w:hAnsi="Arial" w:cs="Arial"/>
          <w:iCs/>
          <w:sz w:val="24"/>
          <w:szCs w:val="24"/>
        </w:rPr>
        <w:t xml:space="preserve"> This can include gambling activities such as electronic gaming machines (EGMs), TAB and casino</w:t>
      </w:r>
      <w:r w:rsidR="004628B6">
        <w:rPr>
          <w:rFonts w:ascii="Arial" w:hAnsi="Arial" w:cs="Arial"/>
          <w:iCs/>
          <w:sz w:val="24"/>
          <w:szCs w:val="24"/>
        </w:rPr>
        <w:t xml:space="preserve"> and specific</w:t>
      </w:r>
      <w:r w:rsidR="002A0C88">
        <w:rPr>
          <w:rFonts w:ascii="Arial" w:hAnsi="Arial" w:cs="Arial"/>
          <w:iCs/>
          <w:sz w:val="24"/>
          <w:szCs w:val="24"/>
        </w:rPr>
        <w:t xml:space="preserve"> venues </w:t>
      </w:r>
      <w:r w:rsidR="004628B6">
        <w:rPr>
          <w:rFonts w:ascii="Arial" w:hAnsi="Arial" w:cs="Arial"/>
          <w:iCs/>
          <w:sz w:val="24"/>
          <w:szCs w:val="24"/>
        </w:rPr>
        <w:t>such as clubs, club groups and hotels</w:t>
      </w:r>
      <w:r w:rsidR="00A22CA8">
        <w:rPr>
          <w:rFonts w:ascii="Arial" w:hAnsi="Arial" w:cs="Arial"/>
          <w:iCs/>
          <w:sz w:val="24"/>
          <w:szCs w:val="24"/>
        </w:rPr>
        <w:t>.</w:t>
      </w:r>
      <w:r>
        <w:rPr>
          <w:rFonts w:ascii="Arial" w:hAnsi="Arial" w:cs="Arial"/>
          <w:iCs/>
          <w:sz w:val="24"/>
          <w:szCs w:val="24"/>
        </w:rPr>
        <w:t xml:space="preserve"> </w:t>
      </w:r>
      <w:r w:rsidR="008E1C50">
        <w:rPr>
          <w:rFonts w:ascii="Arial" w:hAnsi="Arial" w:cs="Arial"/>
          <w:iCs/>
          <w:sz w:val="24"/>
          <w:szCs w:val="24"/>
        </w:rPr>
        <w:t>Survey e</w:t>
      </w:r>
      <w:r w:rsidR="007E3AF7">
        <w:rPr>
          <w:rFonts w:ascii="Arial" w:hAnsi="Arial" w:cs="Arial"/>
          <w:iCs/>
          <w:sz w:val="24"/>
          <w:szCs w:val="24"/>
        </w:rPr>
        <w:t xml:space="preserve">vidence shows that self-exclusion is </w:t>
      </w:r>
      <w:r w:rsidR="00BC2630">
        <w:rPr>
          <w:rFonts w:ascii="Arial" w:hAnsi="Arial" w:cs="Arial"/>
          <w:iCs/>
          <w:sz w:val="24"/>
          <w:szCs w:val="24"/>
        </w:rPr>
        <w:t>very</w:t>
      </w:r>
      <w:r w:rsidR="007E3AF7">
        <w:rPr>
          <w:rFonts w:ascii="Arial" w:hAnsi="Arial" w:cs="Arial"/>
          <w:iCs/>
          <w:sz w:val="24"/>
          <w:szCs w:val="24"/>
        </w:rPr>
        <w:t xml:space="preserve"> helpful for people who want to</w:t>
      </w:r>
      <w:r w:rsidR="004628B6">
        <w:rPr>
          <w:rFonts w:ascii="Arial" w:hAnsi="Arial" w:cs="Arial"/>
          <w:iCs/>
          <w:sz w:val="24"/>
          <w:szCs w:val="24"/>
        </w:rPr>
        <w:t xml:space="preserve"> pause or</w:t>
      </w:r>
      <w:r w:rsidR="007E3AF7">
        <w:rPr>
          <w:rFonts w:ascii="Arial" w:hAnsi="Arial" w:cs="Arial"/>
          <w:iCs/>
          <w:sz w:val="24"/>
          <w:szCs w:val="24"/>
        </w:rPr>
        <w:t xml:space="preserve"> take control of their gambling</w:t>
      </w:r>
      <w:r w:rsidR="00BC2630">
        <w:rPr>
          <w:rFonts w:ascii="Arial" w:hAnsi="Arial" w:cs="Arial"/>
          <w:iCs/>
          <w:sz w:val="24"/>
          <w:szCs w:val="24"/>
        </w:rPr>
        <w:t>, but it is underutilised relative to its helpfulness. This demonstrates the need for reforms to improve the self-exclusion scheme.</w:t>
      </w:r>
    </w:p>
    <w:p w14:paraId="500AFB1A" w14:textId="62A703AB" w:rsidR="00880C2C" w:rsidRDefault="000775E2" w:rsidP="00F80F60">
      <w:pPr>
        <w:spacing w:after="120"/>
        <w:ind w:right="-45"/>
        <w:rPr>
          <w:rFonts w:ascii="Arial" w:hAnsi="Arial" w:cs="Arial"/>
          <w:iCs/>
          <w:sz w:val="24"/>
          <w:szCs w:val="24"/>
        </w:rPr>
      </w:pPr>
      <w:r>
        <w:rPr>
          <w:rFonts w:ascii="Arial" w:hAnsi="Arial" w:cs="Arial"/>
          <w:iCs/>
          <w:sz w:val="24"/>
          <w:szCs w:val="24"/>
        </w:rPr>
        <w:t xml:space="preserve">Gambling ‘licensee exclusion’ means the involuntary </w:t>
      </w:r>
      <w:r w:rsidR="00575329">
        <w:rPr>
          <w:rFonts w:ascii="Arial" w:hAnsi="Arial" w:cs="Arial"/>
          <w:iCs/>
          <w:sz w:val="24"/>
          <w:szCs w:val="24"/>
        </w:rPr>
        <w:t xml:space="preserve">exclusion </w:t>
      </w:r>
      <w:r>
        <w:rPr>
          <w:rFonts w:ascii="Arial" w:hAnsi="Arial" w:cs="Arial"/>
          <w:iCs/>
          <w:sz w:val="24"/>
          <w:szCs w:val="24"/>
        </w:rPr>
        <w:t xml:space="preserve">of a person from a gambling activity conducted by a gambling licensee. </w:t>
      </w:r>
      <w:r w:rsidR="00A22CA8">
        <w:rPr>
          <w:rFonts w:ascii="Arial" w:hAnsi="Arial" w:cs="Arial"/>
          <w:iCs/>
          <w:sz w:val="24"/>
          <w:szCs w:val="24"/>
        </w:rPr>
        <w:t xml:space="preserve">It is initiated by the licensee and is </w:t>
      </w:r>
      <w:r w:rsidR="002139B1">
        <w:rPr>
          <w:rFonts w:ascii="Arial" w:hAnsi="Arial" w:cs="Arial"/>
          <w:iCs/>
          <w:sz w:val="24"/>
          <w:szCs w:val="24"/>
        </w:rPr>
        <w:t>a harm reduction intervention that a licensee must put into place in certain circumstances to prevent</w:t>
      </w:r>
      <w:r w:rsidR="00F73EBD">
        <w:rPr>
          <w:rFonts w:ascii="Arial" w:hAnsi="Arial" w:cs="Arial"/>
          <w:iCs/>
          <w:sz w:val="24"/>
          <w:szCs w:val="24"/>
        </w:rPr>
        <w:t xml:space="preserve"> the risk of gambling</w:t>
      </w:r>
      <w:r w:rsidR="002139B1">
        <w:rPr>
          <w:rFonts w:ascii="Arial" w:hAnsi="Arial" w:cs="Arial"/>
          <w:iCs/>
          <w:sz w:val="24"/>
          <w:szCs w:val="24"/>
        </w:rPr>
        <w:t xml:space="preserve"> harm to a person engaging in a gambling activity, or </w:t>
      </w:r>
      <w:r w:rsidR="00F73EBD">
        <w:rPr>
          <w:rFonts w:ascii="Arial" w:hAnsi="Arial" w:cs="Arial"/>
          <w:iCs/>
          <w:sz w:val="24"/>
          <w:szCs w:val="24"/>
        </w:rPr>
        <w:t xml:space="preserve">risk of harm to </w:t>
      </w:r>
      <w:r w:rsidR="002139B1">
        <w:rPr>
          <w:rFonts w:ascii="Arial" w:hAnsi="Arial" w:cs="Arial"/>
          <w:iCs/>
          <w:sz w:val="24"/>
          <w:szCs w:val="24"/>
        </w:rPr>
        <w:t>a</w:t>
      </w:r>
      <w:r w:rsidR="00F73EBD">
        <w:rPr>
          <w:rFonts w:ascii="Arial" w:hAnsi="Arial" w:cs="Arial"/>
          <w:iCs/>
          <w:sz w:val="24"/>
          <w:szCs w:val="24"/>
        </w:rPr>
        <w:t>nother</w:t>
      </w:r>
      <w:r w:rsidR="002139B1">
        <w:rPr>
          <w:rFonts w:ascii="Arial" w:hAnsi="Arial" w:cs="Arial"/>
          <w:iCs/>
          <w:sz w:val="24"/>
          <w:szCs w:val="24"/>
        </w:rPr>
        <w:t xml:space="preserve"> person with a connection to the person engaging in the activity. </w:t>
      </w:r>
      <w:r w:rsidR="00C02BD3">
        <w:rPr>
          <w:rFonts w:ascii="Arial" w:hAnsi="Arial" w:cs="Arial"/>
          <w:iCs/>
          <w:sz w:val="24"/>
          <w:szCs w:val="24"/>
        </w:rPr>
        <w:t>I</w:t>
      </w:r>
      <w:r w:rsidR="002139B1">
        <w:rPr>
          <w:rFonts w:ascii="Arial" w:hAnsi="Arial" w:cs="Arial"/>
          <w:iCs/>
          <w:sz w:val="24"/>
          <w:szCs w:val="24"/>
        </w:rPr>
        <w:t xml:space="preserve">t is </w:t>
      </w:r>
      <w:r>
        <w:rPr>
          <w:rFonts w:ascii="Arial" w:hAnsi="Arial" w:cs="Arial"/>
          <w:iCs/>
          <w:sz w:val="24"/>
          <w:szCs w:val="24"/>
        </w:rPr>
        <w:t>a</w:t>
      </w:r>
      <w:r w:rsidR="00A75B54">
        <w:rPr>
          <w:rFonts w:ascii="Arial" w:hAnsi="Arial" w:cs="Arial"/>
          <w:iCs/>
          <w:sz w:val="24"/>
          <w:szCs w:val="24"/>
        </w:rPr>
        <w:t>n</w:t>
      </w:r>
      <w:r>
        <w:rPr>
          <w:rFonts w:ascii="Arial" w:hAnsi="Arial" w:cs="Arial"/>
          <w:iCs/>
          <w:sz w:val="24"/>
          <w:szCs w:val="24"/>
        </w:rPr>
        <w:t xml:space="preserve"> intervention which </w:t>
      </w:r>
      <w:r w:rsidR="00791EE4">
        <w:rPr>
          <w:rFonts w:ascii="Arial" w:hAnsi="Arial" w:cs="Arial"/>
          <w:iCs/>
          <w:sz w:val="24"/>
          <w:szCs w:val="24"/>
        </w:rPr>
        <w:t xml:space="preserve">the licensee </w:t>
      </w:r>
      <w:r w:rsidR="00A22CA8">
        <w:rPr>
          <w:rFonts w:ascii="Arial" w:hAnsi="Arial" w:cs="Arial"/>
          <w:iCs/>
          <w:sz w:val="24"/>
          <w:szCs w:val="24"/>
        </w:rPr>
        <w:t xml:space="preserve">must </w:t>
      </w:r>
      <w:r w:rsidR="00791EE4">
        <w:rPr>
          <w:rFonts w:ascii="Arial" w:hAnsi="Arial" w:cs="Arial"/>
          <w:iCs/>
          <w:sz w:val="24"/>
          <w:szCs w:val="24"/>
        </w:rPr>
        <w:t xml:space="preserve">implement </w:t>
      </w:r>
      <w:r>
        <w:rPr>
          <w:rFonts w:ascii="Arial" w:hAnsi="Arial" w:cs="Arial"/>
          <w:iCs/>
          <w:sz w:val="24"/>
          <w:szCs w:val="24"/>
        </w:rPr>
        <w:t xml:space="preserve">when </w:t>
      </w:r>
      <w:r w:rsidR="00A22CA8">
        <w:rPr>
          <w:rFonts w:ascii="Arial" w:hAnsi="Arial" w:cs="Arial"/>
          <w:iCs/>
          <w:sz w:val="24"/>
          <w:szCs w:val="24"/>
        </w:rPr>
        <w:t xml:space="preserve">a </w:t>
      </w:r>
      <w:r>
        <w:rPr>
          <w:rFonts w:ascii="Arial" w:hAnsi="Arial" w:cs="Arial"/>
          <w:iCs/>
          <w:sz w:val="24"/>
          <w:szCs w:val="24"/>
        </w:rPr>
        <w:t xml:space="preserve">gambling activity </w:t>
      </w:r>
      <w:r w:rsidR="00791EE4">
        <w:rPr>
          <w:rFonts w:ascii="Arial" w:hAnsi="Arial" w:cs="Arial"/>
          <w:iCs/>
          <w:sz w:val="24"/>
          <w:szCs w:val="24"/>
        </w:rPr>
        <w:t xml:space="preserve">controlled by the licensee </w:t>
      </w:r>
      <w:r>
        <w:rPr>
          <w:rFonts w:ascii="Arial" w:hAnsi="Arial" w:cs="Arial"/>
          <w:iCs/>
          <w:sz w:val="24"/>
          <w:szCs w:val="24"/>
        </w:rPr>
        <w:t>is causing harm to a person</w:t>
      </w:r>
      <w:r w:rsidR="002139B1">
        <w:rPr>
          <w:rFonts w:ascii="Arial" w:hAnsi="Arial" w:cs="Arial"/>
          <w:iCs/>
          <w:sz w:val="24"/>
          <w:szCs w:val="24"/>
        </w:rPr>
        <w:t xml:space="preserve"> or there is a risk of harm</w:t>
      </w:r>
      <w:r>
        <w:rPr>
          <w:rFonts w:ascii="Arial" w:hAnsi="Arial" w:cs="Arial"/>
          <w:iCs/>
          <w:sz w:val="24"/>
          <w:szCs w:val="24"/>
        </w:rPr>
        <w:t>.</w:t>
      </w:r>
      <w:r w:rsidR="00791EE4">
        <w:rPr>
          <w:rFonts w:ascii="Arial" w:hAnsi="Arial" w:cs="Arial"/>
          <w:iCs/>
          <w:sz w:val="24"/>
          <w:szCs w:val="24"/>
        </w:rPr>
        <w:t xml:space="preserve"> </w:t>
      </w:r>
    </w:p>
    <w:p w14:paraId="6D6BD456" w14:textId="77777777" w:rsidR="0027703B" w:rsidRDefault="0027703B">
      <w:pPr>
        <w:spacing w:after="160" w:line="259" w:lineRule="auto"/>
        <w:rPr>
          <w:rFonts w:ascii="Arial" w:hAnsi="Arial" w:cs="Arial"/>
          <w:iCs/>
          <w:sz w:val="24"/>
          <w:szCs w:val="24"/>
        </w:rPr>
      </w:pPr>
      <w:r>
        <w:rPr>
          <w:rFonts w:ascii="Arial" w:hAnsi="Arial" w:cs="Arial"/>
          <w:iCs/>
          <w:sz w:val="24"/>
          <w:szCs w:val="24"/>
        </w:rPr>
        <w:br w:type="page"/>
      </w:r>
    </w:p>
    <w:p w14:paraId="4352FAEA" w14:textId="3C44AB56" w:rsidR="00C0260A" w:rsidRDefault="00C0260A" w:rsidP="00C0260A">
      <w:pPr>
        <w:spacing w:after="120"/>
        <w:ind w:right="-45"/>
        <w:rPr>
          <w:rFonts w:ascii="Arial" w:hAnsi="Arial" w:cs="Arial"/>
          <w:iCs/>
          <w:sz w:val="24"/>
          <w:szCs w:val="24"/>
        </w:rPr>
      </w:pPr>
      <w:r>
        <w:rPr>
          <w:rFonts w:ascii="Arial" w:hAnsi="Arial" w:cs="Arial"/>
          <w:iCs/>
          <w:sz w:val="24"/>
          <w:szCs w:val="24"/>
        </w:rPr>
        <w:lastRenderedPageBreak/>
        <w:t>The gambling exclusion scheme</w:t>
      </w:r>
      <w:r w:rsidR="00BC15E4">
        <w:rPr>
          <w:rFonts w:ascii="Arial" w:hAnsi="Arial" w:cs="Arial"/>
          <w:iCs/>
          <w:sz w:val="24"/>
          <w:szCs w:val="24"/>
        </w:rPr>
        <w:t xml:space="preserve"> is part of the gambling harm reduction</w:t>
      </w:r>
      <w:r w:rsidR="00C0702D">
        <w:rPr>
          <w:rFonts w:ascii="Arial" w:hAnsi="Arial" w:cs="Arial"/>
          <w:iCs/>
          <w:sz w:val="24"/>
          <w:szCs w:val="24"/>
        </w:rPr>
        <w:t xml:space="preserve"> legislative</w:t>
      </w:r>
      <w:r w:rsidR="00BC15E4">
        <w:rPr>
          <w:rFonts w:ascii="Arial" w:hAnsi="Arial" w:cs="Arial"/>
          <w:iCs/>
          <w:sz w:val="24"/>
          <w:szCs w:val="24"/>
        </w:rPr>
        <w:t xml:space="preserve"> framework</w:t>
      </w:r>
      <w:r>
        <w:rPr>
          <w:rFonts w:ascii="Arial" w:hAnsi="Arial" w:cs="Arial"/>
          <w:iCs/>
          <w:sz w:val="24"/>
          <w:szCs w:val="24"/>
        </w:rPr>
        <w:t>.</w:t>
      </w:r>
      <w:r w:rsidR="0014561F">
        <w:rPr>
          <w:rStyle w:val="FootnoteReference"/>
          <w:rFonts w:ascii="Arial" w:hAnsi="Arial"/>
          <w:iCs/>
          <w:sz w:val="24"/>
          <w:szCs w:val="24"/>
        </w:rPr>
        <w:footnoteReference w:id="6"/>
      </w:r>
      <w:r>
        <w:rPr>
          <w:rFonts w:ascii="Arial" w:hAnsi="Arial" w:cs="Arial"/>
          <w:iCs/>
          <w:sz w:val="24"/>
          <w:szCs w:val="24"/>
        </w:rPr>
        <w:t xml:space="preserve"> The framework sets out:</w:t>
      </w:r>
    </w:p>
    <w:p w14:paraId="6170A8B0" w14:textId="77777777" w:rsidR="00C0260A" w:rsidRPr="00A22CA8" w:rsidRDefault="00C0260A" w:rsidP="00C0260A">
      <w:pPr>
        <w:pStyle w:val="ListParagraph"/>
        <w:numPr>
          <w:ilvl w:val="0"/>
          <w:numId w:val="18"/>
        </w:numPr>
        <w:spacing w:after="120"/>
        <w:ind w:right="-45"/>
        <w:rPr>
          <w:rFonts w:ascii="Arial" w:hAnsi="Arial" w:cs="Arial"/>
          <w:iCs/>
          <w:sz w:val="24"/>
          <w:szCs w:val="24"/>
        </w:rPr>
      </w:pPr>
      <w:r w:rsidRPr="00A22CA8">
        <w:rPr>
          <w:rFonts w:ascii="Arial" w:hAnsi="Arial" w:cs="Arial"/>
          <w:iCs/>
          <w:sz w:val="24"/>
          <w:szCs w:val="24"/>
        </w:rPr>
        <w:t>a person’s right to self-exclude from certain gambling activities</w:t>
      </w:r>
      <w:r>
        <w:rPr>
          <w:rFonts w:ascii="Arial" w:hAnsi="Arial" w:cs="Arial"/>
          <w:iCs/>
          <w:sz w:val="24"/>
          <w:szCs w:val="24"/>
        </w:rPr>
        <w:t xml:space="preserve"> licensed in the ACT</w:t>
      </w:r>
      <w:r w:rsidRPr="00A22CA8">
        <w:rPr>
          <w:rFonts w:ascii="Arial" w:hAnsi="Arial" w:cs="Arial"/>
          <w:iCs/>
          <w:sz w:val="24"/>
          <w:szCs w:val="24"/>
        </w:rPr>
        <w:t xml:space="preserve">, and </w:t>
      </w:r>
    </w:p>
    <w:p w14:paraId="3A04654B" w14:textId="4B00BEEA" w:rsidR="00C0260A" w:rsidRDefault="00C0260A" w:rsidP="00C0260A">
      <w:pPr>
        <w:pStyle w:val="ListParagraph"/>
        <w:numPr>
          <w:ilvl w:val="0"/>
          <w:numId w:val="18"/>
        </w:numPr>
        <w:spacing w:after="120"/>
        <w:ind w:right="-45"/>
        <w:rPr>
          <w:rFonts w:ascii="Arial" w:hAnsi="Arial" w:cs="Arial"/>
          <w:iCs/>
          <w:sz w:val="24"/>
          <w:szCs w:val="24"/>
        </w:rPr>
      </w:pPr>
      <w:r>
        <w:rPr>
          <w:rFonts w:ascii="Arial" w:hAnsi="Arial" w:cs="Arial"/>
          <w:iCs/>
          <w:sz w:val="24"/>
          <w:szCs w:val="24"/>
        </w:rPr>
        <w:t xml:space="preserve">gambling </w:t>
      </w:r>
      <w:r w:rsidRPr="00A22CA8">
        <w:rPr>
          <w:rFonts w:ascii="Arial" w:hAnsi="Arial" w:cs="Arial"/>
          <w:iCs/>
          <w:sz w:val="24"/>
          <w:szCs w:val="24"/>
        </w:rPr>
        <w:t>licensee</w:t>
      </w:r>
      <w:r>
        <w:rPr>
          <w:rFonts w:ascii="Arial" w:hAnsi="Arial" w:cs="Arial"/>
          <w:iCs/>
          <w:sz w:val="24"/>
          <w:szCs w:val="24"/>
        </w:rPr>
        <w:t>s’</w:t>
      </w:r>
      <w:r w:rsidRPr="00A22CA8">
        <w:rPr>
          <w:rFonts w:ascii="Arial" w:hAnsi="Arial" w:cs="Arial"/>
          <w:iCs/>
          <w:sz w:val="24"/>
          <w:szCs w:val="24"/>
        </w:rPr>
        <w:t xml:space="preserve"> obligations to: </w:t>
      </w:r>
    </w:p>
    <w:p w14:paraId="5F29A118" w14:textId="18698B91" w:rsidR="005077FC" w:rsidRDefault="00D92C64" w:rsidP="00D92C64">
      <w:pPr>
        <w:pStyle w:val="ListParagraph"/>
        <w:numPr>
          <w:ilvl w:val="1"/>
          <w:numId w:val="18"/>
        </w:numPr>
        <w:spacing w:after="240"/>
        <w:ind w:left="1434" w:right="-45" w:hanging="357"/>
        <w:rPr>
          <w:rFonts w:ascii="Arial" w:hAnsi="Arial" w:cs="Arial"/>
          <w:iCs/>
          <w:sz w:val="24"/>
          <w:szCs w:val="24"/>
        </w:rPr>
      </w:pPr>
      <w:r>
        <w:rPr>
          <w:rFonts w:ascii="Arial" w:hAnsi="Arial" w:cs="Arial"/>
          <w:iCs/>
          <w:sz w:val="24"/>
          <w:szCs w:val="24"/>
        </w:rPr>
        <w:t>take action to prevent gambling harm, including recording signs of the risk of gambling harm, providing information about support services</w:t>
      </w:r>
      <w:r w:rsidR="005077FC">
        <w:rPr>
          <w:rFonts w:ascii="Arial" w:hAnsi="Arial" w:cs="Arial"/>
          <w:iCs/>
          <w:sz w:val="24"/>
          <w:szCs w:val="24"/>
        </w:rPr>
        <w:t xml:space="preserve">; and </w:t>
      </w:r>
    </w:p>
    <w:p w14:paraId="49D7EE48" w14:textId="1442BBC1" w:rsidR="00D92C64" w:rsidRDefault="00D92C64" w:rsidP="00D92C64">
      <w:pPr>
        <w:pStyle w:val="ListParagraph"/>
        <w:numPr>
          <w:ilvl w:val="1"/>
          <w:numId w:val="18"/>
        </w:numPr>
        <w:spacing w:after="240"/>
        <w:ind w:left="1434" w:right="-45" w:hanging="357"/>
        <w:rPr>
          <w:rFonts w:ascii="Arial" w:hAnsi="Arial" w:cs="Arial"/>
          <w:iCs/>
          <w:sz w:val="24"/>
          <w:szCs w:val="24"/>
        </w:rPr>
      </w:pPr>
      <w:r w:rsidRPr="00A22CA8">
        <w:rPr>
          <w:rFonts w:ascii="Arial" w:hAnsi="Arial" w:cs="Arial"/>
          <w:iCs/>
          <w:sz w:val="24"/>
          <w:szCs w:val="24"/>
        </w:rPr>
        <w:t>exclud</w:t>
      </w:r>
      <w:r>
        <w:rPr>
          <w:rFonts w:ascii="Arial" w:hAnsi="Arial" w:cs="Arial"/>
          <w:iCs/>
          <w:sz w:val="24"/>
          <w:szCs w:val="24"/>
        </w:rPr>
        <w:t>e</w:t>
      </w:r>
      <w:r w:rsidRPr="00A22CA8">
        <w:rPr>
          <w:rFonts w:ascii="Arial" w:hAnsi="Arial" w:cs="Arial"/>
          <w:iCs/>
          <w:sz w:val="24"/>
          <w:szCs w:val="24"/>
        </w:rPr>
        <w:t xml:space="preserve"> a person </w:t>
      </w:r>
      <w:r>
        <w:rPr>
          <w:rFonts w:ascii="Arial" w:hAnsi="Arial" w:cs="Arial"/>
          <w:iCs/>
          <w:sz w:val="24"/>
          <w:szCs w:val="24"/>
        </w:rPr>
        <w:t>from gambling if the person is at risk of harm</w:t>
      </w:r>
      <w:r w:rsidR="004D0ACF">
        <w:rPr>
          <w:rFonts w:ascii="Arial" w:hAnsi="Arial" w:cs="Arial"/>
          <w:iCs/>
          <w:sz w:val="24"/>
          <w:szCs w:val="24"/>
        </w:rPr>
        <w:t xml:space="preserve"> and exclusion is the most proportionate response to that risk</w:t>
      </w:r>
      <w:r>
        <w:rPr>
          <w:rFonts w:ascii="Arial" w:hAnsi="Arial" w:cs="Arial"/>
          <w:iCs/>
          <w:sz w:val="24"/>
          <w:szCs w:val="24"/>
        </w:rPr>
        <w:t>; and</w:t>
      </w:r>
    </w:p>
    <w:p w14:paraId="7D4CF4D6" w14:textId="241BF971" w:rsidR="00D92C64" w:rsidRPr="00D92C64" w:rsidRDefault="00D92C64" w:rsidP="00D92C64">
      <w:pPr>
        <w:pStyle w:val="ListParagraph"/>
        <w:numPr>
          <w:ilvl w:val="1"/>
          <w:numId w:val="18"/>
        </w:numPr>
        <w:spacing w:after="120"/>
        <w:ind w:right="-45"/>
        <w:rPr>
          <w:rFonts w:ascii="Arial" w:hAnsi="Arial" w:cs="Arial"/>
          <w:iCs/>
          <w:sz w:val="24"/>
          <w:szCs w:val="24"/>
        </w:rPr>
      </w:pPr>
      <w:r>
        <w:rPr>
          <w:rFonts w:ascii="Arial" w:hAnsi="Arial" w:cs="Arial"/>
          <w:iCs/>
          <w:sz w:val="24"/>
          <w:szCs w:val="24"/>
        </w:rPr>
        <w:t xml:space="preserve">take appropriate action to </w:t>
      </w:r>
      <w:r w:rsidR="00C0260A" w:rsidRPr="00A22CA8">
        <w:rPr>
          <w:rFonts w:ascii="Arial" w:hAnsi="Arial" w:cs="Arial"/>
          <w:iCs/>
          <w:sz w:val="24"/>
          <w:szCs w:val="24"/>
        </w:rPr>
        <w:t>exclude a person who has chosen to self-exclude from a gambling activity conducted by the licensee</w:t>
      </w:r>
      <w:r w:rsidR="005077FC">
        <w:rPr>
          <w:rFonts w:ascii="Arial" w:hAnsi="Arial" w:cs="Arial"/>
          <w:iCs/>
          <w:sz w:val="24"/>
          <w:szCs w:val="24"/>
        </w:rPr>
        <w:t>.</w:t>
      </w:r>
    </w:p>
    <w:p w14:paraId="52B7D3D3" w14:textId="27EF9676" w:rsidR="00DD18D2" w:rsidRDefault="00DD18D2" w:rsidP="00DD18D2">
      <w:pPr>
        <w:spacing w:after="120"/>
        <w:ind w:right="-45"/>
        <w:rPr>
          <w:rFonts w:ascii="Arial" w:hAnsi="Arial" w:cs="Arial"/>
          <w:iCs/>
          <w:sz w:val="24"/>
          <w:szCs w:val="24"/>
        </w:rPr>
      </w:pPr>
      <w:r>
        <w:rPr>
          <w:rFonts w:ascii="Arial" w:hAnsi="Arial" w:cs="Arial"/>
          <w:iCs/>
          <w:sz w:val="24"/>
          <w:szCs w:val="24"/>
        </w:rPr>
        <w:t xml:space="preserve">The Bill establishes a new ‘Gambling harm’ part in the Act </w:t>
      </w:r>
      <w:r w:rsidR="007715DF">
        <w:rPr>
          <w:rFonts w:ascii="Arial" w:hAnsi="Arial" w:cs="Arial"/>
          <w:iCs/>
          <w:sz w:val="24"/>
          <w:szCs w:val="24"/>
        </w:rPr>
        <w:t>(</w:t>
      </w:r>
      <w:r w:rsidR="007715DF" w:rsidRPr="00954EB1">
        <w:rPr>
          <w:rFonts w:ascii="Arial" w:hAnsi="Arial" w:cs="Arial"/>
          <w:iCs/>
          <w:sz w:val="24"/>
          <w:szCs w:val="24"/>
        </w:rPr>
        <w:t xml:space="preserve">Part </w:t>
      </w:r>
      <w:r w:rsidR="00553AF4" w:rsidRPr="00954EB1">
        <w:rPr>
          <w:rFonts w:ascii="Arial" w:hAnsi="Arial" w:cs="Arial"/>
          <w:iCs/>
          <w:sz w:val="24"/>
          <w:szCs w:val="24"/>
        </w:rPr>
        <w:t>2</w:t>
      </w:r>
      <w:r w:rsidR="007715DF" w:rsidRPr="00954EB1">
        <w:rPr>
          <w:rFonts w:ascii="Arial" w:hAnsi="Arial" w:cs="Arial"/>
          <w:iCs/>
          <w:sz w:val="24"/>
          <w:szCs w:val="24"/>
        </w:rPr>
        <w:t>)</w:t>
      </w:r>
      <w:r w:rsidR="007715DF">
        <w:rPr>
          <w:rFonts w:ascii="Arial" w:hAnsi="Arial" w:cs="Arial"/>
          <w:iCs/>
          <w:sz w:val="24"/>
          <w:szCs w:val="24"/>
        </w:rPr>
        <w:t xml:space="preserve"> </w:t>
      </w:r>
      <w:r>
        <w:rPr>
          <w:rFonts w:ascii="Arial" w:hAnsi="Arial" w:cs="Arial"/>
          <w:iCs/>
          <w:sz w:val="24"/>
          <w:szCs w:val="24"/>
        </w:rPr>
        <w:t xml:space="preserve">which </w:t>
      </w:r>
      <w:r w:rsidR="00280F3D">
        <w:rPr>
          <w:rFonts w:ascii="Arial" w:hAnsi="Arial" w:cs="Arial"/>
          <w:iCs/>
          <w:sz w:val="24"/>
          <w:szCs w:val="24"/>
        </w:rPr>
        <w:t xml:space="preserve">strengthens </w:t>
      </w:r>
      <w:r>
        <w:rPr>
          <w:rFonts w:ascii="Arial" w:hAnsi="Arial" w:cs="Arial"/>
          <w:iCs/>
          <w:sz w:val="24"/>
          <w:szCs w:val="24"/>
        </w:rPr>
        <w:t>the existing gambling exclusion scheme</w:t>
      </w:r>
      <w:r w:rsidR="00280F3D">
        <w:rPr>
          <w:rFonts w:ascii="Arial" w:hAnsi="Arial" w:cs="Arial"/>
          <w:iCs/>
          <w:sz w:val="24"/>
          <w:szCs w:val="24"/>
        </w:rPr>
        <w:t xml:space="preserve"> by</w:t>
      </w:r>
      <w:r>
        <w:rPr>
          <w:rFonts w:ascii="Arial" w:hAnsi="Arial" w:cs="Arial"/>
          <w:iCs/>
          <w:sz w:val="24"/>
          <w:szCs w:val="24"/>
        </w:rPr>
        <w:t xml:space="preserve"> improv</w:t>
      </w:r>
      <w:r w:rsidR="00280F3D">
        <w:rPr>
          <w:rFonts w:ascii="Arial" w:hAnsi="Arial" w:cs="Arial"/>
          <w:iCs/>
          <w:sz w:val="24"/>
          <w:szCs w:val="24"/>
        </w:rPr>
        <w:t>ing</w:t>
      </w:r>
      <w:r>
        <w:rPr>
          <w:rFonts w:ascii="Arial" w:hAnsi="Arial" w:cs="Arial"/>
          <w:iCs/>
          <w:sz w:val="24"/>
          <w:szCs w:val="24"/>
        </w:rPr>
        <w:t xml:space="preserve"> clarity in relation to </w:t>
      </w:r>
      <w:r w:rsidR="00D6462F">
        <w:rPr>
          <w:rFonts w:ascii="Arial" w:hAnsi="Arial" w:cs="Arial"/>
          <w:iCs/>
          <w:sz w:val="24"/>
          <w:szCs w:val="24"/>
        </w:rPr>
        <w:t xml:space="preserve">licensees’ </w:t>
      </w:r>
      <w:r w:rsidR="00AE7AD4">
        <w:rPr>
          <w:rFonts w:ascii="Arial" w:hAnsi="Arial" w:cs="Arial"/>
          <w:iCs/>
          <w:sz w:val="24"/>
          <w:szCs w:val="24"/>
        </w:rPr>
        <w:t>obligations</w:t>
      </w:r>
      <w:r w:rsidR="00D6462F">
        <w:rPr>
          <w:rFonts w:ascii="Arial" w:hAnsi="Arial" w:cs="Arial"/>
          <w:iCs/>
          <w:sz w:val="24"/>
          <w:szCs w:val="24"/>
        </w:rPr>
        <w:t xml:space="preserve"> to observe, record, and respond to risk</w:t>
      </w:r>
      <w:r w:rsidR="00191200">
        <w:rPr>
          <w:rFonts w:ascii="Arial" w:hAnsi="Arial" w:cs="Arial"/>
          <w:iCs/>
          <w:sz w:val="24"/>
          <w:szCs w:val="24"/>
        </w:rPr>
        <w:t>s</w:t>
      </w:r>
      <w:r w:rsidR="00D6462F">
        <w:rPr>
          <w:rFonts w:ascii="Arial" w:hAnsi="Arial" w:cs="Arial"/>
          <w:iCs/>
          <w:sz w:val="24"/>
          <w:szCs w:val="24"/>
        </w:rPr>
        <w:t xml:space="preserve"> of gambling harm</w:t>
      </w:r>
      <w:r w:rsidR="00280F3D">
        <w:rPr>
          <w:rFonts w:ascii="Arial" w:hAnsi="Arial" w:cs="Arial"/>
          <w:iCs/>
          <w:sz w:val="24"/>
          <w:szCs w:val="24"/>
        </w:rPr>
        <w:t xml:space="preserve">. The Bill also </w:t>
      </w:r>
      <w:r>
        <w:rPr>
          <w:rFonts w:ascii="Arial" w:hAnsi="Arial" w:cs="Arial"/>
          <w:iCs/>
          <w:sz w:val="24"/>
          <w:szCs w:val="24"/>
        </w:rPr>
        <w:t>clarifies the definition</w:t>
      </w:r>
      <w:r w:rsidR="004D2EE9">
        <w:rPr>
          <w:rFonts w:ascii="Arial" w:hAnsi="Arial" w:cs="Arial"/>
          <w:iCs/>
          <w:sz w:val="24"/>
          <w:szCs w:val="24"/>
        </w:rPr>
        <w:t xml:space="preserve"> upon which these obligations </w:t>
      </w:r>
      <w:r w:rsidR="00226804">
        <w:rPr>
          <w:rFonts w:ascii="Arial" w:hAnsi="Arial" w:cs="Arial"/>
          <w:iCs/>
          <w:sz w:val="24"/>
          <w:szCs w:val="24"/>
        </w:rPr>
        <w:t>rely</w:t>
      </w:r>
      <w:r w:rsidR="004D2EE9">
        <w:rPr>
          <w:rFonts w:ascii="Arial" w:hAnsi="Arial" w:cs="Arial"/>
          <w:iCs/>
          <w:sz w:val="24"/>
          <w:szCs w:val="24"/>
        </w:rPr>
        <w:t xml:space="preserve">: the definition of when a person is </w:t>
      </w:r>
      <w:r w:rsidR="004D2EE9" w:rsidRPr="00B53CE5">
        <w:rPr>
          <w:rFonts w:ascii="Arial" w:hAnsi="Arial" w:cs="Arial"/>
          <w:i/>
          <w:sz w:val="24"/>
          <w:szCs w:val="24"/>
        </w:rPr>
        <w:t>at</w:t>
      </w:r>
      <w:r w:rsidRPr="00B53CE5">
        <w:rPr>
          <w:rFonts w:ascii="Arial" w:hAnsi="Arial" w:cs="Arial"/>
          <w:i/>
          <w:sz w:val="24"/>
          <w:szCs w:val="24"/>
        </w:rPr>
        <w:t xml:space="preserve"> risk of gambling harm</w:t>
      </w:r>
      <w:r>
        <w:rPr>
          <w:rFonts w:ascii="Arial" w:hAnsi="Arial" w:cs="Arial"/>
          <w:iCs/>
          <w:sz w:val="24"/>
          <w:szCs w:val="24"/>
        </w:rPr>
        <w:t xml:space="preserve">. </w:t>
      </w:r>
    </w:p>
    <w:p w14:paraId="103AD39D" w14:textId="0E09C9CC" w:rsidR="00C0260A" w:rsidRDefault="007A2967" w:rsidP="00F80F60">
      <w:pPr>
        <w:spacing w:after="120"/>
        <w:ind w:right="-45"/>
        <w:rPr>
          <w:rFonts w:ascii="Arial" w:hAnsi="Arial" w:cs="Arial"/>
          <w:iCs/>
          <w:sz w:val="24"/>
          <w:szCs w:val="24"/>
        </w:rPr>
      </w:pPr>
      <w:r>
        <w:rPr>
          <w:rFonts w:ascii="Arial" w:hAnsi="Arial" w:cs="Arial"/>
          <w:iCs/>
          <w:sz w:val="24"/>
          <w:szCs w:val="24"/>
        </w:rPr>
        <w:t>The</w:t>
      </w:r>
      <w:r w:rsidR="00C0260A">
        <w:rPr>
          <w:rFonts w:ascii="Arial" w:hAnsi="Arial" w:cs="Arial"/>
          <w:iCs/>
          <w:sz w:val="24"/>
          <w:szCs w:val="24"/>
        </w:rPr>
        <w:t>se changes seek to achieve the</w:t>
      </w:r>
      <w:r>
        <w:rPr>
          <w:rFonts w:ascii="Arial" w:hAnsi="Arial" w:cs="Arial"/>
          <w:iCs/>
          <w:sz w:val="24"/>
          <w:szCs w:val="24"/>
        </w:rPr>
        <w:t xml:space="preserve"> </w:t>
      </w:r>
      <w:r w:rsidR="000775E2">
        <w:rPr>
          <w:rFonts w:ascii="Arial" w:hAnsi="Arial" w:cs="Arial"/>
          <w:iCs/>
          <w:sz w:val="24"/>
          <w:szCs w:val="24"/>
        </w:rPr>
        <w:t>purpose of the Bill</w:t>
      </w:r>
      <w:r w:rsidR="00F26833">
        <w:rPr>
          <w:rFonts w:ascii="Arial" w:hAnsi="Arial" w:cs="Arial"/>
          <w:iCs/>
          <w:sz w:val="24"/>
          <w:szCs w:val="24"/>
        </w:rPr>
        <w:t>, which is</w:t>
      </w:r>
      <w:r w:rsidR="000775E2">
        <w:rPr>
          <w:rFonts w:ascii="Arial" w:hAnsi="Arial" w:cs="Arial"/>
          <w:iCs/>
          <w:sz w:val="24"/>
          <w:szCs w:val="24"/>
        </w:rPr>
        <w:t xml:space="preserve"> </w:t>
      </w:r>
      <w:r w:rsidR="003D699D">
        <w:rPr>
          <w:rFonts w:ascii="Arial" w:hAnsi="Arial" w:cs="Arial"/>
          <w:iCs/>
          <w:sz w:val="24"/>
          <w:szCs w:val="24"/>
        </w:rPr>
        <w:t xml:space="preserve">to </w:t>
      </w:r>
      <w:r w:rsidR="008C7C6E">
        <w:rPr>
          <w:rFonts w:ascii="Arial" w:hAnsi="Arial" w:cs="Arial"/>
          <w:iCs/>
          <w:sz w:val="24"/>
          <w:szCs w:val="24"/>
        </w:rPr>
        <w:t>prevent and minimise gambling harm by strengthening the existing gambling exclusion scheme</w:t>
      </w:r>
      <w:r w:rsidR="00A931A2">
        <w:rPr>
          <w:rFonts w:ascii="Arial" w:hAnsi="Arial" w:cs="Arial"/>
          <w:iCs/>
          <w:sz w:val="24"/>
          <w:szCs w:val="24"/>
        </w:rPr>
        <w:t xml:space="preserve"> with appropriate consumer protections </w:t>
      </w:r>
      <w:r w:rsidR="00C0260A">
        <w:rPr>
          <w:rFonts w:ascii="Arial" w:hAnsi="Arial" w:cs="Arial"/>
          <w:iCs/>
          <w:sz w:val="24"/>
          <w:szCs w:val="24"/>
        </w:rPr>
        <w:t xml:space="preserve">and </w:t>
      </w:r>
      <w:r w:rsidR="00C15994">
        <w:rPr>
          <w:rFonts w:ascii="Arial" w:hAnsi="Arial" w:cs="Arial"/>
          <w:iCs/>
          <w:sz w:val="24"/>
          <w:szCs w:val="24"/>
        </w:rPr>
        <w:t>cl</w:t>
      </w:r>
      <w:r w:rsidR="0078454A">
        <w:rPr>
          <w:rFonts w:ascii="Arial" w:hAnsi="Arial" w:cs="Arial"/>
          <w:iCs/>
          <w:sz w:val="24"/>
          <w:szCs w:val="24"/>
        </w:rPr>
        <w:t>arifying the</w:t>
      </w:r>
      <w:r w:rsidR="00C15994">
        <w:rPr>
          <w:rFonts w:ascii="Arial" w:hAnsi="Arial" w:cs="Arial"/>
          <w:iCs/>
          <w:sz w:val="24"/>
          <w:szCs w:val="24"/>
        </w:rPr>
        <w:t xml:space="preserve"> </w:t>
      </w:r>
      <w:r w:rsidR="00C0260A">
        <w:rPr>
          <w:rFonts w:ascii="Arial" w:hAnsi="Arial" w:cs="Arial"/>
          <w:iCs/>
          <w:sz w:val="24"/>
          <w:szCs w:val="24"/>
        </w:rPr>
        <w:t xml:space="preserve">obligations </w:t>
      </w:r>
      <w:r w:rsidR="00A931A2">
        <w:rPr>
          <w:rFonts w:ascii="Arial" w:hAnsi="Arial" w:cs="Arial"/>
          <w:iCs/>
          <w:sz w:val="24"/>
          <w:szCs w:val="24"/>
        </w:rPr>
        <w:t xml:space="preserve">gambling licensees </w:t>
      </w:r>
      <w:r w:rsidR="00D92C64">
        <w:rPr>
          <w:rFonts w:ascii="Arial" w:hAnsi="Arial" w:cs="Arial"/>
          <w:iCs/>
          <w:sz w:val="24"/>
          <w:szCs w:val="24"/>
        </w:rPr>
        <w:t>must</w:t>
      </w:r>
      <w:r w:rsidR="00A931A2">
        <w:rPr>
          <w:rFonts w:ascii="Arial" w:hAnsi="Arial" w:cs="Arial"/>
          <w:iCs/>
          <w:sz w:val="24"/>
          <w:szCs w:val="24"/>
        </w:rPr>
        <w:t xml:space="preserve"> comply with </w:t>
      </w:r>
      <w:r w:rsidR="00184D58">
        <w:rPr>
          <w:rFonts w:ascii="Arial" w:hAnsi="Arial" w:cs="Arial"/>
          <w:iCs/>
          <w:sz w:val="24"/>
          <w:szCs w:val="24"/>
        </w:rPr>
        <w:t>when</w:t>
      </w:r>
      <w:r w:rsidR="00C15994">
        <w:rPr>
          <w:rFonts w:ascii="Arial" w:hAnsi="Arial" w:cs="Arial"/>
          <w:iCs/>
          <w:sz w:val="24"/>
          <w:szCs w:val="24"/>
        </w:rPr>
        <w:t xml:space="preserve"> operat</w:t>
      </w:r>
      <w:r w:rsidR="00184D58">
        <w:rPr>
          <w:rFonts w:ascii="Arial" w:hAnsi="Arial" w:cs="Arial"/>
          <w:iCs/>
          <w:sz w:val="24"/>
          <w:szCs w:val="24"/>
        </w:rPr>
        <w:t>ing</w:t>
      </w:r>
      <w:r w:rsidR="00A931A2">
        <w:rPr>
          <w:rFonts w:ascii="Arial" w:hAnsi="Arial" w:cs="Arial"/>
          <w:iCs/>
          <w:sz w:val="24"/>
          <w:szCs w:val="24"/>
        </w:rPr>
        <w:t xml:space="preserve"> licensed gambling </w:t>
      </w:r>
      <w:r w:rsidR="004249CF">
        <w:rPr>
          <w:rFonts w:ascii="Arial" w:hAnsi="Arial" w:cs="Arial"/>
          <w:iCs/>
          <w:sz w:val="24"/>
          <w:szCs w:val="24"/>
        </w:rPr>
        <w:t>activities</w:t>
      </w:r>
      <w:r w:rsidR="008C7C6E">
        <w:rPr>
          <w:rFonts w:ascii="Arial" w:hAnsi="Arial" w:cs="Arial"/>
          <w:iCs/>
          <w:sz w:val="24"/>
          <w:szCs w:val="24"/>
        </w:rPr>
        <w:t>.</w:t>
      </w:r>
      <w:r w:rsidR="006F648A">
        <w:rPr>
          <w:rFonts w:ascii="Arial" w:hAnsi="Arial" w:cs="Arial"/>
          <w:iCs/>
          <w:sz w:val="24"/>
          <w:szCs w:val="24"/>
        </w:rPr>
        <w:t xml:space="preserve"> In alignment with the movement away from using </w:t>
      </w:r>
      <w:r w:rsidR="00BC18BD">
        <w:rPr>
          <w:rFonts w:ascii="Arial" w:hAnsi="Arial" w:cs="Arial"/>
          <w:iCs/>
          <w:sz w:val="24"/>
          <w:szCs w:val="24"/>
        </w:rPr>
        <w:t>the definition of ‘problem gambling’ as the cornerstone for these laws</w:t>
      </w:r>
      <w:r w:rsidR="001617CB">
        <w:rPr>
          <w:rFonts w:ascii="Arial" w:hAnsi="Arial" w:cs="Arial"/>
          <w:iCs/>
          <w:sz w:val="24"/>
          <w:szCs w:val="24"/>
        </w:rPr>
        <w:t xml:space="preserve"> and towards gambling harm risk</w:t>
      </w:r>
      <w:r w:rsidR="00BC18BD">
        <w:rPr>
          <w:rFonts w:ascii="Arial" w:hAnsi="Arial" w:cs="Arial"/>
          <w:iCs/>
          <w:sz w:val="24"/>
          <w:szCs w:val="24"/>
        </w:rPr>
        <w:t xml:space="preserve">, this reform situates the responsibility for </w:t>
      </w:r>
      <w:r w:rsidR="00A359DB">
        <w:rPr>
          <w:rFonts w:ascii="Arial" w:hAnsi="Arial" w:cs="Arial"/>
          <w:iCs/>
          <w:sz w:val="24"/>
          <w:szCs w:val="24"/>
        </w:rPr>
        <w:t>preventing</w:t>
      </w:r>
      <w:r w:rsidR="00BC18BD">
        <w:rPr>
          <w:rFonts w:ascii="Arial" w:hAnsi="Arial" w:cs="Arial"/>
          <w:iCs/>
          <w:sz w:val="24"/>
          <w:szCs w:val="24"/>
        </w:rPr>
        <w:t xml:space="preserve"> potential harm associated with gambling products with </w:t>
      </w:r>
      <w:r w:rsidR="006729EA">
        <w:rPr>
          <w:rFonts w:ascii="Arial" w:hAnsi="Arial" w:cs="Arial"/>
          <w:iCs/>
          <w:sz w:val="24"/>
          <w:szCs w:val="24"/>
        </w:rPr>
        <w:t>organisations</w:t>
      </w:r>
      <w:r w:rsidR="00BC18BD">
        <w:rPr>
          <w:rFonts w:ascii="Arial" w:hAnsi="Arial" w:cs="Arial"/>
          <w:iCs/>
          <w:sz w:val="24"/>
          <w:szCs w:val="24"/>
        </w:rPr>
        <w:t xml:space="preserve"> seeking to supply those products to the community.</w:t>
      </w:r>
      <w:r w:rsidR="00FC4171">
        <w:rPr>
          <w:rFonts w:ascii="Arial" w:hAnsi="Arial" w:cs="Arial"/>
          <w:iCs/>
          <w:sz w:val="24"/>
          <w:szCs w:val="24"/>
        </w:rPr>
        <w:t xml:space="preserve"> It clarifies these responsibilities and streamlines the processes to</w:t>
      </w:r>
      <w:r w:rsidR="00F629FC">
        <w:rPr>
          <w:rFonts w:ascii="Arial" w:hAnsi="Arial" w:cs="Arial"/>
          <w:iCs/>
          <w:sz w:val="24"/>
          <w:szCs w:val="24"/>
        </w:rPr>
        <w:t xml:space="preserve"> properly</w:t>
      </w:r>
      <w:r w:rsidR="00FC4171">
        <w:rPr>
          <w:rFonts w:ascii="Arial" w:hAnsi="Arial" w:cs="Arial"/>
          <w:iCs/>
          <w:sz w:val="24"/>
          <w:szCs w:val="24"/>
        </w:rPr>
        <w:t xml:space="preserve"> </w:t>
      </w:r>
      <w:r w:rsidR="007F6698">
        <w:rPr>
          <w:rFonts w:ascii="Arial" w:hAnsi="Arial" w:cs="Arial"/>
          <w:iCs/>
          <w:sz w:val="24"/>
          <w:szCs w:val="24"/>
        </w:rPr>
        <w:t xml:space="preserve">meet them. </w:t>
      </w:r>
      <w:r w:rsidR="00A359DB">
        <w:rPr>
          <w:rFonts w:ascii="Arial" w:hAnsi="Arial" w:cs="Arial"/>
          <w:iCs/>
          <w:sz w:val="24"/>
          <w:szCs w:val="24"/>
        </w:rPr>
        <w:t xml:space="preserve"> </w:t>
      </w:r>
      <w:r w:rsidR="00BC18BD">
        <w:rPr>
          <w:rFonts w:ascii="Arial" w:hAnsi="Arial" w:cs="Arial"/>
          <w:iCs/>
          <w:sz w:val="24"/>
          <w:szCs w:val="24"/>
        </w:rPr>
        <w:t xml:space="preserve"> </w:t>
      </w:r>
      <w:r w:rsidR="003D699D">
        <w:rPr>
          <w:rFonts w:ascii="Arial" w:hAnsi="Arial" w:cs="Arial"/>
          <w:iCs/>
          <w:sz w:val="24"/>
          <w:szCs w:val="24"/>
        </w:rPr>
        <w:t xml:space="preserve"> </w:t>
      </w:r>
    </w:p>
    <w:p w14:paraId="6771A45A" w14:textId="3B1CC7A5" w:rsidR="00187D28" w:rsidRDefault="008C7C6E" w:rsidP="00F80F60">
      <w:pPr>
        <w:spacing w:after="120"/>
        <w:ind w:right="-45"/>
        <w:rPr>
          <w:rFonts w:ascii="Arial" w:hAnsi="Arial" w:cs="Arial"/>
          <w:iCs/>
          <w:sz w:val="24"/>
          <w:szCs w:val="24"/>
        </w:rPr>
      </w:pPr>
      <w:r>
        <w:rPr>
          <w:rFonts w:ascii="Arial" w:hAnsi="Arial" w:cs="Arial"/>
          <w:iCs/>
          <w:sz w:val="24"/>
          <w:szCs w:val="24"/>
        </w:rPr>
        <w:t>Th</w:t>
      </w:r>
      <w:r w:rsidR="00C0260A">
        <w:rPr>
          <w:rFonts w:ascii="Arial" w:hAnsi="Arial" w:cs="Arial"/>
          <w:iCs/>
          <w:sz w:val="24"/>
          <w:szCs w:val="24"/>
        </w:rPr>
        <w:t xml:space="preserve">e </w:t>
      </w:r>
      <w:r>
        <w:rPr>
          <w:rFonts w:ascii="Arial" w:hAnsi="Arial" w:cs="Arial"/>
          <w:iCs/>
          <w:sz w:val="24"/>
          <w:szCs w:val="24"/>
        </w:rPr>
        <w:t xml:space="preserve">Bill </w:t>
      </w:r>
      <w:r w:rsidR="005317FF">
        <w:rPr>
          <w:rFonts w:ascii="Arial" w:hAnsi="Arial" w:cs="Arial"/>
          <w:iCs/>
          <w:sz w:val="24"/>
          <w:szCs w:val="24"/>
        </w:rPr>
        <w:t>ensures</w:t>
      </w:r>
      <w:r w:rsidR="0087029C">
        <w:rPr>
          <w:rFonts w:ascii="Arial" w:hAnsi="Arial" w:cs="Arial"/>
          <w:iCs/>
          <w:sz w:val="24"/>
          <w:szCs w:val="24"/>
        </w:rPr>
        <w:t xml:space="preserve"> the</w:t>
      </w:r>
      <w:r w:rsidR="00187D28">
        <w:rPr>
          <w:rFonts w:ascii="Arial" w:hAnsi="Arial" w:cs="Arial"/>
          <w:iCs/>
          <w:sz w:val="24"/>
          <w:szCs w:val="24"/>
        </w:rPr>
        <w:t xml:space="preserve"> new</w:t>
      </w:r>
      <w:r w:rsidR="0087029C">
        <w:rPr>
          <w:rFonts w:ascii="Arial" w:hAnsi="Arial" w:cs="Arial"/>
          <w:iCs/>
          <w:sz w:val="24"/>
          <w:szCs w:val="24"/>
        </w:rPr>
        <w:t xml:space="preserve"> gambling harm framework is underpinned by contemporary evidence </w:t>
      </w:r>
      <w:r w:rsidR="001F57C9">
        <w:rPr>
          <w:rFonts w:ascii="Arial" w:hAnsi="Arial" w:cs="Arial"/>
          <w:iCs/>
          <w:sz w:val="24"/>
          <w:szCs w:val="24"/>
        </w:rPr>
        <w:t>about</w:t>
      </w:r>
      <w:r w:rsidR="0087029C">
        <w:rPr>
          <w:rFonts w:ascii="Arial" w:hAnsi="Arial" w:cs="Arial"/>
          <w:iCs/>
          <w:sz w:val="24"/>
          <w:szCs w:val="24"/>
        </w:rPr>
        <w:t xml:space="preserve"> gambling harm</w:t>
      </w:r>
      <w:r w:rsidR="00C15994">
        <w:rPr>
          <w:rFonts w:ascii="Arial" w:hAnsi="Arial" w:cs="Arial"/>
          <w:iCs/>
          <w:sz w:val="24"/>
          <w:szCs w:val="24"/>
        </w:rPr>
        <w:t xml:space="preserve">, </w:t>
      </w:r>
      <w:r w:rsidR="000C4BDD">
        <w:rPr>
          <w:rFonts w:ascii="Arial" w:hAnsi="Arial" w:cs="Arial"/>
          <w:iCs/>
          <w:sz w:val="24"/>
          <w:szCs w:val="24"/>
        </w:rPr>
        <w:t xml:space="preserve">with a revised list of </w:t>
      </w:r>
      <w:r w:rsidR="00C15994">
        <w:rPr>
          <w:rFonts w:ascii="Arial" w:hAnsi="Arial" w:cs="Arial"/>
          <w:iCs/>
          <w:sz w:val="24"/>
          <w:szCs w:val="24"/>
        </w:rPr>
        <w:t>signs of risk of gambling harm</w:t>
      </w:r>
      <w:r w:rsidR="00030792">
        <w:rPr>
          <w:rFonts w:ascii="Arial" w:hAnsi="Arial" w:cs="Arial"/>
          <w:iCs/>
          <w:sz w:val="24"/>
          <w:szCs w:val="24"/>
        </w:rPr>
        <w:t xml:space="preserve"> defined in the Act</w:t>
      </w:r>
      <w:r w:rsidR="008F1A23">
        <w:rPr>
          <w:rFonts w:ascii="Arial" w:hAnsi="Arial" w:cs="Arial"/>
          <w:iCs/>
          <w:sz w:val="24"/>
          <w:szCs w:val="24"/>
        </w:rPr>
        <w:t xml:space="preserve"> that </w:t>
      </w:r>
      <w:r w:rsidR="00AF11AB">
        <w:rPr>
          <w:rFonts w:ascii="Arial" w:hAnsi="Arial" w:cs="Arial"/>
          <w:iCs/>
          <w:sz w:val="24"/>
          <w:szCs w:val="24"/>
        </w:rPr>
        <w:t>reflect</w:t>
      </w:r>
      <w:r w:rsidR="008F1A23">
        <w:rPr>
          <w:rFonts w:ascii="Arial" w:hAnsi="Arial" w:cs="Arial"/>
          <w:iCs/>
          <w:sz w:val="24"/>
          <w:szCs w:val="24"/>
        </w:rPr>
        <w:t xml:space="preserve"> best practice research</w:t>
      </w:r>
      <w:r w:rsidR="00AF11AB">
        <w:rPr>
          <w:rFonts w:ascii="Arial" w:hAnsi="Arial" w:cs="Arial"/>
          <w:iCs/>
          <w:sz w:val="24"/>
          <w:szCs w:val="24"/>
        </w:rPr>
        <w:t>.</w:t>
      </w:r>
      <w:r w:rsidR="00D12B83">
        <w:rPr>
          <w:rFonts w:ascii="Arial" w:hAnsi="Arial" w:cs="Arial"/>
          <w:iCs/>
          <w:sz w:val="24"/>
          <w:szCs w:val="24"/>
        </w:rPr>
        <w:t xml:space="preserve"> This threshold is supported by </w:t>
      </w:r>
      <w:r w:rsidR="004E7B0F">
        <w:rPr>
          <w:rFonts w:ascii="Arial" w:hAnsi="Arial" w:cs="Arial"/>
          <w:iCs/>
          <w:sz w:val="24"/>
          <w:szCs w:val="24"/>
        </w:rPr>
        <w:t xml:space="preserve">clear and risk-responsive obligations to </w:t>
      </w:r>
      <w:r w:rsidR="00991C92">
        <w:rPr>
          <w:rFonts w:ascii="Arial" w:hAnsi="Arial" w:cs="Arial"/>
          <w:iCs/>
          <w:sz w:val="24"/>
          <w:szCs w:val="24"/>
        </w:rPr>
        <w:t>act</w:t>
      </w:r>
      <w:r w:rsidR="004E7B0F">
        <w:rPr>
          <w:rFonts w:ascii="Arial" w:hAnsi="Arial" w:cs="Arial"/>
          <w:iCs/>
          <w:sz w:val="24"/>
          <w:szCs w:val="24"/>
        </w:rPr>
        <w:t xml:space="preserve"> which embed an early intervention and prevention ethos</w:t>
      </w:r>
      <w:r w:rsidR="008530BC">
        <w:rPr>
          <w:rFonts w:ascii="Arial" w:hAnsi="Arial" w:cs="Arial"/>
          <w:iCs/>
          <w:sz w:val="24"/>
          <w:szCs w:val="24"/>
        </w:rPr>
        <w:t>, recognising that the responsibility to prevent harm rests with those providing potentially harmful products</w:t>
      </w:r>
      <w:r w:rsidR="004E7B0F">
        <w:rPr>
          <w:rFonts w:ascii="Arial" w:hAnsi="Arial" w:cs="Arial"/>
          <w:iCs/>
          <w:sz w:val="24"/>
          <w:szCs w:val="24"/>
        </w:rPr>
        <w:t>.</w:t>
      </w:r>
      <w:r w:rsidR="0087029C">
        <w:rPr>
          <w:rFonts w:ascii="Arial" w:hAnsi="Arial" w:cs="Arial"/>
          <w:iCs/>
          <w:sz w:val="24"/>
          <w:szCs w:val="24"/>
        </w:rPr>
        <w:t xml:space="preserve"> </w:t>
      </w:r>
      <w:r w:rsidR="00187D28">
        <w:rPr>
          <w:rFonts w:ascii="Arial" w:hAnsi="Arial" w:cs="Arial"/>
          <w:iCs/>
          <w:sz w:val="24"/>
          <w:szCs w:val="24"/>
        </w:rPr>
        <w:t xml:space="preserve">Since the Code of Practice was originally </w:t>
      </w:r>
      <w:r w:rsidR="000E476B">
        <w:rPr>
          <w:rFonts w:ascii="Arial" w:hAnsi="Arial" w:cs="Arial"/>
          <w:iCs/>
          <w:sz w:val="24"/>
          <w:szCs w:val="24"/>
        </w:rPr>
        <w:t>created</w:t>
      </w:r>
      <w:r w:rsidR="00187D28">
        <w:rPr>
          <w:rFonts w:ascii="Arial" w:hAnsi="Arial" w:cs="Arial"/>
          <w:iCs/>
          <w:sz w:val="24"/>
          <w:szCs w:val="24"/>
        </w:rPr>
        <w:t xml:space="preserve"> in 2002, evidence informing understanding of gambling harm has developed significantly</w:t>
      </w:r>
      <w:r w:rsidR="00D56F94">
        <w:rPr>
          <w:rFonts w:ascii="Arial" w:hAnsi="Arial" w:cs="Arial"/>
          <w:iCs/>
          <w:sz w:val="24"/>
          <w:szCs w:val="24"/>
        </w:rPr>
        <w:t xml:space="preserve"> and the</w:t>
      </w:r>
      <w:r w:rsidR="00F679F5">
        <w:rPr>
          <w:rFonts w:ascii="Arial" w:hAnsi="Arial" w:cs="Arial"/>
          <w:iCs/>
          <w:sz w:val="24"/>
          <w:szCs w:val="24"/>
        </w:rPr>
        <w:t xml:space="preserve"> need to modernise the ACT’s gambling harm minimisation laws is </w:t>
      </w:r>
      <w:r w:rsidR="000A41BB">
        <w:rPr>
          <w:rFonts w:ascii="Arial" w:hAnsi="Arial" w:cs="Arial"/>
          <w:iCs/>
          <w:sz w:val="24"/>
          <w:szCs w:val="24"/>
        </w:rPr>
        <w:t>critical</w:t>
      </w:r>
      <w:r w:rsidR="00187D28">
        <w:rPr>
          <w:rFonts w:ascii="Arial" w:hAnsi="Arial" w:cs="Arial"/>
          <w:iCs/>
          <w:sz w:val="24"/>
          <w:szCs w:val="24"/>
        </w:rPr>
        <w:t>.</w:t>
      </w:r>
      <w:r w:rsidR="00B0685F">
        <w:rPr>
          <w:rFonts w:ascii="Arial" w:hAnsi="Arial" w:cs="Arial"/>
          <w:iCs/>
          <w:sz w:val="24"/>
          <w:szCs w:val="24"/>
        </w:rPr>
        <w:t xml:space="preserve"> </w:t>
      </w:r>
      <w:r w:rsidR="00EC1EC8">
        <w:rPr>
          <w:rFonts w:ascii="Arial" w:hAnsi="Arial" w:cs="Arial"/>
          <w:iCs/>
          <w:sz w:val="24"/>
          <w:szCs w:val="24"/>
        </w:rPr>
        <w:t xml:space="preserve">It is well documented that </w:t>
      </w:r>
      <w:r w:rsidR="002E7890">
        <w:rPr>
          <w:rFonts w:ascii="Arial" w:hAnsi="Arial" w:cs="Arial"/>
          <w:iCs/>
          <w:sz w:val="24"/>
          <w:szCs w:val="24"/>
        </w:rPr>
        <w:t>g</w:t>
      </w:r>
      <w:r w:rsidR="00187D28">
        <w:rPr>
          <w:rFonts w:ascii="Arial" w:hAnsi="Arial" w:cs="Arial"/>
          <w:iCs/>
          <w:sz w:val="24"/>
          <w:szCs w:val="24"/>
        </w:rPr>
        <w:t>ambling harm</w:t>
      </w:r>
      <w:r w:rsidR="00A50993">
        <w:rPr>
          <w:rFonts w:ascii="Arial" w:hAnsi="Arial" w:cs="Arial"/>
          <w:iCs/>
          <w:sz w:val="24"/>
          <w:szCs w:val="24"/>
        </w:rPr>
        <w:t xml:space="preserve"> causes</w:t>
      </w:r>
      <w:r w:rsidR="00C15994">
        <w:rPr>
          <w:rFonts w:ascii="Arial" w:hAnsi="Arial" w:cs="Arial"/>
          <w:iCs/>
          <w:sz w:val="24"/>
          <w:szCs w:val="24"/>
        </w:rPr>
        <w:t xml:space="preserve"> </w:t>
      </w:r>
      <w:r w:rsidR="00187D28">
        <w:rPr>
          <w:rFonts w:ascii="Arial" w:hAnsi="Arial" w:cs="Arial"/>
          <w:iCs/>
          <w:sz w:val="24"/>
          <w:szCs w:val="24"/>
        </w:rPr>
        <w:t>serious health, social, physical, financial and emotional impacts to people, including others affected by a person’s gambling.</w:t>
      </w:r>
      <w:r w:rsidR="00DD54F1">
        <w:rPr>
          <w:rFonts w:ascii="Arial" w:hAnsi="Arial" w:cs="Arial"/>
          <w:iCs/>
          <w:sz w:val="24"/>
          <w:szCs w:val="24"/>
        </w:rPr>
        <w:t xml:space="preserve"> </w:t>
      </w:r>
      <w:r w:rsidR="00AB727F">
        <w:rPr>
          <w:rFonts w:ascii="Arial" w:hAnsi="Arial" w:cs="Arial"/>
          <w:iCs/>
          <w:sz w:val="24"/>
          <w:szCs w:val="24"/>
        </w:rPr>
        <w:t xml:space="preserve">The ACT’s </w:t>
      </w:r>
      <w:r w:rsidR="00DA4FAC">
        <w:rPr>
          <w:rFonts w:ascii="Arial" w:hAnsi="Arial" w:cs="Arial"/>
          <w:iCs/>
          <w:sz w:val="24"/>
          <w:szCs w:val="24"/>
        </w:rPr>
        <w:t xml:space="preserve">gambling harm minimisation framework must respond </w:t>
      </w:r>
      <w:r w:rsidR="00DA4FAC">
        <w:rPr>
          <w:rFonts w:ascii="Arial" w:hAnsi="Arial" w:cs="Arial"/>
          <w:iCs/>
          <w:sz w:val="24"/>
          <w:szCs w:val="24"/>
        </w:rPr>
        <w:lastRenderedPageBreak/>
        <w:t>to this reality</w:t>
      </w:r>
      <w:r w:rsidR="000B6A99">
        <w:rPr>
          <w:rFonts w:ascii="Arial" w:hAnsi="Arial" w:cs="Arial"/>
          <w:iCs/>
          <w:sz w:val="24"/>
          <w:szCs w:val="24"/>
        </w:rPr>
        <w:t xml:space="preserve"> by </w:t>
      </w:r>
      <w:r w:rsidR="008F479C">
        <w:rPr>
          <w:rFonts w:ascii="Arial" w:hAnsi="Arial" w:cs="Arial"/>
          <w:iCs/>
          <w:sz w:val="24"/>
          <w:szCs w:val="24"/>
        </w:rPr>
        <w:t xml:space="preserve">including clear, evidence-based thresholds for intervention </w:t>
      </w:r>
      <w:r w:rsidR="00A2672D">
        <w:rPr>
          <w:rFonts w:ascii="Arial" w:hAnsi="Arial" w:cs="Arial"/>
          <w:iCs/>
          <w:sz w:val="24"/>
          <w:szCs w:val="24"/>
        </w:rPr>
        <w:t xml:space="preserve">and risk-responsive </w:t>
      </w:r>
      <w:r w:rsidR="00CA5334">
        <w:rPr>
          <w:rFonts w:ascii="Arial" w:hAnsi="Arial" w:cs="Arial"/>
          <w:iCs/>
          <w:sz w:val="24"/>
          <w:szCs w:val="24"/>
        </w:rPr>
        <w:t>actions with clear</w:t>
      </w:r>
      <w:r w:rsidR="0019192C">
        <w:rPr>
          <w:rFonts w:ascii="Arial" w:hAnsi="Arial" w:cs="Arial"/>
          <w:iCs/>
          <w:sz w:val="24"/>
          <w:szCs w:val="24"/>
        </w:rPr>
        <w:t>,</w:t>
      </w:r>
      <w:r w:rsidR="00A80BAE">
        <w:rPr>
          <w:rFonts w:ascii="Arial" w:hAnsi="Arial" w:cs="Arial"/>
          <w:iCs/>
          <w:sz w:val="24"/>
          <w:szCs w:val="24"/>
        </w:rPr>
        <w:t xml:space="preserve"> </w:t>
      </w:r>
      <w:r w:rsidR="00CA5334">
        <w:rPr>
          <w:rFonts w:ascii="Arial" w:hAnsi="Arial" w:cs="Arial"/>
          <w:iCs/>
          <w:sz w:val="24"/>
          <w:szCs w:val="24"/>
        </w:rPr>
        <w:t xml:space="preserve">consistent obligations. </w:t>
      </w:r>
    </w:p>
    <w:p w14:paraId="01F27C0C" w14:textId="2402EC01" w:rsidR="008C7C6E" w:rsidRDefault="00190051" w:rsidP="00F80F60">
      <w:pPr>
        <w:spacing w:after="120"/>
        <w:ind w:right="-45"/>
        <w:rPr>
          <w:rFonts w:ascii="Arial" w:hAnsi="Arial" w:cs="Arial"/>
          <w:iCs/>
          <w:sz w:val="24"/>
          <w:szCs w:val="24"/>
        </w:rPr>
      </w:pPr>
      <w:r>
        <w:rPr>
          <w:rFonts w:ascii="Arial" w:hAnsi="Arial" w:cs="Arial"/>
          <w:iCs/>
          <w:sz w:val="24"/>
          <w:szCs w:val="24"/>
        </w:rPr>
        <w:t xml:space="preserve">The Bill </w:t>
      </w:r>
      <w:r w:rsidR="006250F7">
        <w:rPr>
          <w:rFonts w:ascii="Arial" w:hAnsi="Arial" w:cs="Arial"/>
          <w:iCs/>
          <w:sz w:val="24"/>
          <w:szCs w:val="24"/>
        </w:rPr>
        <w:t>replac</w:t>
      </w:r>
      <w:r>
        <w:rPr>
          <w:rFonts w:ascii="Arial" w:hAnsi="Arial" w:cs="Arial"/>
          <w:iCs/>
          <w:sz w:val="24"/>
          <w:szCs w:val="24"/>
        </w:rPr>
        <w:t>es</w:t>
      </w:r>
      <w:r w:rsidR="006250F7">
        <w:rPr>
          <w:rFonts w:ascii="Arial" w:hAnsi="Arial" w:cs="Arial"/>
          <w:iCs/>
          <w:sz w:val="24"/>
          <w:szCs w:val="24"/>
        </w:rPr>
        <w:t xml:space="preserve"> stigmatising language such as ‘problem gambler’ and ‘gambling problem’ </w:t>
      </w:r>
      <w:r w:rsidR="00DD54F1">
        <w:rPr>
          <w:rFonts w:ascii="Arial" w:hAnsi="Arial" w:cs="Arial"/>
          <w:iCs/>
          <w:sz w:val="24"/>
          <w:szCs w:val="24"/>
        </w:rPr>
        <w:t xml:space="preserve">contained in the Code of Practice </w:t>
      </w:r>
      <w:r w:rsidR="006250F7">
        <w:rPr>
          <w:rFonts w:ascii="Arial" w:hAnsi="Arial" w:cs="Arial"/>
          <w:iCs/>
          <w:sz w:val="24"/>
          <w:szCs w:val="24"/>
        </w:rPr>
        <w:t xml:space="preserve">with contemporary language </w:t>
      </w:r>
      <w:r w:rsidR="00DD54F1">
        <w:rPr>
          <w:rFonts w:ascii="Arial" w:hAnsi="Arial" w:cs="Arial"/>
          <w:iCs/>
          <w:sz w:val="24"/>
          <w:szCs w:val="24"/>
        </w:rPr>
        <w:t xml:space="preserve">to describe gambling harm </w:t>
      </w:r>
      <w:r w:rsidR="006250F7">
        <w:rPr>
          <w:rFonts w:ascii="Arial" w:hAnsi="Arial" w:cs="Arial"/>
          <w:iCs/>
          <w:sz w:val="24"/>
          <w:szCs w:val="24"/>
        </w:rPr>
        <w:t>which is non-stigmatising towards people experiencing harm</w:t>
      </w:r>
      <w:r w:rsidR="00FA470E">
        <w:rPr>
          <w:rFonts w:ascii="Arial" w:hAnsi="Arial" w:cs="Arial"/>
          <w:iCs/>
          <w:sz w:val="24"/>
          <w:szCs w:val="24"/>
        </w:rPr>
        <w:t>. This</w:t>
      </w:r>
      <w:r w:rsidR="006E73CF">
        <w:rPr>
          <w:rFonts w:ascii="Arial" w:hAnsi="Arial" w:cs="Arial"/>
          <w:iCs/>
          <w:sz w:val="24"/>
          <w:szCs w:val="24"/>
        </w:rPr>
        <w:t xml:space="preserve"> further recognises</w:t>
      </w:r>
      <w:r w:rsidR="000458DD">
        <w:rPr>
          <w:rFonts w:ascii="Arial" w:hAnsi="Arial" w:cs="Arial"/>
          <w:iCs/>
          <w:sz w:val="24"/>
          <w:szCs w:val="24"/>
        </w:rPr>
        <w:t xml:space="preserve"> </w:t>
      </w:r>
      <w:r w:rsidR="000325C3">
        <w:rPr>
          <w:rFonts w:ascii="Arial" w:hAnsi="Arial" w:cs="Arial"/>
          <w:iCs/>
          <w:sz w:val="24"/>
          <w:szCs w:val="24"/>
        </w:rPr>
        <w:t xml:space="preserve">that </w:t>
      </w:r>
      <w:r w:rsidR="000458DD">
        <w:rPr>
          <w:rFonts w:ascii="Arial" w:hAnsi="Arial" w:cs="Arial"/>
          <w:iCs/>
          <w:sz w:val="24"/>
          <w:szCs w:val="24"/>
        </w:rPr>
        <w:t>the risk or problem</w:t>
      </w:r>
      <w:r>
        <w:rPr>
          <w:rFonts w:ascii="Arial" w:hAnsi="Arial" w:cs="Arial"/>
          <w:iCs/>
          <w:sz w:val="24"/>
          <w:szCs w:val="24"/>
        </w:rPr>
        <w:t xml:space="preserve"> to be addressed </w:t>
      </w:r>
      <w:r w:rsidR="00FA18E0">
        <w:rPr>
          <w:rFonts w:ascii="Arial" w:hAnsi="Arial" w:cs="Arial"/>
          <w:iCs/>
          <w:sz w:val="24"/>
          <w:szCs w:val="24"/>
        </w:rPr>
        <w:t xml:space="preserve">is the </w:t>
      </w:r>
      <w:r w:rsidR="000325C3">
        <w:rPr>
          <w:rFonts w:ascii="Arial" w:hAnsi="Arial" w:cs="Arial"/>
          <w:iCs/>
          <w:sz w:val="24"/>
          <w:szCs w:val="24"/>
        </w:rPr>
        <w:t xml:space="preserve">harm from the </w:t>
      </w:r>
      <w:r w:rsidR="00FA18E0">
        <w:rPr>
          <w:rFonts w:ascii="Arial" w:hAnsi="Arial" w:cs="Arial"/>
          <w:iCs/>
          <w:sz w:val="24"/>
          <w:szCs w:val="24"/>
        </w:rPr>
        <w:t>gambling activity</w:t>
      </w:r>
      <w:r w:rsidR="000458DD">
        <w:rPr>
          <w:rFonts w:ascii="Arial" w:hAnsi="Arial" w:cs="Arial"/>
          <w:iCs/>
          <w:sz w:val="24"/>
          <w:szCs w:val="24"/>
        </w:rPr>
        <w:t xml:space="preserve">, </w:t>
      </w:r>
      <w:r>
        <w:rPr>
          <w:rFonts w:ascii="Arial" w:hAnsi="Arial" w:cs="Arial"/>
          <w:iCs/>
          <w:sz w:val="24"/>
          <w:szCs w:val="24"/>
        </w:rPr>
        <w:t xml:space="preserve">rather than the </w:t>
      </w:r>
      <w:r w:rsidR="000458DD">
        <w:rPr>
          <w:rFonts w:ascii="Arial" w:hAnsi="Arial" w:cs="Arial"/>
          <w:iCs/>
          <w:sz w:val="24"/>
          <w:szCs w:val="24"/>
        </w:rPr>
        <w:t>individual participating in the activity</w:t>
      </w:r>
      <w:r w:rsidR="001B0E49">
        <w:rPr>
          <w:rFonts w:ascii="Arial" w:hAnsi="Arial" w:cs="Arial"/>
          <w:iCs/>
          <w:sz w:val="24"/>
          <w:szCs w:val="24"/>
        </w:rPr>
        <w:t xml:space="preserve">. </w:t>
      </w:r>
    </w:p>
    <w:p w14:paraId="0460B607" w14:textId="1C48FB6D" w:rsidR="00280F3D" w:rsidRDefault="00280F3D" w:rsidP="00F80F60">
      <w:pPr>
        <w:spacing w:after="120"/>
        <w:ind w:right="-45"/>
        <w:rPr>
          <w:rFonts w:ascii="Arial" w:hAnsi="Arial" w:cs="Arial"/>
          <w:iCs/>
          <w:sz w:val="24"/>
          <w:szCs w:val="24"/>
        </w:rPr>
      </w:pPr>
      <w:r>
        <w:rPr>
          <w:rFonts w:ascii="Arial" w:hAnsi="Arial" w:cs="Arial"/>
          <w:iCs/>
          <w:sz w:val="24"/>
          <w:szCs w:val="24"/>
        </w:rPr>
        <w:t xml:space="preserve">The amendments in the Bill modernise the scheme, shift the approach towards the prevention of harm, remove barriers to self-exclusion, and clarify key definitions and thresholds, including the definition of risk of gambling harm, thus providing greater clarity of licensees’ harm minimisation responsibilities. </w:t>
      </w:r>
    </w:p>
    <w:p w14:paraId="0AE84923" w14:textId="6B8BE525" w:rsidR="008E71FC" w:rsidRDefault="001B0E49" w:rsidP="00F80F60">
      <w:pPr>
        <w:spacing w:after="120"/>
        <w:ind w:right="-45"/>
        <w:rPr>
          <w:rFonts w:ascii="Arial" w:hAnsi="Arial" w:cs="Arial"/>
          <w:iCs/>
          <w:sz w:val="24"/>
          <w:szCs w:val="24"/>
        </w:rPr>
      </w:pPr>
      <w:r>
        <w:rPr>
          <w:rFonts w:ascii="Arial" w:hAnsi="Arial" w:cs="Arial"/>
          <w:iCs/>
          <w:sz w:val="24"/>
          <w:szCs w:val="24"/>
        </w:rPr>
        <w:t xml:space="preserve">The Bill </w:t>
      </w:r>
      <w:r w:rsidR="00A35B73">
        <w:rPr>
          <w:rFonts w:ascii="Arial" w:hAnsi="Arial" w:cs="Arial"/>
          <w:iCs/>
          <w:sz w:val="24"/>
          <w:szCs w:val="24"/>
        </w:rPr>
        <w:t>modernises</w:t>
      </w:r>
      <w:r w:rsidR="008C7C6E">
        <w:rPr>
          <w:rFonts w:ascii="Arial" w:hAnsi="Arial" w:cs="Arial"/>
          <w:iCs/>
          <w:sz w:val="24"/>
          <w:szCs w:val="24"/>
        </w:rPr>
        <w:t xml:space="preserve"> the scheme by</w:t>
      </w:r>
      <w:r w:rsidR="00BA50A1">
        <w:rPr>
          <w:rFonts w:ascii="Arial" w:hAnsi="Arial" w:cs="Arial"/>
          <w:iCs/>
          <w:sz w:val="24"/>
          <w:szCs w:val="24"/>
        </w:rPr>
        <w:t xml:space="preserve"> removing the inflexible </w:t>
      </w:r>
      <w:r w:rsidR="00982C92">
        <w:rPr>
          <w:rFonts w:ascii="Arial" w:hAnsi="Arial" w:cs="Arial"/>
          <w:iCs/>
          <w:sz w:val="24"/>
          <w:szCs w:val="24"/>
        </w:rPr>
        <w:t>implementation</w:t>
      </w:r>
      <w:r w:rsidR="00BA50A1">
        <w:rPr>
          <w:rFonts w:ascii="Arial" w:hAnsi="Arial" w:cs="Arial"/>
          <w:iCs/>
          <w:sz w:val="24"/>
          <w:szCs w:val="24"/>
        </w:rPr>
        <w:t xml:space="preserve"> requirements associated with a private law deed-based scheme as established by the Code of Practice</w:t>
      </w:r>
      <w:r w:rsidR="00982C92">
        <w:rPr>
          <w:rFonts w:ascii="Arial" w:hAnsi="Arial" w:cs="Arial"/>
          <w:iCs/>
          <w:sz w:val="24"/>
          <w:szCs w:val="24"/>
        </w:rPr>
        <w:t xml:space="preserve">. This currently requires that </w:t>
      </w:r>
      <w:r w:rsidR="0032377C">
        <w:rPr>
          <w:rFonts w:ascii="Arial" w:hAnsi="Arial" w:cs="Arial"/>
          <w:iCs/>
          <w:sz w:val="24"/>
          <w:szCs w:val="24"/>
        </w:rPr>
        <w:t>individuals</w:t>
      </w:r>
      <w:r w:rsidR="00982C92">
        <w:rPr>
          <w:rFonts w:ascii="Arial" w:hAnsi="Arial" w:cs="Arial"/>
          <w:iCs/>
          <w:sz w:val="24"/>
          <w:szCs w:val="24"/>
        </w:rPr>
        <w:t xml:space="preserve"> seeking to self-exclu</w:t>
      </w:r>
      <w:r w:rsidR="00AA5766">
        <w:rPr>
          <w:rFonts w:ascii="Arial" w:hAnsi="Arial" w:cs="Arial"/>
          <w:iCs/>
          <w:sz w:val="24"/>
          <w:szCs w:val="24"/>
        </w:rPr>
        <w:t>de</w:t>
      </w:r>
      <w:r w:rsidR="00982C92">
        <w:rPr>
          <w:rFonts w:ascii="Arial" w:hAnsi="Arial" w:cs="Arial"/>
          <w:iCs/>
          <w:sz w:val="24"/>
          <w:szCs w:val="24"/>
        </w:rPr>
        <w:t xml:space="preserve"> complete a formal deed which carries a range of rigid </w:t>
      </w:r>
      <w:r w:rsidR="0032377C">
        <w:rPr>
          <w:rFonts w:ascii="Arial" w:hAnsi="Arial" w:cs="Arial"/>
          <w:iCs/>
          <w:sz w:val="24"/>
          <w:szCs w:val="24"/>
        </w:rPr>
        <w:t>legal requirements.</w:t>
      </w:r>
      <w:r w:rsidR="007B3241">
        <w:rPr>
          <w:rFonts w:ascii="Arial" w:hAnsi="Arial" w:cs="Arial"/>
          <w:iCs/>
          <w:sz w:val="24"/>
          <w:szCs w:val="24"/>
        </w:rPr>
        <w:t xml:space="preserve"> These strict requirements are impractical and administratively burdensome for the individual seeking to self-exclude, as </w:t>
      </w:r>
      <w:r w:rsidR="00E575B2">
        <w:rPr>
          <w:rFonts w:ascii="Arial" w:hAnsi="Arial" w:cs="Arial"/>
          <w:iCs/>
          <w:sz w:val="24"/>
          <w:szCs w:val="24"/>
        </w:rPr>
        <w:t>they</w:t>
      </w:r>
      <w:r w:rsidR="007B3241">
        <w:rPr>
          <w:rFonts w:ascii="Arial" w:hAnsi="Arial" w:cs="Arial"/>
          <w:iCs/>
          <w:sz w:val="24"/>
          <w:szCs w:val="24"/>
        </w:rPr>
        <w:t xml:space="preserve"> require extensive steps to print, sign and have the paper deed form witnessed contemporaneously before submitting </w:t>
      </w:r>
      <w:r w:rsidR="00E575B2">
        <w:rPr>
          <w:rFonts w:ascii="Arial" w:hAnsi="Arial" w:cs="Arial"/>
          <w:iCs/>
          <w:sz w:val="24"/>
          <w:szCs w:val="24"/>
        </w:rPr>
        <w:t>it</w:t>
      </w:r>
      <w:r w:rsidR="007B3241">
        <w:rPr>
          <w:rFonts w:ascii="Arial" w:hAnsi="Arial" w:cs="Arial"/>
          <w:iCs/>
          <w:sz w:val="24"/>
          <w:szCs w:val="24"/>
        </w:rPr>
        <w:t xml:space="preserve">, which is inconsistent with contemporary expectations </w:t>
      </w:r>
      <w:r w:rsidR="008E71FC">
        <w:rPr>
          <w:rFonts w:ascii="Arial" w:hAnsi="Arial" w:cs="Arial"/>
          <w:iCs/>
          <w:sz w:val="24"/>
          <w:szCs w:val="24"/>
        </w:rPr>
        <w:t>of government service delivery</w:t>
      </w:r>
      <w:r w:rsidR="007B3241">
        <w:rPr>
          <w:rFonts w:ascii="Arial" w:hAnsi="Arial" w:cs="Arial"/>
          <w:iCs/>
          <w:sz w:val="24"/>
          <w:szCs w:val="24"/>
        </w:rPr>
        <w:t xml:space="preserve">. </w:t>
      </w:r>
      <w:r w:rsidR="008E71FC">
        <w:rPr>
          <w:rFonts w:ascii="Arial" w:hAnsi="Arial" w:cs="Arial"/>
          <w:iCs/>
          <w:sz w:val="24"/>
          <w:szCs w:val="24"/>
        </w:rPr>
        <w:t>The requirements</w:t>
      </w:r>
      <w:r w:rsidR="007B3241">
        <w:rPr>
          <w:rFonts w:ascii="Arial" w:hAnsi="Arial" w:cs="Arial"/>
          <w:iCs/>
          <w:sz w:val="24"/>
          <w:szCs w:val="24"/>
        </w:rPr>
        <w:t xml:space="preserve"> also create administrative burden for licensees</w:t>
      </w:r>
      <w:r w:rsidR="008E71FC">
        <w:rPr>
          <w:rFonts w:ascii="Arial" w:hAnsi="Arial" w:cs="Arial"/>
          <w:iCs/>
          <w:sz w:val="24"/>
          <w:szCs w:val="24"/>
        </w:rPr>
        <w:t xml:space="preserve"> and the Commission</w:t>
      </w:r>
      <w:r w:rsidR="007B3241">
        <w:rPr>
          <w:rFonts w:ascii="Arial" w:hAnsi="Arial" w:cs="Arial"/>
          <w:iCs/>
          <w:sz w:val="24"/>
          <w:szCs w:val="24"/>
        </w:rPr>
        <w:t xml:space="preserve"> who must manage the receipt and storage of the paper records</w:t>
      </w:r>
      <w:r w:rsidR="008E71FC">
        <w:rPr>
          <w:rFonts w:ascii="Arial" w:hAnsi="Arial" w:cs="Arial"/>
          <w:iCs/>
          <w:sz w:val="24"/>
          <w:szCs w:val="24"/>
        </w:rPr>
        <w:t>, also out of step with modern expectations and ways of working</w:t>
      </w:r>
      <w:r w:rsidR="007B3241">
        <w:rPr>
          <w:rFonts w:ascii="Arial" w:hAnsi="Arial" w:cs="Arial"/>
          <w:iCs/>
          <w:sz w:val="24"/>
          <w:szCs w:val="24"/>
        </w:rPr>
        <w:t>.</w:t>
      </w:r>
      <w:r w:rsidR="00BA50A1">
        <w:rPr>
          <w:rFonts w:ascii="Arial" w:hAnsi="Arial" w:cs="Arial"/>
          <w:iCs/>
          <w:sz w:val="24"/>
          <w:szCs w:val="24"/>
        </w:rPr>
        <w:t xml:space="preserve"> </w:t>
      </w:r>
    </w:p>
    <w:p w14:paraId="5A8DA1D2" w14:textId="5ED94E1F" w:rsidR="00A14BBF" w:rsidRDefault="00BA50A1" w:rsidP="00F80F60">
      <w:pPr>
        <w:spacing w:after="120"/>
        <w:ind w:right="-45"/>
        <w:rPr>
          <w:rFonts w:ascii="Arial" w:hAnsi="Arial" w:cs="Arial"/>
          <w:iCs/>
          <w:sz w:val="24"/>
          <w:szCs w:val="24"/>
        </w:rPr>
      </w:pPr>
      <w:r>
        <w:rPr>
          <w:rFonts w:ascii="Arial" w:hAnsi="Arial" w:cs="Arial"/>
          <w:iCs/>
          <w:sz w:val="24"/>
          <w:szCs w:val="24"/>
        </w:rPr>
        <w:t>By elevating the scheme to the Act and</w:t>
      </w:r>
      <w:r w:rsidR="00D628A5">
        <w:rPr>
          <w:rFonts w:ascii="Arial" w:hAnsi="Arial" w:cs="Arial"/>
          <w:iCs/>
          <w:sz w:val="24"/>
          <w:szCs w:val="24"/>
        </w:rPr>
        <w:t xml:space="preserve"> avoiding prescriptive implementation requirements</w:t>
      </w:r>
      <w:r w:rsidR="00532623">
        <w:rPr>
          <w:rFonts w:ascii="Arial" w:hAnsi="Arial" w:cs="Arial"/>
          <w:iCs/>
          <w:sz w:val="24"/>
          <w:szCs w:val="24"/>
        </w:rPr>
        <w:t xml:space="preserve"> associated with a private law scheme</w:t>
      </w:r>
      <w:r w:rsidR="00D628A5">
        <w:rPr>
          <w:rFonts w:ascii="Arial" w:hAnsi="Arial" w:cs="Arial"/>
          <w:iCs/>
          <w:sz w:val="24"/>
          <w:szCs w:val="24"/>
        </w:rPr>
        <w:t xml:space="preserve">, the Bill </w:t>
      </w:r>
      <w:r w:rsidR="00BE3949">
        <w:rPr>
          <w:rFonts w:ascii="Arial" w:hAnsi="Arial" w:cs="Arial"/>
          <w:iCs/>
          <w:sz w:val="24"/>
          <w:szCs w:val="24"/>
        </w:rPr>
        <w:t xml:space="preserve">facilitates </w:t>
      </w:r>
      <w:r w:rsidR="004959A0">
        <w:rPr>
          <w:rFonts w:ascii="Arial" w:hAnsi="Arial" w:cs="Arial"/>
          <w:iCs/>
          <w:sz w:val="24"/>
          <w:szCs w:val="24"/>
        </w:rPr>
        <w:t xml:space="preserve">implementation of flexible options for </w:t>
      </w:r>
      <w:r w:rsidR="007F32F2">
        <w:rPr>
          <w:rFonts w:ascii="Arial" w:hAnsi="Arial" w:cs="Arial"/>
          <w:iCs/>
          <w:sz w:val="24"/>
          <w:szCs w:val="24"/>
        </w:rPr>
        <w:t>the approach(es) to seeking self-exclusion,</w:t>
      </w:r>
      <w:r w:rsidR="001B0E49">
        <w:rPr>
          <w:rFonts w:ascii="Arial" w:hAnsi="Arial" w:cs="Arial"/>
          <w:iCs/>
          <w:sz w:val="24"/>
          <w:szCs w:val="24"/>
        </w:rPr>
        <w:t xml:space="preserve"> </w:t>
      </w:r>
      <w:r w:rsidR="006250F7">
        <w:rPr>
          <w:rFonts w:ascii="Arial" w:hAnsi="Arial" w:cs="Arial"/>
          <w:iCs/>
          <w:sz w:val="24"/>
          <w:szCs w:val="24"/>
        </w:rPr>
        <w:t>in line with modern expectations.</w:t>
      </w:r>
      <w:r w:rsidR="00713552">
        <w:rPr>
          <w:rFonts w:ascii="Arial" w:hAnsi="Arial" w:cs="Arial"/>
          <w:iCs/>
          <w:sz w:val="24"/>
          <w:szCs w:val="24"/>
        </w:rPr>
        <w:t xml:space="preserve"> While implementation </w:t>
      </w:r>
      <w:r w:rsidR="00544E01">
        <w:rPr>
          <w:rFonts w:ascii="Arial" w:hAnsi="Arial" w:cs="Arial"/>
          <w:iCs/>
          <w:sz w:val="24"/>
          <w:szCs w:val="24"/>
        </w:rPr>
        <w:t xml:space="preserve">details </w:t>
      </w:r>
      <w:r w:rsidR="00713552">
        <w:rPr>
          <w:rFonts w:ascii="Arial" w:hAnsi="Arial" w:cs="Arial"/>
          <w:iCs/>
          <w:sz w:val="24"/>
          <w:szCs w:val="24"/>
        </w:rPr>
        <w:t>remain to be considered and approaches may fluctuate over time, this could include enabling individuals to give their self-exclusion notices digitally.</w:t>
      </w:r>
      <w:r w:rsidR="00194540">
        <w:rPr>
          <w:rFonts w:ascii="Arial" w:hAnsi="Arial" w:cs="Arial"/>
          <w:iCs/>
          <w:sz w:val="24"/>
          <w:szCs w:val="24"/>
        </w:rPr>
        <w:t xml:space="preserve"> </w:t>
      </w:r>
    </w:p>
    <w:p w14:paraId="6F4FFA99" w14:textId="2D6C01C3" w:rsidR="003D699D" w:rsidRDefault="008D7DBD" w:rsidP="00F80F60">
      <w:pPr>
        <w:spacing w:after="120"/>
        <w:ind w:right="-45"/>
        <w:rPr>
          <w:rFonts w:ascii="Arial" w:hAnsi="Arial" w:cs="Arial"/>
          <w:iCs/>
          <w:sz w:val="24"/>
          <w:szCs w:val="24"/>
        </w:rPr>
      </w:pPr>
      <w:r>
        <w:rPr>
          <w:rFonts w:ascii="Arial" w:hAnsi="Arial" w:cs="Arial"/>
          <w:iCs/>
          <w:sz w:val="24"/>
          <w:szCs w:val="24"/>
        </w:rPr>
        <w:t xml:space="preserve">The new gambling harm framework maintains consistency with existing Code of Practice requirements that will be familiar to licensees, and therefore the changes </w:t>
      </w:r>
      <w:r w:rsidR="00242278">
        <w:rPr>
          <w:rFonts w:ascii="Arial" w:hAnsi="Arial" w:cs="Arial"/>
          <w:iCs/>
          <w:sz w:val="24"/>
          <w:szCs w:val="24"/>
        </w:rPr>
        <w:t>are expected to carry minimal</w:t>
      </w:r>
      <w:r>
        <w:rPr>
          <w:rFonts w:ascii="Arial" w:hAnsi="Arial" w:cs="Arial"/>
          <w:iCs/>
          <w:sz w:val="24"/>
          <w:szCs w:val="24"/>
        </w:rPr>
        <w:t xml:space="preserve"> operational impacts for licensees. </w:t>
      </w:r>
      <w:r w:rsidR="00EE0839">
        <w:rPr>
          <w:rFonts w:ascii="Arial" w:hAnsi="Arial" w:cs="Arial"/>
          <w:iCs/>
          <w:sz w:val="24"/>
          <w:szCs w:val="24"/>
        </w:rPr>
        <w:t>In summary, t</w:t>
      </w:r>
      <w:r w:rsidR="006973CA">
        <w:rPr>
          <w:rFonts w:ascii="Arial" w:hAnsi="Arial" w:cs="Arial"/>
          <w:iCs/>
          <w:sz w:val="24"/>
          <w:szCs w:val="24"/>
        </w:rPr>
        <w:t xml:space="preserve">he Bill seeks to balance the need for </w:t>
      </w:r>
      <w:r>
        <w:rPr>
          <w:rFonts w:ascii="Arial" w:hAnsi="Arial" w:cs="Arial"/>
          <w:iCs/>
          <w:sz w:val="24"/>
          <w:szCs w:val="24"/>
        </w:rPr>
        <w:t xml:space="preserve">strong </w:t>
      </w:r>
      <w:r w:rsidR="006973CA">
        <w:rPr>
          <w:rFonts w:ascii="Arial" w:hAnsi="Arial" w:cs="Arial"/>
          <w:iCs/>
          <w:sz w:val="24"/>
          <w:szCs w:val="24"/>
        </w:rPr>
        <w:t>consumer protection</w:t>
      </w:r>
      <w:r w:rsidR="00EE0839">
        <w:rPr>
          <w:rFonts w:ascii="Arial" w:hAnsi="Arial" w:cs="Arial"/>
          <w:iCs/>
          <w:sz w:val="24"/>
          <w:szCs w:val="24"/>
        </w:rPr>
        <w:t xml:space="preserve"> </w:t>
      </w:r>
      <w:r w:rsidR="00850F41">
        <w:rPr>
          <w:rFonts w:ascii="Arial" w:hAnsi="Arial" w:cs="Arial"/>
          <w:iCs/>
          <w:sz w:val="24"/>
          <w:szCs w:val="24"/>
        </w:rPr>
        <w:t xml:space="preserve">and </w:t>
      </w:r>
      <w:r>
        <w:rPr>
          <w:rFonts w:ascii="Arial" w:hAnsi="Arial" w:cs="Arial"/>
          <w:iCs/>
          <w:sz w:val="24"/>
          <w:szCs w:val="24"/>
        </w:rPr>
        <w:t>a focus on</w:t>
      </w:r>
      <w:r w:rsidR="006973CA">
        <w:rPr>
          <w:rFonts w:ascii="Arial" w:hAnsi="Arial" w:cs="Arial"/>
          <w:iCs/>
          <w:sz w:val="24"/>
          <w:szCs w:val="24"/>
        </w:rPr>
        <w:t xml:space="preserve"> protecting </w:t>
      </w:r>
      <w:r w:rsidR="003D699D">
        <w:rPr>
          <w:rFonts w:ascii="Arial" w:hAnsi="Arial" w:cs="Arial"/>
          <w:iCs/>
          <w:sz w:val="24"/>
          <w:szCs w:val="24"/>
        </w:rPr>
        <w:t>the community</w:t>
      </w:r>
      <w:r w:rsidR="006973CA">
        <w:rPr>
          <w:rFonts w:ascii="Arial" w:hAnsi="Arial" w:cs="Arial"/>
          <w:iCs/>
          <w:sz w:val="24"/>
          <w:szCs w:val="24"/>
        </w:rPr>
        <w:t xml:space="preserve"> from gambling harm</w:t>
      </w:r>
      <w:r w:rsidR="00EE0839">
        <w:rPr>
          <w:rFonts w:ascii="Arial" w:hAnsi="Arial" w:cs="Arial"/>
          <w:iCs/>
          <w:sz w:val="24"/>
          <w:szCs w:val="24"/>
        </w:rPr>
        <w:t>,</w:t>
      </w:r>
      <w:r w:rsidR="006973CA">
        <w:rPr>
          <w:rFonts w:ascii="Arial" w:hAnsi="Arial" w:cs="Arial"/>
          <w:iCs/>
          <w:sz w:val="24"/>
          <w:szCs w:val="24"/>
        </w:rPr>
        <w:t xml:space="preserve"> w</w:t>
      </w:r>
      <w:r w:rsidR="003D699D">
        <w:rPr>
          <w:rFonts w:ascii="Arial" w:hAnsi="Arial" w:cs="Arial"/>
          <w:iCs/>
          <w:sz w:val="24"/>
          <w:szCs w:val="24"/>
        </w:rPr>
        <w:t xml:space="preserve">ithout </w:t>
      </w:r>
      <w:r w:rsidR="00FC224B">
        <w:rPr>
          <w:rFonts w:ascii="Arial" w:hAnsi="Arial" w:cs="Arial"/>
          <w:iCs/>
          <w:sz w:val="24"/>
          <w:szCs w:val="24"/>
        </w:rPr>
        <w:t xml:space="preserve">significantly </w:t>
      </w:r>
      <w:r w:rsidR="00042B2B">
        <w:rPr>
          <w:rFonts w:ascii="Arial" w:hAnsi="Arial" w:cs="Arial"/>
          <w:iCs/>
          <w:sz w:val="24"/>
          <w:szCs w:val="24"/>
        </w:rPr>
        <w:t xml:space="preserve">increasing the regulatory burden on </w:t>
      </w:r>
      <w:r w:rsidR="003D699D">
        <w:rPr>
          <w:rFonts w:ascii="Arial" w:hAnsi="Arial" w:cs="Arial"/>
          <w:iCs/>
          <w:sz w:val="24"/>
          <w:szCs w:val="24"/>
        </w:rPr>
        <w:t>local licensed gambling operations and businesses.</w:t>
      </w:r>
      <w:r w:rsidR="00522FD9">
        <w:rPr>
          <w:rFonts w:ascii="Arial" w:hAnsi="Arial" w:cs="Arial"/>
          <w:iCs/>
          <w:sz w:val="24"/>
          <w:szCs w:val="24"/>
        </w:rPr>
        <w:t xml:space="preserve"> </w:t>
      </w:r>
      <w:r w:rsidR="00A0603B">
        <w:rPr>
          <w:rFonts w:ascii="Arial" w:hAnsi="Arial" w:cs="Arial"/>
          <w:iCs/>
          <w:sz w:val="24"/>
          <w:szCs w:val="24"/>
        </w:rPr>
        <w:t xml:space="preserve">It is expected licensees and their staff </w:t>
      </w:r>
      <w:r w:rsidR="0045077E">
        <w:rPr>
          <w:rFonts w:ascii="Arial" w:hAnsi="Arial" w:cs="Arial"/>
          <w:iCs/>
          <w:sz w:val="24"/>
          <w:szCs w:val="24"/>
        </w:rPr>
        <w:t xml:space="preserve">will undertake training to ensure they </w:t>
      </w:r>
      <w:r w:rsidR="00A0603B">
        <w:rPr>
          <w:rFonts w:ascii="Arial" w:hAnsi="Arial" w:cs="Arial"/>
          <w:iCs/>
          <w:sz w:val="24"/>
          <w:szCs w:val="24"/>
        </w:rPr>
        <w:t>understand</w:t>
      </w:r>
      <w:r w:rsidR="00E1724E">
        <w:rPr>
          <w:rFonts w:ascii="Arial" w:hAnsi="Arial" w:cs="Arial"/>
          <w:iCs/>
          <w:sz w:val="24"/>
          <w:szCs w:val="24"/>
        </w:rPr>
        <w:t xml:space="preserve"> </w:t>
      </w:r>
      <w:r w:rsidR="0045077E">
        <w:rPr>
          <w:rFonts w:ascii="Arial" w:hAnsi="Arial" w:cs="Arial"/>
          <w:iCs/>
          <w:sz w:val="24"/>
          <w:szCs w:val="24"/>
        </w:rPr>
        <w:t xml:space="preserve">their obligations </w:t>
      </w:r>
      <w:r>
        <w:rPr>
          <w:rFonts w:ascii="Arial" w:hAnsi="Arial" w:cs="Arial"/>
          <w:iCs/>
          <w:sz w:val="24"/>
          <w:szCs w:val="24"/>
        </w:rPr>
        <w:t xml:space="preserve">under the revised framework </w:t>
      </w:r>
      <w:r w:rsidR="0045077E">
        <w:rPr>
          <w:rFonts w:ascii="Arial" w:hAnsi="Arial" w:cs="Arial"/>
          <w:iCs/>
          <w:sz w:val="24"/>
          <w:szCs w:val="24"/>
        </w:rPr>
        <w:t>to protect</w:t>
      </w:r>
      <w:r w:rsidR="00E1724E">
        <w:rPr>
          <w:rFonts w:ascii="Arial" w:hAnsi="Arial" w:cs="Arial"/>
          <w:iCs/>
          <w:sz w:val="24"/>
          <w:szCs w:val="24"/>
        </w:rPr>
        <w:t xml:space="preserve"> consumers from gambling harm.</w:t>
      </w:r>
      <w:r>
        <w:rPr>
          <w:rFonts w:ascii="Arial" w:hAnsi="Arial" w:cs="Arial"/>
          <w:iCs/>
          <w:sz w:val="24"/>
          <w:szCs w:val="24"/>
        </w:rPr>
        <w:t xml:space="preserve"> </w:t>
      </w:r>
    </w:p>
    <w:p w14:paraId="35B37FD3" w14:textId="480917C1" w:rsidR="007C082F" w:rsidRDefault="000B16A9" w:rsidP="00E018F3">
      <w:pPr>
        <w:spacing w:after="120"/>
        <w:ind w:right="-45"/>
        <w:rPr>
          <w:rFonts w:ascii="Arial" w:hAnsi="Arial" w:cs="Arial"/>
          <w:b/>
          <w:sz w:val="24"/>
          <w:szCs w:val="24"/>
        </w:rPr>
      </w:pPr>
      <w:r>
        <w:rPr>
          <w:rFonts w:ascii="Arial" w:hAnsi="Arial" w:cs="Arial"/>
          <w:iCs/>
          <w:sz w:val="24"/>
          <w:szCs w:val="24"/>
        </w:rPr>
        <w:t>As this Bill relates to the</w:t>
      </w:r>
      <w:r w:rsidR="00872C38">
        <w:rPr>
          <w:rFonts w:ascii="Arial" w:hAnsi="Arial" w:cs="Arial"/>
          <w:iCs/>
          <w:sz w:val="24"/>
          <w:szCs w:val="24"/>
        </w:rPr>
        <w:t xml:space="preserve"> </w:t>
      </w:r>
      <w:r>
        <w:rPr>
          <w:rFonts w:ascii="Arial" w:hAnsi="Arial" w:cs="Arial"/>
          <w:iCs/>
          <w:sz w:val="24"/>
          <w:szCs w:val="24"/>
        </w:rPr>
        <w:t xml:space="preserve">Act and </w:t>
      </w:r>
      <w:r w:rsidR="00B17428">
        <w:rPr>
          <w:rFonts w:ascii="Arial" w:hAnsi="Arial" w:cs="Arial"/>
          <w:iCs/>
          <w:sz w:val="24"/>
          <w:szCs w:val="24"/>
        </w:rPr>
        <w:t>Regulation (</w:t>
      </w:r>
      <w:r w:rsidR="00872C38">
        <w:rPr>
          <w:rFonts w:ascii="Arial" w:hAnsi="Arial" w:cs="Arial"/>
          <w:iCs/>
          <w:sz w:val="24"/>
          <w:szCs w:val="24"/>
        </w:rPr>
        <w:t xml:space="preserve">Code </w:t>
      </w:r>
      <w:r w:rsidR="00B17428">
        <w:rPr>
          <w:rFonts w:ascii="Arial" w:hAnsi="Arial" w:cs="Arial"/>
          <w:iCs/>
          <w:sz w:val="24"/>
          <w:szCs w:val="24"/>
        </w:rPr>
        <w:t xml:space="preserve">of Practice) </w:t>
      </w:r>
      <w:r>
        <w:rPr>
          <w:rFonts w:ascii="Arial" w:hAnsi="Arial" w:cs="Arial"/>
          <w:iCs/>
          <w:sz w:val="24"/>
          <w:szCs w:val="24"/>
        </w:rPr>
        <w:t xml:space="preserve">which were </w:t>
      </w:r>
      <w:r w:rsidR="00B17428">
        <w:rPr>
          <w:rFonts w:ascii="Arial" w:hAnsi="Arial" w:cs="Arial"/>
          <w:iCs/>
          <w:sz w:val="24"/>
          <w:szCs w:val="24"/>
        </w:rPr>
        <w:t xml:space="preserve">first </w:t>
      </w:r>
      <w:r w:rsidR="00872C38">
        <w:rPr>
          <w:rFonts w:ascii="Arial" w:hAnsi="Arial" w:cs="Arial"/>
          <w:iCs/>
          <w:sz w:val="24"/>
          <w:szCs w:val="24"/>
        </w:rPr>
        <w:t xml:space="preserve">published in </w:t>
      </w:r>
      <w:r>
        <w:rPr>
          <w:rFonts w:ascii="Arial" w:hAnsi="Arial" w:cs="Arial"/>
          <w:iCs/>
          <w:sz w:val="24"/>
          <w:szCs w:val="24"/>
        </w:rPr>
        <w:t xml:space="preserve">1999 and </w:t>
      </w:r>
      <w:r w:rsidR="00872C38">
        <w:rPr>
          <w:rFonts w:ascii="Arial" w:hAnsi="Arial" w:cs="Arial"/>
          <w:iCs/>
          <w:sz w:val="24"/>
          <w:szCs w:val="24"/>
        </w:rPr>
        <w:t>2002</w:t>
      </w:r>
      <w:r>
        <w:rPr>
          <w:rFonts w:ascii="Arial" w:hAnsi="Arial" w:cs="Arial"/>
          <w:iCs/>
          <w:sz w:val="24"/>
          <w:szCs w:val="24"/>
        </w:rPr>
        <w:t xml:space="preserve"> respectively</w:t>
      </w:r>
      <w:r w:rsidR="00FC156E">
        <w:rPr>
          <w:rFonts w:ascii="Arial" w:hAnsi="Arial" w:cs="Arial"/>
          <w:iCs/>
          <w:sz w:val="24"/>
          <w:szCs w:val="24"/>
        </w:rPr>
        <w:t xml:space="preserve"> (</w:t>
      </w:r>
      <w:r w:rsidR="00930AE4">
        <w:rPr>
          <w:rFonts w:ascii="Arial" w:hAnsi="Arial" w:cs="Arial"/>
          <w:iCs/>
          <w:sz w:val="24"/>
          <w:szCs w:val="24"/>
        </w:rPr>
        <w:t xml:space="preserve">prior to the introduction of the ACT’s </w:t>
      </w:r>
      <w:r w:rsidR="00930AE4">
        <w:rPr>
          <w:rFonts w:ascii="Arial" w:hAnsi="Arial" w:cs="Arial"/>
          <w:i/>
          <w:sz w:val="24"/>
          <w:szCs w:val="24"/>
        </w:rPr>
        <w:t>Human Rights Act 2004</w:t>
      </w:r>
      <w:r w:rsidR="00FC156E">
        <w:rPr>
          <w:rFonts w:ascii="Arial" w:hAnsi="Arial" w:cs="Arial"/>
          <w:iCs/>
          <w:sz w:val="24"/>
          <w:szCs w:val="24"/>
        </w:rPr>
        <w:t xml:space="preserve">) </w:t>
      </w:r>
      <w:r w:rsidR="0045077E">
        <w:rPr>
          <w:rFonts w:ascii="Arial" w:hAnsi="Arial" w:cs="Arial"/>
          <w:iCs/>
          <w:sz w:val="24"/>
          <w:szCs w:val="24"/>
        </w:rPr>
        <w:t>t</w:t>
      </w:r>
      <w:r w:rsidR="00B17428">
        <w:rPr>
          <w:rFonts w:ascii="Arial" w:hAnsi="Arial" w:cs="Arial"/>
          <w:iCs/>
          <w:sz w:val="24"/>
          <w:szCs w:val="24"/>
        </w:rPr>
        <w:t>his explanatory statement includes an expanded human rights analysis</w:t>
      </w:r>
      <w:r>
        <w:rPr>
          <w:rFonts w:ascii="Arial" w:hAnsi="Arial" w:cs="Arial"/>
          <w:iCs/>
          <w:sz w:val="24"/>
          <w:szCs w:val="24"/>
        </w:rPr>
        <w:t xml:space="preserve"> of the relevant amendments to the Act and Regulation</w:t>
      </w:r>
      <w:r w:rsidR="00DD4490">
        <w:rPr>
          <w:rFonts w:ascii="Arial" w:hAnsi="Arial" w:cs="Arial"/>
          <w:iCs/>
          <w:sz w:val="24"/>
          <w:szCs w:val="24"/>
        </w:rPr>
        <w:t xml:space="preserve"> (Code of Practice)</w:t>
      </w:r>
      <w:r>
        <w:rPr>
          <w:rFonts w:ascii="Arial" w:hAnsi="Arial" w:cs="Arial"/>
          <w:iCs/>
          <w:sz w:val="24"/>
          <w:szCs w:val="24"/>
        </w:rPr>
        <w:t>.</w:t>
      </w:r>
    </w:p>
    <w:p w14:paraId="25E5EC3A" w14:textId="6757FDE1" w:rsidR="00E90DF9" w:rsidRDefault="00E90DF9" w:rsidP="00E90DF9">
      <w:pPr>
        <w:rPr>
          <w:rFonts w:ascii="Arial" w:hAnsi="Arial" w:cs="Arial"/>
          <w:b/>
          <w:sz w:val="24"/>
          <w:szCs w:val="24"/>
        </w:rPr>
      </w:pPr>
      <w:r w:rsidRPr="00AC59DF">
        <w:rPr>
          <w:rFonts w:ascii="Arial" w:hAnsi="Arial" w:cs="Arial"/>
          <w:b/>
          <w:sz w:val="24"/>
          <w:szCs w:val="24"/>
        </w:rPr>
        <w:lastRenderedPageBreak/>
        <w:t>CONSULTATION ON THE PROPOSED APPROACH</w:t>
      </w:r>
    </w:p>
    <w:p w14:paraId="583FE11D" w14:textId="7C8C0847" w:rsidR="009351FC" w:rsidRDefault="009351FC" w:rsidP="00E90DF9">
      <w:pPr>
        <w:rPr>
          <w:rFonts w:ascii="Arial" w:hAnsi="Arial" w:cs="Arial"/>
          <w:iCs/>
          <w:sz w:val="24"/>
          <w:szCs w:val="24"/>
        </w:rPr>
      </w:pPr>
      <w:r>
        <w:rPr>
          <w:rFonts w:ascii="Arial" w:hAnsi="Arial" w:cs="Arial"/>
          <w:iCs/>
          <w:sz w:val="24"/>
          <w:szCs w:val="24"/>
        </w:rPr>
        <w:t>JACS</w:t>
      </w:r>
      <w:r w:rsidRPr="009351FC">
        <w:rPr>
          <w:rFonts w:ascii="Arial" w:hAnsi="Arial" w:cs="Arial"/>
          <w:iCs/>
          <w:sz w:val="24"/>
          <w:szCs w:val="24"/>
        </w:rPr>
        <w:t xml:space="preserve"> engaged with </w:t>
      </w:r>
      <w:r>
        <w:rPr>
          <w:rFonts w:ascii="Arial" w:hAnsi="Arial" w:cs="Arial"/>
          <w:iCs/>
          <w:sz w:val="24"/>
          <w:szCs w:val="24"/>
        </w:rPr>
        <w:t xml:space="preserve">the Gambling and Racing Commission </w:t>
      </w:r>
      <w:r w:rsidRPr="009351FC">
        <w:rPr>
          <w:rFonts w:ascii="Arial" w:hAnsi="Arial" w:cs="Arial"/>
          <w:iCs/>
          <w:sz w:val="24"/>
          <w:szCs w:val="24"/>
        </w:rPr>
        <w:t>and A</w:t>
      </w:r>
      <w:r>
        <w:rPr>
          <w:rFonts w:ascii="Arial" w:hAnsi="Arial" w:cs="Arial"/>
          <w:iCs/>
          <w:sz w:val="24"/>
          <w:szCs w:val="24"/>
        </w:rPr>
        <w:t>ccess Canberra</w:t>
      </w:r>
      <w:r w:rsidRPr="009351FC">
        <w:rPr>
          <w:rFonts w:ascii="Arial" w:hAnsi="Arial" w:cs="Arial"/>
          <w:iCs/>
          <w:sz w:val="24"/>
          <w:szCs w:val="24"/>
        </w:rPr>
        <w:t xml:space="preserve"> </w:t>
      </w:r>
      <w:r w:rsidR="00280F3D">
        <w:rPr>
          <w:rFonts w:ascii="Arial" w:hAnsi="Arial" w:cs="Arial"/>
          <w:iCs/>
          <w:sz w:val="24"/>
          <w:szCs w:val="24"/>
        </w:rPr>
        <w:t xml:space="preserve">on the </w:t>
      </w:r>
      <w:r w:rsidR="007E4454">
        <w:rPr>
          <w:rFonts w:ascii="Arial" w:hAnsi="Arial" w:cs="Arial"/>
          <w:iCs/>
          <w:sz w:val="24"/>
          <w:szCs w:val="24"/>
        </w:rPr>
        <w:t>development of this Bill</w:t>
      </w:r>
      <w:r w:rsidRPr="009351FC">
        <w:rPr>
          <w:rFonts w:ascii="Arial" w:hAnsi="Arial" w:cs="Arial"/>
          <w:iCs/>
          <w:sz w:val="24"/>
          <w:szCs w:val="24"/>
        </w:rPr>
        <w:t>.</w:t>
      </w:r>
    </w:p>
    <w:p w14:paraId="0B0131F5" w14:textId="31F3CD67" w:rsidR="00C120F4" w:rsidRDefault="004F72B9" w:rsidP="00E90DF9">
      <w:pPr>
        <w:rPr>
          <w:rFonts w:ascii="Arial" w:hAnsi="Arial" w:cs="Arial"/>
          <w:iCs/>
          <w:sz w:val="24"/>
          <w:szCs w:val="24"/>
        </w:rPr>
      </w:pPr>
      <w:r>
        <w:rPr>
          <w:rFonts w:ascii="Arial" w:hAnsi="Arial" w:cs="Arial"/>
          <w:iCs/>
          <w:sz w:val="24"/>
          <w:szCs w:val="24"/>
        </w:rPr>
        <w:t xml:space="preserve">JACS consulted the </w:t>
      </w:r>
      <w:r w:rsidR="006A3F36">
        <w:rPr>
          <w:rFonts w:ascii="Arial" w:hAnsi="Arial" w:cs="Arial"/>
          <w:iCs/>
          <w:sz w:val="24"/>
          <w:szCs w:val="24"/>
        </w:rPr>
        <w:t>‘</w:t>
      </w:r>
      <w:r w:rsidR="006A3F36" w:rsidRPr="006A3F36">
        <w:rPr>
          <w:rFonts w:ascii="Arial" w:hAnsi="Arial" w:cs="Arial"/>
          <w:iCs/>
          <w:sz w:val="24"/>
          <w:szCs w:val="24"/>
        </w:rPr>
        <w:t>Cashless Gaming Working Group</w:t>
      </w:r>
      <w:r w:rsidR="006A3F36">
        <w:rPr>
          <w:rFonts w:ascii="Arial" w:hAnsi="Arial" w:cs="Arial"/>
          <w:iCs/>
          <w:sz w:val="24"/>
          <w:szCs w:val="24"/>
        </w:rPr>
        <w:t xml:space="preserve">’ about </w:t>
      </w:r>
      <w:r w:rsidR="00872C38">
        <w:rPr>
          <w:rFonts w:ascii="Arial" w:hAnsi="Arial" w:cs="Arial"/>
          <w:iCs/>
          <w:sz w:val="24"/>
          <w:szCs w:val="24"/>
        </w:rPr>
        <w:t xml:space="preserve">the Government’s planned </w:t>
      </w:r>
      <w:r w:rsidR="006A3F36">
        <w:rPr>
          <w:rFonts w:ascii="Arial" w:hAnsi="Arial" w:cs="Arial"/>
          <w:iCs/>
          <w:sz w:val="24"/>
          <w:szCs w:val="24"/>
        </w:rPr>
        <w:t xml:space="preserve">gambling exclusion reforms on </w:t>
      </w:r>
      <w:r w:rsidR="006A3F36" w:rsidRPr="006A3F36">
        <w:rPr>
          <w:rFonts w:ascii="Arial" w:hAnsi="Arial" w:cs="Arial"/>
          <w:iCs/>
          <w:sz w:val="24"/>
          <w:szCs w:val="24"/>
        </w:rPr>
        <w:t>29 January 2026</w:t>
      </w:r>
      <w:r w:rsidR="006A3F36">
        <w:rPr>
          <w:rFonts w:ascii="Arial" w:hAnsi="Arial" w:cs="Arial"/>
          <w:iCs/>
          <w:sz w:val="24"/>
          <w:szCs w:val="24"/>
        </w:rPr>
        <w:t>. This consultation</w:t>
      </w:r>
      <w:r w:rsidR="006A3F36" w:rsidRPr="006A3F36">
        <w:rPr>
          <w:rFonts w:ascii="Arial" w:hAnsi="Arial" w:cs="Arial"/>
          <w:iCs/>
          <w:sz w:val="24"/>
          <w:szCs w:val="24"/>
        </w:rPr>
        <w:t xml:space="preserve"> focused </w:t>
      </w:r>
      <w:r w:rsidR="006A3F36">
        <w:rPr>
          <w:rFonts w:ascii="Arial" w:hAnsi="Arial" w:cs="Arial"/>
          <w:iCs/>
          <w:sz w:val="24"/>
          <w:szCs w:val="24"/>
        </w:rPr>
        <w:t xml:space="preserve">on </w:t>
      </w:r>
      <w:r w:rsidR="006A3F36" w:rsidRPr="006A3F36">
        <w:rPr>
          <w:rFonts w:ascii="Arial" w:hAnsi="Arial" w:cs="Arial"/>
          <w:iCs/>
          <w:sz w:val="24"/>
          <w:szCs w:val="24"/>
        </w:rPr>
        <w:t>the ACT’s exclusion scheme</w:t>
      </w:r>
      <w:r w:rsidR="00872C38">
        <w:rPr>
          <w:rFonts w:ascii="Arial" w:hAnsi="Arial" w:cs="Arial"/>
          <w:iCs/>
          <w:sz w:val="24"/>
          <w:szCs w:val="24"/>
        </w:rPr>
        <w:t xml:space="preserve"> (self-exclusion and licensee exclusion)</w:t>
      </w:r>
      <w:r w:rsidR="006A3F36">
        <w:rPr>
          <w:rFonts w:ascii="Arial" w:hAnsi="Arial" w:cs="Arial"/>
          <w:iCs/>
          <w:sz w:val="24"/>
          <w:szCs w:val="24"/>
        </w:rPr>
        <w:t xml:space="preserve"> and sought feedback from the club sector and community sector about how gambling exclusion</w:t>
      </w:r>
      <w:r w:rsidR="00A817F5">
        <w:rPr>
          <w:rFonts w:ascii="Arial" w:hAnsi="Arial" w:cs="Arial"/>
          <w:iCs/>
          <w:sz w:val="24"/>
          <w:szCs w:val="24"/>
        </w:rPr>
        <w:t xml:space="preserve"> works, including barriers and opportunities for improvement</w:t>
      </w:r>
      <w:r w:rsidR="006A3F36" w:rsidRPr="006A3F36">
        <w:rPr>
          <w:rFonts w:ascii="Arial" w:hAnsi="Arial" w:cs="Arial"/>
          <w:iCs/>
          <w:sz w:val="24"/>
          <w:szCs w:val="24"/>
        </w:rPr>
        <w:t xml:space="preserve">. </w:t>
      </w:r>
      <w:r w:rsidR="00B96818">
        <w:rPr>
          <w:rFonts w:ascii="Arial" w:hAnsi="Arial" w:cs="Arial"/>
          <w:iCs/>
          <w:sz w:val="24"/>
          <w:szCs w:val="24"/>
        </w:rPr>
        <w:t xml:space="preserve">Earlier consultation with industry in previous reform phases also directly informed the approach taken in this Bill.  </w:t>
      </w:r>
    </w:p>
    <w:p w14:paraId="2F8FCA66" w14:textId="6AE88447" w:rsidR="006A3F36" w:rsidRDefault="005F1711" w:rsidP="00E90DF9">
      <w:pPr>
        <w:rPr>
          <w:rFonts w:ascii="Arial" w:hAnsi="Arial" w:cs="Arial"/>
          <w:iCs/>
          <w:sz w:val="24"/>
          <w:szCs w:val="24"/>
        </w:rPr>
      </w:pPr>
      <w:r>
        <w:rPr>
          <w:rFonts w:ascii="Arial" w:hAnsi="Arial" w:cs="Arial"/>
          <w:iCs/>
          <w:sz w:val="24"/>
          <w:szCs w:val="24"/>
        </w:rPr>
        <w:t xml:space="preserve">JACS </w:t>
      </w:r>
      <w:r w:rsidR="009E7953">
        <w:rPr>
          <w:rFonts w:ascii="Arial" w:hAnsi="Arial" w:cs="Arial"/>
          <w:iCs/>
          <w:sz w:val="24"/>
          <w:szCs w:val="24"/>
        </w:rPr>
        <w:t>consulted</w:t>
      </w:r>
      <w:r>
        <w:rPr>
          <w:rFonts w:ascii="Arial" w:hAnsi="Arial" w:cs="Arial"/>
          <w:iCs/>
          <w:sz w:val="24"/>
          <w:szCs w:val="24"/>
        </w:rPr>
        <w:t xml:space="preserve"> </w:t>
      </w:r>
      <w:r w:rsidRPr="005F1711">
        <w:rPr>
          <w:rFonts w:ascii="Arial" w:hAnsi="Arial" w:cs="Arial"/>
          <w:iCs/>
          <w:sz w:val="24"/>
          <w:szCs w:val="24"/>
        </w:rPr>
        <w:t>Relationships Australia, Care Financial Counselling, and a representative from the Gambling Harm Lived Experience Experts group</w:t>
      </w:r>
      <w:r>
        <w:rPr>
          <w:rFonts w:ascii="Arial" w:hAnsi="Arial" w:cs="Arial"/>
          <w:iCs/>
          <w:sz w:val="24"/>
          <w:szCs w:val="24"/>
        </w:rPr>
        <w:t xml:space="preserve"> on 19 February 2026</w:t>
      </w:r>
      <w:r w:rsidRPr="005F1711">
        <w:rPr>
          <w:rFonts w:ascii="Arial" w:hAnsi="Arial" w:cs="Arial"/>
          <w:iCs/>
          <w:sz w:val="24"/>
          <w:szCs w:val="24"/>
        </w:rPr>
        <w:t xml:space="preserve">. </w:t>
      </w:r>
      <w:r w:rsidR="00707AEC">
        <w:rPr>
          <w:rFonts w:ascii="Arial" w:hAnsi="Arial" w:cs="Arial"/>
          <w:iCs/>
          <w:sz w:val="24"/>
          <w:szCs w:val="24"/>
        </w:rPr>
        <w:t>S</w:t>
      </w:r>
      <w:r w:rsidRPr="005F1711">
        <w:rPr>
          <w:rFonts w:ascii="Arial" w:hAnsi="Arial" w:cs="Arial"/>
          <w:iCs/>
          <w:sz w:val="24"/>
          <w:szCs w:val="24"/>
        </w:rPr>
        <w:t xml:space="preserve">takeholders shared reflections about gambling harm minimisation policies, including </w:t>
      </w:r>
      <w:r w:rsidR="009E7953">
        <w:rPr>
          <w:rFonts w:ascii="Arial" w:hAnsi="Arial" w:cs="Arial"/>
          <w:iCs/>
          <w:sz w:val="24"/>
          <w:szCs w:val="24"/>
        </w:rPr>
        <w:t xml:space="preserve">gambling </w:t>
      </w:r>
      <w:r w:rsidRPr="005F1711">
        <w:rPr>
          <w:rFonts w:ascii="Arial" w:hAnsi="Arial" w:cs="Arial"/>
          <w:iCs/>
          <w:sz w:val="24"/>
          <w:szCs w:val="24"/>
        </w:rPr>
        <w:t>exclusion</w:t>
      </w:r>
      <w:r>
        <w:rPr>
          <w:rFonts w:ascii="Arial" w:hAnsi="Arial" w:cs="Arial"/>
          <w:iCs/>
          <w:sz w:val="24"/>
          <w:szCs w:val="24"/>
        </w:rPr>
        <w:t xml:space="preserve">, emphasising the importance of </w:t>
      </w:r>
      <w:r w:rsidR="009351FC">
        <w:rPr>
          <w:rFonts w:ascii="Arial" w:hAnsi="Arial" w:cs="Arial"/>
          <w:iCs/>
          <w:sz w:val="24"/>
          <w:szCs w:val="24"/>
        </w:rPr>
        <w:t>harm reduction</w:t>
      </w:r>
      <w:r w:rsidR="009E7953">
        <w:rPr>
          <w:rFonts w:ascii="Arial" w:hAnsi="Arial" w:cs="Arial"/>
          <w:iCs/>
          <w:sz w:val="24"/>
          <w:szCs w:val="24"/>
        </w:rPr>
        <w:t xml:space="preserve"> strategies and </w:t>
      </w:r>
      <w:r>
        <w:rPr>
          <w:rFonts w:ascii="Arial" w:hAnsi="Arial" w:cs="Arial"/>
          <w:iCs/>
          <w:sz w:val="24"/>
          <w:szCs w:val="24"/>
        </w:rPr>
        <w:t>the need to support people experiencing harm</w:t>
      </w:r>
      <w:r w:rsidR="009E7953">
        <w:rPr>
          <w:rFonts w:ascii="Arial" w:hAnsi="Arial" w:cs="Arial"/>
          <w:iCs/>
          <w:sz w:val="24"/>
          <w:szCs w:val="24"/>
        </w:rPr>
        <w:t>, including the need to</w:t>
      </w:r>
      <w:r>
        <w:rPr>
          <w:rFonts w:ascii="Arial" w:hAnsi="Arial" w:cs="Arial"/>
          <w:iCs/>
          <w:sz w:val="24"/>
          <w:szCs w:val="24"/>
        </w:rPr>
        <w:t xml:space="preserve"> ensure approaches are non-stigmatising</w:t>
      </w:r>
      <w:r w:rsidR="009351FC">
        <w:rPr>
          <w:rFonts w:ascii="Arial" w:hAnsi="Arial" w:cs="Arial"/>
          <w:iCs/>
          <w:sz w:val="24"/>
          <w:szCs w:val="24"/>
        </w:rPr>
        <w:t xml:space="preserve"> to encourage people to seek </w:t>
      </w:r>
      <w:r w:rsidR="009E7953">
        <w:rPr>
          <w:rFonts w:ascii="Arial" w:hAnsi="Arial" w:cs="Arial"/>
          <w:iCs/>
          <w:sz w:val="24"/>
          <w:szCs w:val="24"/>
        </w:rPr>
        <w:t xml:space="preserve">help or </w:t>
      </w:r>
      <w:r w:rsidR="009351FC">
        <w:rPr>
          <w:rFonts w:ascii="Arial" w:hAnsi="Arial" w:cs="Arial"/>
          <w:iCs/>
          <w:sz w:val="24"/>
          <w:szCs w:val="24"/>
        </w:rPr>
        <w:t>support</w:t>
      </w:r>
      <w:r>
        <w:rPr>
          <w:rFonts w:ascii="Arial" w:hAnsi="Arial" w:cs="Arial"/>
          <w:iCs/>
          <w:sz w:val="24"/>
          <w:szCs w:val="24"/>
        </w:rPr>
        <w:t>.</w:t>
      </w:r>
    </w:p>
    <w:p w14:paraId="60610AA8" w14:textId="19F96188" w:rsidR="005F1711" w:rsidRDefault="00563590" w:rsidP="00E90DF9">
      <w:pPr>
        <w:rPr>
          <w:rFonts w:ascii="Arial" w:hAnsi="Arial" w:cs="Arial"/>
          <w:iCs/>
          <w:sz w:val="24"/>
          <w:szCs w:val="24"/>
        </w:rPr>
      </w:pPr>
      <w:r>
        <w:rPr>
          <w:rFonts w:ascii="Arial" w:hAnsi="Arial" w:cs="Arial"/>
          <w:iCs/>
          <w:sz w:val="24"/>
          <w:szCs w:val="24"/>
        </w:rPr>
        <w:t>JACS consulted other government jurisdiction officials in relation to gambling exclusion</w:t>
      </w:r>
      <w:r w:rsidR="00E42251">
        <w:rPr>
          <w:rFonts w:ascii="Arial" w:hAnsi="Arial" w:cs="Arial"/>
          <w:iCs/>
          <w:sz w:val="24"/>
          <w:szCs w:val="24"/>
        </w:rPr>
        <w:t xml:space="preserve"> policies</w:t>
      </w:r>
      <w:r>
        <w:rPr>
          <w:rFonts w:ascii="Arial" w:hAnsi="Arial" w:cs="Arial"/>
          <w:iCs/>
          <w:sz w:val="24"/>
          <w:szCs w:val="24"/>
        </w:rPr>
        <w:t>, including the Tasmanian and South Australian Governments</w:t>
      </w:r>
      <w:r w:rsidR="00F70862">
        <w:rPr>
          <w:rFonts w:ascii="Arial" w:hAnsi="Arial" w:cs="Arial"/>
          <w:iCs/>
          <w:sz w:val="24"/>
          <w:szCs w:val="24"/>
        </w:rPr>
        <w:t>, and</w:t>
      </w:r>
      <w:r w:rsidR="00F50517">
        <w:rPr>
          <w:rFonts w:ascii="Arial" w:hAnsi="Arial" w:cs="Arial"/>
          <w:iCs/>
          <w:sz w:val="24"/>
          <w:szCs w:val="24"/>
        </w:rPr>
        <w:t xml:space="preserve"> to discuss reform to the </w:t>
      </w:r>
      <w:r>
        <w:rPr>
          <w:rFonts w:ascii="Arial" w:hAnsi="Arial" w:cs="Arial"/>
          <w:iCs/>
          <w:sz w:val="24"/>
          <w:szCs w:val="24"/>
        </w:rPr>
        <w:t xml:space="preserve">National </w:t>
      </w:r>
      <w:r w:rsidR="0042122D">
        <w:rPr>
          <w:rFonts w:ascii="Arial" w:hAnsi="Arial" w:cs="Arial"/>
          <w:iCs/>
          <w:sz w:val="24"/>
          <w:szCs w:val="24"/>
        </w:rPr>
        <w:t>Self-</w:t>
      </w:r>
      <w:r>
        <w:rPr>
          <w:rFonts w:ascii="Arial" w:hAnsi="Arial" w:cs="Arial"/>
          <w:iCs/>
          <w:sz w:val="24"/>
          <w:szCs w:val="24"/>
        </w:rPr>
        <w:t>Exclusion Register</w:t>
      </w:r>
      <w:r w:rsidR="00042D5B">
        <w:rPr>
          <w:rFonts w:ascii="Arial" w:hAnsi="Arial" w:cs="Arial"/>
          <w:iCs/>
          <w:sz w:val="24"/>
          <w:szCs w:val="24"/>
        </w:rPr>
        <w:t xml:space="preserve"> </w:t>
      </w:r>
      <w:r w:rsidR="00F70862">
        <w:rPr>
          <w:rFonts w:ascii="Arial" w:hAnsi="Arial" w:cs="Arial"/>
          <w:iCs/>
          <w:sz w:val="24"/>
          <w:szCs w:val="24"/>
        </w:rPr>
        <w:t>(</w:t>
      </w:r>
      <w:proofErr w:type="spellStart"/>
      <w:r>
        <w:rPr>
          <w:rFonts w:ascii="Arial" w:hAnsi="Arial" w:cs="Arial"/>
          <w:iCs/>
          <w:sz w:val="24"/>
          <w:szCs w:val="24"/>
        </w:rPr>
        <w:t>BetStop</w:t>
      </w:r>
      <w:proofErr w:type="spellEnd"/>
      <w:r w:rsidR="00F70862">
        <w:rPr>
          <w:rFonts w:ascii="Arial" w:hAnsi="Arial" w:cs="Arial"/>
          <w:iCs/>
          <w:sz w:val="24"/>
          <w:szCs w:val="24"/>
        </w:rPr>
        <w:t>)</w:t>
      </w:r>
      <w:r w:rsidR="00F50517">
        <w:rPr>
          <w:rFonts w:ascii="Arial" w:hAnsi="Arial" w:cs="Arial"/>
          <w:iCs/>
          <w:sz w:val="24"/>
          <w:szCs w:val="24"/>
        </w:rPr>
        <w:t>, which informed policy consideration for the exclusion reforms</w:t>
      </w:r>
      <w:r w:rsidR="00AA7EE9">
        <w:rPr>
          <w:rFonts w:ascii="Arial" w:hAnsi="Arial" w:cs="Arial"/>
          <w:iCs/>
          <w:sz w:val="24"/>
          <w:szCs w:val="24"/>
        </w:rPr>
        <w:t xml:space="preserve"> in this Bill</w:t>
      </w:r>
      <w:r>
        <w:rPr>
          <w:rFonts w:ascii="Arial" w:hAnsi="Arial" w:cs="Arial"/>
          <w:iCs/>
          <w:sz w:val="24"/>
          <w:szCs w:val="24"/>
        </w:rPr>
        <w:t xml:space="preserve">. </w:t>
      </w:r>
    </w:p>
    <w:p w14:paraId="173CB126" w14:textId="75F1DA48" w:rsidR="007C082F" w:rsidRPr="00280F3D" w:rsidRDefault="00A931A2" w:rsidP="005B0897">
      <w:pPr>
        <w:rPr>
          <w:rFonts w:ascii="Arial" w:hAnsi="Arial" w:cs="Arial"/>
          <w:iCs/>
          <w:sz w:val="24"/>
          <w:szCs w:val="24"/>
        </w:rPr>
      </w:pPr>
      <w:r>
        <w:rPr>
          <w:rFonts w:ascii="Arial" w:hAnsi="Arial" w:cs="Arial"/>
          <w:iCs/>
          <w:sz w:val="24"/>
          <w:szCs w:val="24"/>
        </w:rPr>
        <w:t>While not specifically related to gambling exclusion, an Independent Inquiry into the future of the ACT c</w:t>
      </w:r>
      <w:r w:rsidR="005D52EC">
        <w:rPr>
          <w:rFonts w:ascii="Arial" w:hAnsi="Arial" w:cs="Arial"/>
          <w:iCs/>
          <w:sz w:val="24"/>
          <w:szCs w:val="24"/>
        </w:rPr>
        <w:t xml:space="preserve">lub </w:t>
      </w:r>
      <w:r>
        <w:rPr>
          <w:rFonts w:ascii="Arial" w:hAnsi="Arial" w:cs="Arial"/>
          <w:iCs/>
          <w:sz w:val="24"/>
          <w:szCs w:val="24"/>
        </w:rPr>
        <w:t>industry took place in 202</w:t>
      </w:r>
      <w:r w:rsidR="0042122D">
        <w:rPr>
          <w:rFonts w:ascii="Arial" w:hAnsi="Arial" w:cs="Arial"/>
          <w:iCs/>
          <w:sz w:val="24"/>
          <w:szCs w:val="24"/>
        </w:rPr>
        <w:t>5</w:t>
      </w:r>
      <w:r>
        <w:rPr>
          <w:rFonts w:ascii="Arial" w:hAnsi="Arial" w:cs="Arial"/>
          <w:iCs/>
          <w:sz w:val="24"/>
          <w:szCs w:val="24"/>
        </w:rPr>
        <w:t>-26.</w:t>
      </w:r>
      <w:r w:rsidR="00E218B9">
        <w:rPr>
          <w:rStyle w:val="FootnoteReference"/>
          <w:rFonts w:ascii="Arial" w:hAnsi="Arial"/>
          <w:iCs/>
          <w:sz w:val="24"/>
          <w:szCs w:val="24"/>
        </w:rPr>
        <w:footnoteReference w:id="7"/>
      </w:r>
      <w:r>
        <w:rPr>
          <w:rFonts w:ascii="Arial" w:hAnsi="Arial" w:cs="Arial"/>
          <w:iCs/>
          <w:sz w:val="24"/>
          <w:szCs w:val="24"/>
        </w:rPr>
        <w:t xml:space="preserve">  This inquiry</w:t>
      </w:r>
      <w:r w:rsidR="00D84BAE">
        <w:rPr>
          <w:rFonts w:ascii="Arial" w:hAnsi="Arial" w:cs="Arial"/>
          <w:iCs/>
          <w:sz w:val="24"/>
          <w:szCs w:val="24"/>
        </w:rPr>
        <w:t xml:space="preserve"> </w:t>
      </w:r>
      <w:r w:rsidR="0042122D">
        <w:rPr>
          <w:rFonts w:ascii="Arial" w:hAnsi="Arial" w:cs="Arial"/>
          <w:iCs/>
          <w:sz w:val="24"/>
          <w:szCs w:val="24"/>
        </w:rPr>
        <w:t xml:space="preserve">developed a transition pathway to support </w:t>
      </w:r>
      <w:r w:rsidR="00D84BAE">
        <w:rPr>
          <w:rFonts w:ascii="Arial" w:hAnsi="Arial" w:cs="Arial"/>
          <w:iCs/>
          <w:sz w:val="24"/>
          <w:szCs w:val="24"/>
        </w:rPr>
        <w:t>community clubs</w:t>
      </w:r>
      <w:r w:rsidR="0042122D">
        <w:rPr>
          <w:rFonts w:ascii="Arial" w:hAnsi="Arial" w:cs="Arial"/>
          <w:iCs/>
          <w:sz w:val="24"/>
          <w:szCs w:val="24"/>
        </w:rPr>
        <w:t>’ efforts to diversify away from reliance on gambling revenue</w:t>
      </w:r>
      <w:r w:rsidR="00723ED2">
        <w:rPr>
          <w:rFonts w:ascii="Arial" w:hAnsi="Arial" w:cs="Arial"/>
          <w:iCs/>
          <w:sz w:val="24"/>
          <w:szCs w:val="24"/>
        </w:rPr>
        <w:t xml:space="preserve"> and</w:t>
      </w:r>
      <w:r>
        <w:rPr>
          <w:rFonts w:ascii="Arial" w:hAnsi="Arial" w:cs="Arial"/>
          <w:iCs/>
          <w:sz w:val="24"/>
          <w:szCs w:val="24"/>
        </w:rPr>
        <w:t xml:space="preserve"> highlighted the</w:t>
      </w:r>
      <w:r w:rsidR="005D52EC">
        <w:rPr>
          <w:rFonts w:ascii="Arial" w:hAnsi="Arial" w:cs="Arial"/>
          <w:iCs/>
          <w:sz w:val="24"/>
          <w:szCs w:val="24"/>
        </w:rPr>
        <w:t xml:space="preserve"> need to address gambling harm</w:t>
      </w:r>
      <w:r w:rsidR="0042122D">
        <w:rPr>
          <w:rFonts w:ascii="Arial" w:hAnsi="Arial" w:cs="Arial"/>
          <w:iCs/>
          <w:sz w:val="24"/>
          <w:szCs w:val="24"/>
        </w:rPr>
        <w:t xml:space="preserve"> through </w:t>
      </w:r>
      <w:r w:rsidR="00D52B63">
        <w:rPr>
          <w:rFonts w:ascii="Arial" w:hAnsi="Arial" w:cs="Arial"/>
          <w:iCs/>
          <w:sz w:val="24"/>
          <w:szCs w:val="24"/>
        </w:rPr>
        <w:t xml:space="preserve">a range of </w:t>
      </w:r>
      <w:r w:rsidR="0042122D">
        <w:rPr>
          <w:rFonts w:ascii="Arial" w:hAnsi="Arial" w:cs="Arial"/>
          <w:iCs/>
          <w:sz w:val="24"/>
          <w:szCs w:val="24"/>
        </w:rPr>
        <w:t>harm reduction measures</w:t>
      </w:r>
      <w:r w:rsidR="005D52EC">
        <w:rPr>
          <w:rFonts w:ascii="Arial" w:hAnsi="Arial" w:cs="Arial"/>
          <w:iCs/>
          <w:sz w:val="24"/>
          <w:szCs w:val="24"/>
        </w:rPr>
        <w:t>.</w:t>
      </w:r>
    </w:p>
    <w:p w14:paraId="16B569DA" w14:textId="77777777" w:rsidR="0027703B" w:rsidRDefault="0027703B">
      <w:pPr>
        <w:spacing w:after="160" w:line="259" w:lineRule="auto"/>
        <w:rPr>
          <w:rFonts w:ascii="Arial" w:hAnsi="Arial" w:cs="Arial"/>
          <w:b/>
          <w:sz w:val="24"/>
          <w:szCs w:val="24"/>
        </w:rPr>
      </w:pPr>
      <w:r>
        <w:rPr>
          <w:rFonts w:ascii="Arial" w:hAnsi="Arial" w:cs="Arial"/>
          <w:b/>
          <w:sz w:val="24"/>
          <w:szCs w:val="24"/>
        </w:rPr>
        <w:br w:type="page"/>
      </w:r>
    </w:p>
    <w:p w14:paraId="23CB6687" w14:textId="2A4E41BD" w:rsidR="00CF76B1" w:rsidRPr="005B0897" w:rsidRDefault="00CF76B1" w:rsidP="005B0897">
      <w:pPr>
        <w:rPr>
          <w:rFonts w:ascii="Arial" w:hAnsi="Arial" w:cs="Arial"/>
          <w:b/>
          <w:sz w:val="24"/>
          <w:szCs w:val="24"/>
        </w:rPr>
      </w:pPr>
      <w:r w:rsidRPr="005B0897">
        <w:rPr>
          <w:rFonts w:ascii="Arial" w:hAnsi="Arial" w:cs="Arial"/>
          <w:b/>
          <w:sz w:val="24"/>
          <w:szCs w:val="24"/>
        </w:rPr>
        <w:lastRenderedPageBreak/>
        <w:t>CLIMATE IMPACT</w:t>
      </w:r>
    </w:p>
    <w:p w14:paraId="108A27AD" w14:textId="1C9D759A" w:rsidR="00280F3D" w:rsidRPr="00A424CC" w:rsidRDefault="00A424CC" w:rsidP="005B0897">
      <w:pPr>
        <w:rPr>
          <w:rFonts w:ascii="Arial" w:hAnsi="Arial" w:cs="Arial"/>
          <w:iCs/>
          <w:sz w:val="24"/>
          <w:szCs w:val="24"/>
        </w:rPr>
      </w:pPr>
      <w:r>
        <w:rPr>
          <w:rFonts w:ascii="Arial" w:hAnsi="Arial" w:cs="Arial"/>
          <w:iCs/>
          <w:sz w:val="24"/>
          <w:szCs w:val="24"/>
        </w:rPr>
        <w:t xml:space="preserve">This Bill does not have a climate impact. </w:t>
      </w:r>
    </w:p>
    <w:p w14:paraId="1E002791" w14:textId="13B1C834" w:rsidR="00E90DF9" w:rsidRDefault="00E90DF9" w:rsidP="00E90DF9">
      <w:pPr>
        <w:pStyle w:val="Heading2"/>
      </w:pPr>
      <w:r>
        <w:t xml:space="preserve">CONSISTENCY WITH </w:t>
      </w:r>
      <w:r w:rsidRPr="008C225D">
        <w:t>HUMAN RIGHTS</w:t>
      </w:r>
    </w:p>
    <w:p w14:paraId="3AA827AB" w14:textId="0EB8C93D" w:rsidR="00E90DF9" w:rsidRPr="008C522A" w:rsidRDefault="00E90DF9" w:rsidP="00E90DF9">
      <w:pPr>
        <w:rPr>
          <w:rFonts w:ascii="Arial" w:hAnsi="Arial" w:cs="Arial"/>
          <w:b/>
          <w:bCs/>
          <w:i/>
          <w:sz w:val="24"/>
          <w:szCs w:val="24"/>
        </w:rPr>
      </w:pPr>
      <w:r w:rsidRPr="008C522A">
        <w:rPr>
          <w:rFonts w:ascii="Arial" w:hAnsi="Arial" w:cs="Arial"/>
          <w:b/>
          <w:bCs/>
          <w:i/>
          <w:sz w:val="24"/>
          <w:szCs w:val="24"/>
        </w:rPr>
        <w:t xml:space="preserve">Rights </w:t>
      </w:r>
      <w:r w:rsidR="008C522A" w:rsidRPr="008C522A">
        <w:rPr>
          <w:rFonts w:ascii="Arial" w:hAnsi="Arial" w:cs="Arial"/>
          <w:b/>
          <w:bCs/>
          <w:i/>
          <w:sz w:val="24"/>
          <w:szCs w:val="24"/>
        </w:rPr>
        <w:t>E</w:t>
      </w:r>
      <w:r w:rsidRPr="008C522A">
        <w:rPr>
          <w:rFonts w:ascii="Arial" w:hAnsi="Arial" w:cs="Arial"/>
          <w:b/>
          <w:bCs/>
          <w:i/>
          <w:sz w:val="24"/>
          <w:szCs w:val="24"/>
        </w:rPr>
        <w:t>ngaged</w:t>
      </w:r>
    </w:p>
    <w:p w14:paraId="0B57B332" w14:textId="77777777" w:rsidR="00023256" w:rsidRDefault="00023256" w:rsidP="00023256">
      <w:pPr>
        <w:spacing w:after="0"/>
        <w:rPr>
          <w:rFonts w:ascii="Arial" w:hAnsi="Arial" w:cs="Arial"/>
          <w:iCs/>
          <w:sz w:val="24"/>
          <w:szCs w:val="24"/>
        </w:rPr>
      </w:pPr>
      <w:r>
        <w:rPr>
          <w:rFonts w:ascii="Arial" w:hAnsi="Arial" w:cs="Arial"/>
          <w:iCs/>
          <w:sz w:val="24"/>
          <w:szCs w:val="24"/>
        </w:rPr>
        <w:t xml:space="preserve">The Bill engages the following sections of the </w:t>
      </w:r>
      <w:r w:rsidRPr="0026681A">
        <w:rPr>
          <w:rFonts w:ascii="Arial" w:hAnsi="Arial" w:cs="Arial"/>
          <w:i/>
          <w:sz w:val="24"/>
          <w:szCs w:val="24"/>
        </w:rPr>
        <w:t>Human Rights Act 2004</w:t>
      </w:r>
      <w:r>
        <w:rPr>
          <w:rFonts w:ascii="Arial" w:hAnsi="Arial" w:cs="Arial"/>
          <w:iCs/>
          <w:sz w:val="24"/>
          <w:szCs w:val="24"/>
        </w:rPr>
        <w:t xml:space="preserve"> (</w:t>
      </w:r>
      <w:r w:rsidRPr="002E2989">
        <w:rPr>
          <w:rFonts w:ascii="Arial" w:hAnsi="Arial" w:cs="Arial"/>
          <w:b/>
          <w:bCs/>
          <w:iCs/>
          <w:sz w:val="24"/>
          <w:szCs w:val="24"/>
        </w:rPr>
        <w:t>HRA</w:t>
      </w:r>
      <w:r>
        <w:rPr>
          <w:rFonts w:ascii="Arial" w:hAnsi="Arial" w:cs="Arial"/>
          <w:iCs/>
          <w:sz w:val="24"/>
          <w:szCs w:val="24"/>
        </w:rPr>
        <w:t>):</w:t>
      </w:r>
    </w:p>
    <w:p w14:paraId="7434A82A" w14:textId="6D3B92E0" w:rsidR="000D0B6D" w:rsidRPr="008942E6" w:rsidRDefault="000D0B6D" w:rsidP="008C522A">
      <w:pPr>
        <w:pStyle w:val="ListParagraph"/>
        <w:numPr>
          <w:ilvl w:val="0"/>
          <w:numId w:val="3"/>
        </w:numPr>
        <w:rPr>
          <w:rFonts w:ascii="Arial" w:hAnsi="Arial" w:cs="Arial"/>
          <w:iCs/>
          <w:color w:val="000000" w:themeColor="text1"/>
          <w:sz w:val="24"/>
          <w:szCs w:val="24"/>
        </w:rPr>
      </w:pPr>
      <w:r w:rsidRPr="00D669D3">
        <w:rPr>
          <w:rFonts w:ascii="Arial" w:hAnsi="Arial" w:cs="Arial"/>
          <w:iCs/>
          <w:sz w:val="24"/>
          <w:szCs w:val="24"/>
        </w:rPr>
        <w:t xml:space="preserve">Section </w:t>
      </w:r>
      <w:r w:rsidR="00CB602B" w:rsidRPr="00D669D3">
        <w:rPr>
          <w:rFonts w:ascii="Arial" w:hAnsi="Arial" w:cs="Arial"/>
          <w:iCs/>
          <w:sz w:val="24"/>
          <w:szCs w:val="24"/>
        </w:rPr>
        <w:t>9</w:t>
      </w:r>
      <w:r w:rsidRPr="00D669D3">
        <w:rPr>
          <w:rFonts w:ascii="Arial" w:hAnsi="Arial" w:cs="Arial"/>
          <w:iCs/>
          <w:sz w:val="24"/>
          <w:szCs w:val="24"/>
        </w:rPr>
        <w:t xml:space="preserve"> – right to life (</w:t>
      </w:r>
      <w:r w:rsidRPr="008942E6">
        <w:rPr>
          <w:rFonts w:ascii="Arial" w:hAnsi="Arial" w:cs="Arial"/>
          <w:iCs/>
          <w:color w:val="000000" w:themeColor="text1"/>
          <w:sz w:val="24"/>
          <w:szCs w:val="24"/>
        </w:rPr>
        <w:t>promoted)</w:t>
      </w:r>
    </w:p>
    <w:p w14:paraId="154C1B36" w14:textId="19A9B9A1" w:rsidR="00E91756" w:rsidRDefault="00E91756" w:rsidP="008C522A">
      <w:pPr>
        <w:pStyle w:val="ListParagraph"/>
        <w:numPr>
          <w:ilvl w:val="0"/>
          <w:numId w:val="3"/>
        </w:numPr>
        <w:rPr>
          <w:rFonts w:ascii="Arial" w:hAnsi="Arial" w:cs="Arial"/>
          <w:iCs/>
          <w:color w:val="000000" w:themeColor="text1"/>
          <w:sz w:val="24"/>
          <w:szCs w:val="24"/>
        </w:rPr>
      </w:pPr>
      <w:r w:rsidRPr="00DE4C77">
        <w:rPr>
          <w:rFonts w:ascii="Arial" w:hAnsi="Arial" w:cs="Arial"/>
          <w:iCs/>
          <w:sz w:val="24"/>
          <w:szCs w:val="24"/>
        </w:rPr>
        <w:t>Section 12 – right to privacy and reputation (</w:t>
      </w:r>
      <w:r>
        <w:rPr>
          <w:rFonts w:ascii="Arial" w:hAnsi="Arial" w:cs="Arial"/>
          <w:iCs/>
          <w:sz w:val="24"/>
          <w:szCs w:val="24"/>
        </w:rPr>
        <w:t xml:space="preserve">promoted and </w:t>
      </w:r>
      <w:r w:rsidRPr="00DE4C77">
        <w:rPr>
          <w:rFonts w:ascii="Arial" w:hAnsi="Arial" w:cs="Arial"/>
          <w:iCs/>
          <w:sz w:val="24"/>
          <w:szCs w:val="24"/>
        </w:rPr>
        <w:t>limited)</w:t>
      </w:r>
    </w:p>
    <w:p w14:paraId="0C773B6F" w14:textId="1707BF25" w:rsidR="00023256" w:rsidRPr="008942E6" w:rsidRDefault="00023256" w:rsidP="008C522A">
      <w:pPr>
        <w:pStyle w:val="ListParagraph"/>
        <w:numPr>
          <w:ilvl w:val="0"/>
          <w:numId w:val="3"/>
        </w:numPr>
        <w:rPr>
          <w:rFonts w:ascii="Arial" w:hAnsi="Arial" w:cs="Arial"/>
          <w:iCs/>
          <w:color w:val="000000" w:themeColor="text1"/>
          <w:sz w:val="24"/>
          <w:szCs w:val="24"/>
        </w:rPr>
      </w:pPr>
      <w:r w:rsidRPr="008942E6">
        <w:rPr>
          <w:rFonts w:ascii="Arial" w:hAnsi="Arial" w:cs="Arial"/>
          <w:iCs/>
          <w:color w:val="000000" w:themeColor="text1"/>
          <w:sz w:val="24"/>
          <w:szCs w:val="24"/>
        </w:rPr>
        <w:t xml:space="preserve">Section </w:t>
      </w:r>
      <w:r w:rsidR="002327EA" w:rsidRPr="008942E6">
        <w:rPr>
          <w:rFonts w:ascii="Arial" w:hAnsi="Arial" w:cs="Arial"/>
          <w:iCs/>
          <w:color w:val="000000" w:themeColor="text1"/>
          <w:sz w:val="24"/>
          <w:szCs w:val="24"/>
        </w:rPr>
        <w:t>18</w:t>
      </w:r>
      <w:r w:rsidRPr="008942E6">
        <w:rPr>
          <w:rFonts w:ascii="Arial" w:hAnsi="Arial" w:cs="Arial"/>
          <w:iCs/>
          <w:color w:val="000000" w:themeColor="text1"/>
          <w:sz w:val="24"/>
          <w:szCs w:val="24"/>
        </w:rPr>
        <w:t xml:space="preserve"> – right to </w:t>
      </w:r>
      <w:r w:rsidR="000431A0" w:rsidRPr="008942E6">
        <w:rPr>
          <w:rFonts w:ascii="Arial" w:hAnsi="Arial" w:cs="Arial"/>
          <w:iCs/>
          <w:color w:val="000000" w:themeColor="text1"/>
          <w:sz w:val="24"/>
          <w:szCs w:val="24"/>
        </w:rPr>
        <w:t xml:space="preserve">liberty and </w:t>
      </w:r>
      <w:r w:rsidRPr="008942E6">
        <w:rPr>
          <w:rFonts w:ascii="Arial" w:hAnsi="Arial" w:cs="Arial"/>
          <w:iCs/>
          <w:color w:val="000000" w:themeColor="text1"/>
          <w:sz w:val="24"/>
          <w:szCs w:val="24"/>
        </w:rPr>
        <w:t>security of person (promote</w:t>
      </w:r>
      <w:r w:rsidR="00B60283" w:rsidRPr="008942E6">
        <w:rPr>
          <w:rFonts w:ascii="Arial" w:hAnsi="Arial" w:cs="Arial"/>
          <w:iCs/>
          <w:color w:val="000000" w:themeColor="text1"/>
          <w:sz w:val="24"/>
          <w:szCs w:val="24"/>
        </w:rPr>
        <w:t>d</w:t>
      </w:r>
      <w:r w:rsidRPr="008942E6">
        <w:rPr>
          <w:rFonts w:ascii="Arial" w:hAnsi="Arial" w:cs="Arial"/>
          <w:iCs/>
          <w:color w:val="000000" w:themeColor="text1"/>
          <w:sz w:val="24"/>
          <w:szCs w:val="24"/>
        </w:rPr>
        <w:t>)</w:t>
      </w:r>
    </w:p>
    <w:p w14:paraId="3B1FDE09" w14:textId="5D9B9266" w:rsidR="00804485" w:rsidRPr="008942E6" w:rsidRDefault="00804485" w:rsidP="008C522A">
      <w:pPr>
        <w:pStyle w:val="ListParagraph"/>
        <w:numPr>
          <w:ilvl w:val="0"/>
          <w:numId w:val="3"/>
        </w:numPr>
        <w:rPr>
          <w:rFonts w:ascii="Arial" w:hAnsi="Arial" w:cs="Arial"/>
          <w:iCs/>
          <w:color w:val="000000" w:themeColor="text1"/>
          <w:sz w:val="24"/>
          <w:szCs w:val="24"/>
        </w:rPr>
      </w:pPr>
      <w:r w:rsidRPr="001146D6">
        <w:rPr>
          <w:rFonts w:ascii="Arial" w:hAnsi="Arial" w:cs="Arial"/>
          <w:iCs/>
          <w:sz w:val="24"/>
          <w:szCs w:val="24"/>
        </w:rPr>
        <w:t>Section 8 – right to equality and non-discrimination (limited)</w:t>
      </w:r>
    </w:p>
    <w:p w14:paraId="46DDE6C5" w14:textId="3C805B73" w:rsidR="00CD4F97" w:rsidRDefault="00CD4F97" w:rsidP="00023256">
      <w:pPr>
        <w:pStyle w:val="ListParagraph"/>
        <w:numPr>
          <w:ilvl w:val="0"/>
          <w:numId w:val="3"/>
        </w:numPr>
        <w:rPr>
          <w:rFonts w:ascii="Arial" w:hAnsi="Arial" w:cs="Arial"/>
          <w:iCs/>
          <w:sz w:val="24"/>
          <w:szCs w:val="24"/>
        </w:rPr>
      </w:pPr>
      <w:r w:rsidRPr="00DE4C77">
        <w:rPr>
          <w:rFonts w:ascii="Arial" w:hAnsi="Arial" w:cs="Arial"/>
          <w:iCs/>
          <w:sz w:val="24"/>
          <w:szCs w:val="24"/>
        </w:rPr>
        <w:t xml:space="preserve">Section </w:t>
      </w:r>
      <w:r w:rsidR="00960565" w:rsidRPr="00DE4C77">
        <w:rPr>
          <w:rFonts w:ascii="Arial" w:hAnsi="Arial" w:cs="Arial"/>
          <w:iCs/>
          <w:sz w:val="24"/>
          <w:szCs w:val="24"/>
        </w:rPr>
        <w:t>13</w:t>
      </w:r>
      <w:r w:rsidRPr="00DE4C77">
        <w:rPr>
          <w:rFonts w:ascii="Arial" w:hAnsi="Arial" w:cs="Arial"/>
          <w:iCs/>
          <w:sz w:val="24"/>
          <w:szCs w:val="24"/>
        </w:rPr>
        <w:t xml:space="preserve"> – right to freedom of movement</w:t>
      </w:r>
      <w:r w:rsidR="003C6D11" w:rsidRPr="00DE4C77">
        <w:rPr>
          <w:rFonts w:ascii="Arial" w:hAnsi="Arial" w:cs="Arial"/>
          <w:iCs/>
          <w:sz w:val="24"/>
          <w:szCs w:val="24"/>
        </w:rPr>
        <w:t xml:space="preserve"> (limited)</w:t>
      </w:r>
    </w:p>
    <w:p w14:paraId="5A255E0D" w14:textId="4C4D739C" w:rsidR="00F6277D" w:rsidRDefault="00F6277D" w:rsidP="00023256">
      <w:pPr>
        <w:pStyle w:val="ListParagraph"/>
        <w:numPr>
          <w:ilvl w:val="0"/>
          <w:numId w:val="3"/>
        </w:numPr>
        <w:rPr>
          <w:rFonts w:ascii="Arial" w:hAnsi="Arial" w:cs="Arial"/>
          <w:iCs/>
          <w:sz w:val="24"/>
          <w:szCs w:val="24"/>
        </w:rPr>
      </w:pPr>
      <w:r>
        <w:rPr>
          <w:rFonts w:ascii="Arial" w:hAnsi="Arial" w:cs="Arial"/>
          <w:iCs/>
          <w:sz w:val="24"/>
          <w:szCs w:val="24"/>
        </w:rPr>
        <w:t>Section 22 – rights in criminal proceedings (limited)</w:t>
      </w:r>
    </w:p>
    <w:p w14:paraId="3E61BEE4" w14:textId="7EEA9393" w:rsidR="0071405B" w:rsidRPr="00DE4C77" w:rsidRDefault="0071405B" w:rsidP="00023256">
      <w:pPr>
        <w:pStyle w:val="ListParagraph"/>
        <w:numPr>
          <w:ilvl w:val="0"/>
          <w:numId w:val="3"/>
        </w:numPr>
        <w:rPr>
          <w:rFonts w:ascii="Arial" w:hAnsi="Arial" w:cs="Arial"/>
          <w:iCs/>
          <w:sz w:val="24"/>
          <w:szCs w:val="24"/>
        </w:rPr>
      </w:pPr>
      <w:r>
        <w:rPr>
          <w:rFonts w:ascii="Arial" w:hAnsi="Arial" w:cs="Arial"/>
          <w:iCs/>
          <w:sz w:val="24"/>
          <w:szCs w:val="24"/>
        </w:rPr>
        <w:t xml:space="preserve">Section 27B – right to work (limited) </w:t>
      </w:r>
    </w:p>
    <w:p w14:paraId="62447E13" w14:textId="77777777" w:rsidR="00A81EEA" w:rsidRPr="00A81EEA" w:rsidRDefault="00A81EEA" w:rsidP="00A81EEA">
      <w:pPr>
        <w:pStyle w:val="ListParagraph"/>
        <w:rPr>
          <w:rFonts w:ascii="Arial" w:hAnsi="Arial" w:cs="Arial"/>
          <w:iCs/>
          <w:sz w:val="24"/>
          <w:szCs w:val="24"/>
        </w:rPr>
      </w:pPr>
    </w:p>
    <w:p w14:paraId="2FA67899" w14:textId="2AE67393" w:rsidR="007C082F" w:rsidRPr="00023256" w:rsidRDefault="00023256" w:rsidP="00E90DF9">
      <w:pPr>
        <w:rPr>
          <w:rFonts w:ascii="Arial" w:hAnsi="Arial" w:cs="Arial"/>
          <w:iCs/>
          <w:sz w:val="24"/>
          <w:szCs w:val="24"/>
        </w:rPr>
      </w:pPr>
      <w:r>
        <w:rPr>
          <w:rFonts w:ascii="Arial" w:hAnsi="Arial" w:cs="Arial"/>
          <w:iCs/>
          <w:sz w:val="24"/>
          <w:szCs w:val="24"/>
        </w:rPr>
        <w:t xml:space="preserve">The ways in which the Bill </w:t>
      </w:r>
      <w:r w:rsidR="00887EF5">
        <w:rPr>
          <w:rFonts w:ascii="Arial" w:hAnsi="Arial" w:cs="Arial"/>
          <w:iCs/>
          <w:sz w:val="24"/>
          <w:szCs w:val="24"/>
        </w:rPr>
        <w:t>engages these rights</w:t>
      </w:r>
      <w:r>
        <w:rPr>
          <w:rFonts w:ascii="Arial" w:hAnsi="Arial" w:cs="Arial"/>
          <w:iCs/>
          <w:sz w:val="24"/>
          <w:szCs w:val="24"/>
        </w:rPr>
        <w:t xml:space="preserve"> are set out below. </w:t>
      </w:r>
    </w:p>
    <w:p w14:paraId="774721D1" w14:textId="620CD524" w:rsidR="00E90DF9" w:rsidRPr="00BC3EF0" w:rsidRDefault="00E90DF9" w:rsidP="00E90DF9">
      <w:pPr>
        <w:rPr>
          <w:rFonts w:ascii="Arial" w:hAnsi="Arial" w:cs="Arial"/>
          <w:b/>
          <w:bCs/>
          <w:i/>
          <w:sz w:val="24"/>
          <w:szCs w:val="24"/>
        </w:rPr>
      </w:pPr>
      <w:r w:rsidRPr="00BC3EF0">
        <w:rPr>
          <w:rFonts w:ascii="Arial" w:hAnsi="Arial" w:cs="Arial"/>
          <w:b/>
          <w:bCs/>
          <w:i/>
          <w:sz w:val="24"/>
          <w:szCs w:val="24"/>
        </w:rPr>
        <w:t>Rights Promoted</w:t>
      </w:r>
    </w:p>
    <w:p w14:paraId="5EBE33D7" w14:textId="21371AC8" w:rsidR="003C6D11" w:rsidRDefault="003C6D11" w:rsidP="009579C9">
      <w:pPr>
        <w:rPr>
          <w:rFonts w:ascii="Arial" w:hAnsi="Arial" w:cs="Arial"/>
          <w:iCs/>
          <w:sz w:val="24"/>
          <w:szCs w:val="24"/>
          <w:u w:val="single"/>
        </w:rPr>
      </w:pPr>
      <w:r>
        <w:rPr>
          <w:rFonts w:ascii="Arial" w:hAnsi="Arial" w:cs="Arial"/>
          <w:iCs/>
          <w:sz w:val="24"/>
          <w:szCs w:val="24"/>
          <w:u w:val="single"/>
        </w:rPr>
        <w:t xml:space="preserve">Section </w:t>
      </w:r>
      <w:r w:rsidR="00CB602B">
        <w:rPr>
          <w:rFonts w:ascii="Arial" w:hAnsi="Arial" w:cs="Arial"/>
          <w:iCs/>
          <w:sz w:val="24"/>
          <w:szCs w:val="24"/>
          <w:u w:val="single"/>
        </w:rPr>
        <w:t>9</w:t>
      </w:r>
      <w:r>
        <w:rPr>
          <w:rFonts w:ascii="Arial" w:hAnsi="Arial" w:cs="Arial"/>
          <w:iCs/>
          <w:sz w:val="24"/>
          <w:szCs w:val="24"/>
          <w:u w:val="single"/>
        </w:rPr>
        <w:t xml:space="preserve"> – </w:t>
      </w:r>
      <w:r w:rsidR="0037720E">
        <w:rPr>
          <w:rFonts w:ascii="Arial" w:hAnsi="Arial" w:cs="Arial"/>
          <w:iCs/>
          <w:sz w:val="24"/>
          <w:szCs w:val="24"/>
          <w:u w:val="single"/>
        </w:rPr>
        <w:t>R</w:t>
      </w:r>
      <w:r>
        <w:rPr>
          <w:rFonts w:ascii="Arial" w:hAnsi="Arial" w:cs="Arial"/>
          <w:iCs/>
          <w:sz w:val="24"/>
          <w:szCs w:val="24"/>
          <w:u w:val="single"/>
        </w:rPr>
        <w:t>ight to life</w:t>
      </w:r>
    </w:p>
    <w:p w14:paraId="6FDCB17D" w14:textId="3EF1C3AE" w:rsidR="00D83F43" w:rsidRDefault="00D83F43" w:rsidP="009579C9">
      <w:pPr>
        <w:rPr>
          <w:rFonts w:ascii="Arial" w:hAnsi="Arial" w:cs="Arial"/>
          <w:iCs/>
          <w:sz w:val="24"/>
          <w:szCs w:val="24"/>
        </w:rPr>
      </w:pPr>
      <w:r w:rsidRPr="00B53CE5">
        <w:rPr>
          <w:rFonts w:ascii="Arial" w:hAnsi="Arial" w:cs="Arial"/>
          <w:iCs/>
          <w:sz w:val="24"/>
          <w:szCs w:val="24"/>
        </w:rPr>
        <w:t>Section 9 of the HRA provides that everyone has a right to life and no-one may be arbitrarily deprived of life. The United Nations Committee on Human Rights provides: ‘the right to life has crucial importance both for individuals and for society as a whole. It is most precious for its own sake as a right that inheres in every human being, but it also constitutes a fundamental right, the effective protection of which is the prerequisite for the enjoyment of all other human rights and the content of which can be informed by other human rights.’</w:t>
      </w:r>
      <w:bookmarkStart w:id="0" w:name="_ftnref5"/>
      <w:bookmarkEnd w:id="0"/>
      <w:r w:rsidRPr="00B53CE5">
        <w:rPr>
          <w:rStyle w:val="FootnoteReference"/>
          <w:rFonts w:ascii="Arial" w:hAnsi="Arial"/>
          <w:iCs/>
          <w:sz w:val="24"/>
          <w:szCs w:val="24"/>
        </w:rPr>
        <w:footnoteReference w:id="8"/>
      </w:r>
      <w:r w:rsidRPr="00B53CE5">
        <w:rPr>
          <w:rFonts w:ascii="Arial" w:hAnsi="Arial" w:cs="Arial"/>
          <w:iCs/>
          <w:sz w:val="24"/>
          <w:szCs w:val="24"/>
        </w:rPr>
        <w:t xml:space="preserve"> The right to life includes a positive obligation on government to take reasonable actions to safeguard life and protect individuals.</w:t>
      </w:r>
    </w:p>
    <w:p w14:paraId="079787A4" w14:textId="23CB9291" w:rsidR="003C6D11" w:rsidRDefault="00F16F35" w:rsidP="009579C9">
      <w:pPr>
        <w:rPr>
          <w:rFonts w:ascii="Arial" w:hAnsi="Arial" w:cs="Arial"/>
          <w:iCs/>
          <w:sz w:val="24"/>
          <w:szCs w:val="24"/>
        </w:rPr>
      </w:pPr>
      <w:r>
        <w:rPr>
          <w:rFonts w:ascii="Arial" w:hAnsi="Arial" w:cs="Arial"/>
          <w:iCs/>
          <w:sz w:val="24"/>
          <w:szCs w:val="24"/>
        </w:rPr>
        <w:t xml:space="preserve">A range of </w:t>
      </w:r>
      <w:r w:rsidR="003C6D11">
        <w:rPr>
          <w:rFonts w:ascii="Arial" w:hAnsi="Arial" w:cs="Arial"/>
          <w:iCs/>
          <w:sz w:val="24"/>
          <w:szCs w:val="24"/>
        </w:rPr>
        <w:t xml:space="preserve">provisions </w:t>
      </w:r>
      <w:r w:rsidR="00CB602B">
        <w:rPr>
          <w:rFonts w:ascii="Arial" w:hAnsi="Arial" w:cs="Arial"/>
          <w:iCs/>
          <w:sz w:val="24"/>
          <w:szCs w:val="24"/>
        </w:rPr>
        <w:t>promote the right to life by protecting health and wellbeing of people that experience gambling harm.</w:t>
      </w:r>
      <w:r>
        <w:rPr>
          <w:rFonts w:ascii="Arial" w:hAnsi="Arial" w:cs="Arial"/>
          <w:iCs/>
          <w:sz w:val="24"/>
          <w:szCs w:val="24"/>
        </w:rPr>
        <w:t xml:space="preserve"> This includes provisions which: </w:t>
      </w:r>
    </w:p>
    <w:p w14:paraId="0504339E" w14:textId="77777777" w:rsidR="00F16F35" w:rsidRDefault="00F16F35" w:rsidP="00F16F35">
      <w:pPr>
        <w:pStyle w:val="ListParagraph"/>
        <w:numPr>
          <w:ilvl w:val="0"/>
          <w:numId w:val="26"/>
        </w:numPr>
        <w:rPr>
          <w:rFonts w:ascii="Arial" w:hAnsi="Arial" w:cs="Arial"/>
          <w:iCs/>
          <w:sz w:val="24"/>
          <w:szCs w:val="24"/>
        </w:rPr>
      </w:pPr>
      <w:r>
        <w:rPr>
          <w:rFonts w:ascii="Arial" w:hAnsi="Arial" w:cs="Arial"/>
          <w:iCs/>
          <w:sz w:val="24"/>
          <w:szCs w:val="24"/>
        </w:rPr>
        <w:t>Define the risk of gambling harm</w:t>
      </w:r>
    </w:p>
    <w:p w14:paraId="538BA774" w14:textId="1A9EA650" w:rsidR="00F16F35" w:rsidRDefault="00F16F35" w:rsidP="00F16F35">
      <w:pPr>
        <w:pStyle w:val="ListParagraph"/>
        <w:numPr>
          <w:ilvl w:val="0"/>
          <w:numId w:val="26"/>
        </w:numPr>
        <w:rPr>
          <w:rFonts w:ascii="Arial" w:hAnsi="Arial" w:cs="Arial"/>
          <w:iCs/>
          <w:sz w:val="24"/>
          <w:szCs w:val="24"/>
        </w:rPr>
      </w:pPr>
      <w:r>
        <w:rPr>
          <w:rFonts w:ascii="Arial" w:hAnsi="Arial" w:cs="Arial"/>
          <w:iCs/>
          <w:sz w:val="24"/>
          <w:szCs w:val="24"/>
        </w:rPr>
        <w:t xml:space="preserve">Clarify </w:t>
      </w:r>
      <w:r w:rsidRPr="00B53CE5">
        <w:rPr>
          <w:rFonts w:ascii="Arial" w:hAnsi="Arial" w:cs="Arial"/>
          <w:iCs/>
          <w:sz w:val="24"/>
          <w:szCs w:val="24"/>
        </w:rPr>
        <w:t>licensed gambling operators’ responsibilities to</w:t>
      </w:r>
      <w:r>
        <w:rPr>
          <w:rFonts w:ascii="Arial" w:hAnsi="Arial" w:cs="Arial"/>
          <w:iCs/>
          <w:sz w:val="24"/>
          <w:szCs w:val="24"/>
        </w:rPr>
        <w:t xml:space="preserve"> prevent and respond to risk of harm</w:t>
      </w:r>
      <w:r w:rsidR="00A97714">
        <w:rPr>
          <w:rFonts w:ascii="Arial" w:hAnsi="Arial" w:cs="Arial"/>
          <w:iCs/>
          <w:sz w:val="24"/>
          <w:szCs w:val="24"/>
        </w:rPr>
        <w:t>, and</w:t>
      </w:r>
    </w:p>
    <w:p w14:paraId="1A10A5C1" w14:textId="773AFDBC" w:rsidR="00F16F35" w:rsidRDefault="00F16F35" w:rsidP="00F16F35">
      <w:pPr>
        <w:pStyle w:val="ListParagraph"/>
        <w:numPr>
          <w:ilvl w:val="0"/>
          <w:numId w:val="26"/>
        </w:numPr>
        <w:rPr>
          <w:rFonts w:ascii="Arial" w:hAnsi="Arial" w:cs="Arial"/>
          <w:iCs/>
          <w:sz w:val="24"/>
          <w:szCs w:val="24"/>
        </w:rPr>
      </w:pPr>
      <w:r>
        <w:rPr>
          <w:rFonts w:ascii="Arial" w:hAnsi="Arial" w:cs="Arial"/>
          <w:iCs/>
          <w:sz w:val="24"/>
          <w:szCs w:val="24"/>
        </w:rPr>
        <w:t xml:space="preserve">Enhance individuals’ access to methods to </w:t>
      </w:r>
      <w:r w:rsidR="00914DBF">
        <w:rPr>
          <w:rFonts w:ascii="Arial" w:hAnsi="Arial" w:cs="Arial"/>
          <w:iCs/>
          <w:sz w:val="24"/>
          <w:szCs w:val="24"/>
        </w:rPr>
        <w:t xml:space="preserve">take a break from gambling, via reform to the self-exclusion process. </w:t>
      </w:r>
    </w:p>
    <w:p w14:paraId="3C69BF07" w14:textId="77777777" w:rsidR="00914DBF" w:rsidRDefault="00914DBF" w:rsidP="00914DBF">
      <w:pPr>
        <w:rPr>
          <w:rFonts w:ascii="Arial" w:hAnsi="Arial" w:cs="Arial"/>
          <w:iCs/>
          <w:sz w:val="24"/>
          <w:szCs w:val="24"/>
        </w:rPr>
      </w:pPr>
    </w:p>
    <w:p w14:paraId="54B5D0B7" w14:textId="77777777" w:rsidR="0027703B" w:rsidRDefault="0027703B">
      <w:pPr>
        <w:spacing w:after="160" w:line="259" w:lineRule="auto"/>
        <w:rPr>
          <w:rFonts w:ascii="Arial" w:hAnsi="Arial" w:cs="Arial"/>
          <w:iCs/>
          <w:color w:val="000000" w:themeColor="text1"/>
          <w:sz w:val="24"/>
          <w:szCs w:val="24"/>
          <w:u w:val="single"/>
        </w:rPr>
      </w:pPr>
      <w:r>
        <w:rPr>
          <w:rFonts w:ascii="Arial" w:hAnsi="Arial" w:cs="Arial"/>
          <w:iCs/>
          <w:color w:val="000000" w:themeColor="text1"/>
          <w:sz w:val="24"/>
          <w:szCs w:val="24"/>
          <w:u w:val="single"/>
        </w:rPr>
        <w:br w:type="page"/>
      </w:r>
    </w:p>
    <w:p w14:paraId="5FC0C645" w14:textId="4916DF84" w:rsidR="00146A27" w:rsidRPr="00856632" w:rsidRDefault="00241A55" w:rsidP="00914DBF">
      <w:pPr>
        <w:rPr>
          <w:rFonts w:ascii="Arial" w:hAnsi="Arial" w:cs="Arial"/>
          <w:iCs/>
          <w:color w:val="000000" w:themeColor="text1"/>
          <w:sz w:val="24"/>
          <w:szCs w:val="24"/>
          <w:u w:val="single"/>
        </w:rPr>
      </w:pPr>
      <w:r w:rsidRPr="00856632">
        <w:rPr>
          <w:rFonts w:ascii="Arial" w:hAnsi="Arial" w:cs="Arial"/>
          <w:iCs/>
          <w:color w:val="000000" w:themeColor="text1"/>
          <w:sz w:val="24"/>
          <w:szCs w:val="24"/>
          <w:u w:val="single"/>
        </w:rPr>
        <w:lastRenderedPageBreak/>
        <w:t xml:space="preserve">Section 12 </w:t>
      </w:r>
      <w:r w:rsidR="00973531" w:rsidRPr="00856632">
        <w:rPr>
          <w:rFonts w:ascii="Arial" w:hAnsi="Arial" w:cs="Arial"/>
          <w:iCs/>
          <w:color w:val="000000" w:themeColor="text1"/>
          <w:sz w:val="24"/>
          <w:szCs w:val="24"/>
          <w:u w:val="single"/>
        </w:rPr>
        <w:t>–</w:t>
      </w:r>
      <w:r w:rsidRPr="00856632">
        <w:rPr>
          <w:rFonts w:ascii="Arial" w:hAnsi="Arial" w:cs="Arial"/>
          <w:iCs/>
          <w:color w:val="000000" w:themeColor="text1"/>
          <w:sz w:val="24"/>
          <w:szCs w:val="24"/>
          <w:u w:val="single"/>
        </w:rPr>
        <w:t xml:space="preserve"> </w:t>
      </w:r>
      <w:r w:rsidR="00146A27" w:rsidRPr="00856632">
        <w:rPr>
          <w:rFonts w:ascii="Arial" w:hAnsi="Arial" w:cs="Arial"/>
          <w:iCs/>
          <w:color w:val="000000" w:themeColor="text1"/>
          <w:sz w:val="24"/>
          <w:szCs w:val="24"/>
          <w:u w:val="single"/>
        </w:rPr>
        <w:t xml:space="preserve">Right to privacy </w:t>
      </w:r>
    </w:p>
    <w:p w14:paraId="68A250FA" w14:textId="1A21BB40" w:rsidR="00146A27" w:rsidRDefault="001223C9" w:rsidP="00914DBF">
      <w:pPr>
        <w:rPr>
          <w:rFonts w:ascii="Arial" w:hAnsi="Arial" w:cs="Arial"/>
          <w:sz w:val="24"/>
          <w:szCs w:val="24"/>
        </w:rPr>
      </w:pPr>
      <w:r w:rsidRPr="00A076C0">
        <w:rPr>
          <w:rFonts w:ascii="Arial" w:hAnsi="Arial" w:cs="Arial"/>
          <w:iCs/>
          <w:sz w:val="24"/>
          <w:szCs w:val="24"/>
        </w:rPr>
        <w:t>Under section 12 of the HRA, everyone has the right to not have their privacy, family, home or correspondence interfered with unlawfully or arbitrarily and not to have their reputation unlawfully attacked. This right also encompasses the idea that individuals should have a separate area of autonomous development, interaction and liberty, free from excessive government intervention and unsolicited intrusion by other individuals.</w:t>
      </w:r>
      <w:r>
        <w:rPr>
          <w:rStyle w:val="FootnoteReference"/>
          <w:rFonts w:ascii="Arial" w:hAnsi="Arial"/>
          <w:iCs/>
          <w:sz w:val="24"/>
          <w:szCs w:val="24"/>
        </w:rPr>
        <w:footnoteReference w:id="9"/>
      </w:r>
      <w:r w:rsidR="00EA2C74">
        <w:rPr>
          <w:rFonts w:ascii="Arial" w:hAnsi="Arial" w:cs="Arial"/>
          <w:iCs/>
          <w:sz w:val="24"/>
          <w:szCs w:val="24"/>
        </w:rPr>
        <w:t xml:space="preserve"> </w:t>
      </w:r>
      <w:r w:rsidR="00F74D41">
        <w:rPr>
          <w:rFonts w:ascii="Arial" w:hAnsi="Arial" w:cs="Arial"/>
          <w:iCs/>
          <w:sz w:val="24"/>
          <w:szCs w:val="24"/>
        </w:rPr>
        <w:t xml:space="preserve">The right to privacy </w:t>
      </w:r>
      <w:r w:rsidR="006D4493">
        <w:rPr>
          <w:rFonts w:ascii="Arial" w:hAnsi="Arial" w:cs="Arial"/>
          <w:iCs/>
          <w:sz w:val="24"/>
          <w:szCs w:val="24"/>
        </w:rPr>
        <w:t xml:space="preserve">is engaged and promoted by enabling individuals to </w:t>
      </w:r>
      <w:r w:rsidR="003B0EC8">
        <w:rPr>
          <w:rFonts w:ascii="Arial" w:hAnsi="Arial" w:cs="Arial"/>
          <w:iCs/>
          <w:sz w:val="24"/>
          <w:szCs w:val="24"/>
        </w:rPr>
        <w:t xml:space="preserve">choose </w:t>
      </w:r>
      <w:r w:rsidR="006D4493">
        <w:rPr>
          <w:rFonts w:ascii="Arial" w:hAnsi="Arial" w:cs="Arial"/>
          <w:iCs/>
          <w:sz w:val="24"/>
          <w:szCs w:val="24"/>
        </w:rPr>
        <w:t>to initiate self-exclusion if they are concerned about the potential impacts of their gambling.</w:t>
      </w:r>
      <w:r w:rsidR="003B0EC8">
        <w:rPr>
          <w:rFonts w:ascii="Arial" w:hAnsi="Arial" w:cs="Arial"/>
          <w:iCs/>
          <w:sz w:val="24"/>
          <w:szCs w:val="24"/>
        </w:rPr>
        <w:t xml:space="preserve"> This </w:t>
      </w:r>
      <w:r w:rsidR="00E2754F">
        <w:rPr>
          <w:rFonts w:ascii="Arial" w:hAnsi="Arial" w:cs="Arial"/>
          <w:iCs/>
          <w:sz w:val="24"/>
          <w:szCs w:val="24"/>
        </w:rPr>
        <w:t xml:space="preserve">enables individuals to </w:t>
      </w:r>
      <w:r w:rsidR="00F74D41">
        <w:rPr>
          <w:rFonts w:ascii="Arial" w:hAnsi="Arial" w:cs="Arial"/>
          <w:iCs/>
          <w:sz w:val="24"/>
          <w:szCs w:val="24"/>
        </w:rPr>
        <w:t xml:space="preserve">exercise their </w:t>
      </w:r>
      <w:r w:rsidR="00E2754F">
        <w:rPr>
          <w:rFonts w:ascii="Arial" w:hAnsi="Arial" w:cs="Arial"/>
          <w:iCs/>
          <w:sz w:val="24"/>
          <w:szCs w:val="24"/>
        </w:rPr>
        <w:t xml:space="preserve">autonomy </w:t>
      </w:r>
      <w:r w:rsidR="00F74D41">
        <w:rPr>
          <w:rFonts w:ascii="Arial" w:hAnsi="Arial" w:cs="Arial"/>
          <w:iCs/>
          <w:sz w:val="24"/>
          <w:szCs w:val="24"/>
        </w:rPr>
        <w:t xml:space="preserve">with respect to </w:t>
      </w:r>
      <w:r w:rsidR="00967DC3">
        <w:rPr>
          <w:rFonts w:ascii="Arial" w:hAnsi="Arial" w:cs="Arial"/>
          <w:iCs/>
          <w:sz w:val="24"/>
          <w:szCs w:val="24"/>
        </w:rPr>
        <w:t>addressing their risk of gambling harm.</w:t>
      </w:r>
    </w:p>
    <w:p w14:paraId="1CBF72B1" w14:textId="7C04FCAD" w:rsidR="009579C9" w:rsidRDefault="00F35402" w:rsidP="009579C9">
      <w:pPr>
        <w:rPr>
          <w:rFonts w:ascii="Arial" w:hAnsi="Arial" w:cs="Arial"/>
          <w:iCs/>
          <w:sz w:val="24"/>
          <w:szCs w:val="24"/>
          <w:u w:val="single"/>
        </w:rPr>
      </w:pPr>
      <w:r>
        <w:rPr>
          <w:rFonts w:ascii="Arial" w:hAnsi="Arial" w:cs="Arial"/>
          <w:iCs/>
          <w:sz w:val="24"/>
          <w:szCs w:val="24"/>
          <w:u w:val="single"/>
        </w:rPr>
        <w:t xml:space="preserve">Section </w:t>
      </w:r>
      <w:r w:rsidR="002327EA">
        <w:rPr>
          <w:rFonts w:ascii="Arial" w:hAnsi="Arial" w:cs="Arial"/>
          <w:iCs/>
          <w:sz w:val="24"/>
          <w:szCs w:val="24"/>
          <w:u w:val="single"/>
        </w:rPr>
        <w:t>18</w:t>
      </w:r>
      <w:r w:rsidR="009579C9">
        <w:rPr>
          <w:rFonts w:ascii="Arial" w:hAnsi="Arial" w:cs="Arial"/>
          <w:iCs/>
          <w:sz w:val="24"/>
          <w:szCs w:val="24"/>
          <w:u w:val="single"/>
        </w:rPr>
        <w:t xml:space="preserve"> </w:t>
      </w:r>
      <w:r w:rsidR="009579C9" w:rsidRPr="00DD69A8">
        <w:rPr>
          <w:rFonts w:ascii="Arial" w:hAnsi="Arial" w:cs="Arial"/>
          <w:iCs/>
          <w:sz w:val="24"/>
          <w:szCs w:val="24"/>
          <w:u w:val="single"/>
        </w:rPr>
        <w:t xml:space="preserve">– </w:t>
      </w:r>
      <w:r w:rsidR="0037720E">
        <w:rPr>
          <w:rFonts w:ascii="Arial" w:hAnsi="Arial" w:cs="Arial"/>
          <w:iCs/>
          <w:sz w:val="24"/>
          <w:szCs w:val="24"/>
          <w:u w:val="single"/>
        </w:rPr>
        <w:t>R</w:t>
      </w:r>
      <w:r w:rsidR="009579C9" w:rsidRPr="00DD69A8">
        <w:rPr>
          <w:rFonts w:ascii="Arial" w:hAnsi="Arial" w:cs="Arial"/>
          <w:iCs/>
          <w:sz w:val="24"/>
          <w:szCs w:val="24"/>
          <w:u w:val="single"/>
        </w:rPr>
        <w:t xml:space="preserve">ight to </w:t>
      </w:r>
      <w:r w:rsidR="009579C9">
        <w:rPr>
          <w:rFonts w:ascii="Arial" w:hAnsi="Arial" w:cs="Arial"/>
          <w:iCs/>
          <w:sz w:val="24"/>
          <w:szCs w:val="24"/>
          <w:u w:val="single"/>
        </w:rPr>
        <w:t>liberty and security of person</w:t>
      </w:r>
    </w:p>
    <w:p w14:paraId="08049D26" w14:textId="6E44DC71" w:rsidR="00967DC3" w:rsidRPr="00A85A27" w:rsidRDefault="00146A27" w:rsidP="00A85A27">
      <w:pPr>
        <w:rPr>
          <w:rFonts w:ascii="Arial" w:hAnsi="Arial" w:cs="Arial"/>
          <w:iCs/>
          <w:sz w:val="24"/>
          <w:szCs w:val="24"/>
          <w:u w:val="single"/>
        </w:rPr>
      </w:pPr>
      <w:r w:rsidRPr="00B53CE5">
        <w:rPr>
          <w:rFonts w:ascii="Arial" w:hAnsi="Arial" w:cs="Arial"/>
          <w:iCs/>
          <w:sz w:val="24"/>
          <w:szCs w:val="24"/>
        </w:rPr>
        <w:t>The right to security of person obliges government to take appropriate measures to protect individuals to foreseeable threats to life or bodily integrity from public authorities or private individuals.</w:t>
      </w:r>
      <w:r w:rsidRPr="00B53CE5">
        <w:rPr>
          <w:rStyle w:val="FootnoteReference"/>
          <w:rFonts w:ascii="Arial" w:hAnsi="Arial"/>
          <w:iCs/>
          <w:sz w:val="24"/>
          <w:szCs w:val="24"/>
        </w:rPr>
        <w:footnoteReference w:id="10"/>
      </w:r>
      <w:r>
        <w:rPr>
          <w:rFonts w:ascii="Arial" w:hAnsi="Arial" w:cs="Arial"/>
          <w:iCs/>
          <w:sz w:val="24"/>
          <w:szCs w:val="24"/>
        </w:rPr>
        <w:t xml:space="preserve"> </w:t>
      </w:r>
      <w:r w:rsidR="00A85A27" w:rsidRPr="00A85A27">
        <w:rPr>
          <w:rFonts w:ascii="Arial" w:hAnsi="Arial" w:cs="Arial"/>
          <w:iCs/>
          <w:sz w:val="24"/>
          <w:szCs w:val="24"/>
        </w:rPr>
        <w:t xml:space="preserve">The </w:t>
      </w:r>
      <w:r w:rsidR="00A85A27">
        <w:rPr>
          <w:rFonts w:ascii="Arial" w:hAnsi="Arial" w:cs="Arial"/>
          <w:iCs/>
          <w:sz w:val="24"/>
          <w:szCs w:val="24"/>
        </w:rPr>
        <w:t xml:space="preserve">provisions which </w:t>
      </w:r>
      <w:r w:rsidR="007B2337">
        <w:rPr>
          <w:rFonts w:ascii="Arial" w:hAnsi="Arial" w:cs="Arial"/>
          <w:iCs/>
          <w:sz w:val="24"/>
          <w:szCs w:val="24"/>
        </w:rPr>
        <w:t xml:space="preserve">enable </w:t>
      </w:r>
      <w:r w:rsidR="0027703B">
        <w:rPr>
          <w:rFonts w:ascii="Arial" w:hAnsi="Arial" w:cs="Arial"/>
          <w:iCs/>
          <w:sz w:val="24"/>
          <w:szCs w:val="24"/>
        </w:rPr>
        <w:t xml:space="preserve">gambling </w:t>
      </w:r>
      <w:r w:rsidR="00F74D41">
        <w:rPr>
          <w:rFonts w:ascii="Arial" w:hAnsi="Arial" w:cs="Arial"/>
          <w:iCs/>
          <w:sz w:val="24"/>
          <w:szCs w:val="24"/>
        </w:rPr>
        <w:t>self</w:t>
      </w:r>
      <w:r w:rsidR="0027703B">
        <w:rPr>
          <w:rFonts w:ascii="Arial" w:hAnsi="Arial" w:cs="Arial"/>
          <w:iCs/>
          <w:sz w:val="24"/>
          <w:szCs w:val="24"/>
        </w:rPr>
        <w:noBreakHyphen/>
      </w:r>
      <w:r w:rsidR="007B2337">
        <w:rPr>
          <w:rFonts w:ascii="Arial" w:hAnsi="Arial" w:cs="Arial"/>
          <w:iCs/>
          <w:sz w:val="24"/>
          <w:szCs w:val="24"/>
        </w:rPr>
        <w:t>exclusion (self-exclusion) or require exclusion</w:t>
      </w:r>
      <w:r w:rsidR="002327EA">
        <w:rPr>
          <w:rFonts w:ascii="Arial" w:hAnsi="Arial" w:cs="Arial"/>
          <w:iCs/>
          <w:sz w:val="24"/>
          <w:szCs w:val="24"/>
        </w:rPr>
        <w:t xml:space="preserve"> as an intervention to prevent harm </w:t>
      </w:r>
      <w:r w:rsidR="007B2337">
        <w:rPr>
          <w:rFonts w:ascii="Arial" w:hAnsi="Arial" w:cs="Arial"/>
          <w:iCs/>
          <w:sz w:val="24"/>
          <w:szCs w:val="24"/>
        </w:rPr>
        <w:t xml:space="preserve">(licensee exclusion) </w:t>
      </w:r>
      <w:r w:rsidR="00A85A27" w:rsidRPr="00A85A27">
        <w:rPr>
          <w:rFonts w:ascii="Arial" w:hAnsi="Arial" w:cs="Arial"/>
          <w:iCs/>
          <w:sz w:val="24"/>
          <w:szCs w:val="24"/>
        </w:rPr>
        <w:t xml:space="preserve">are important community safety measures that will likely promote the right to security of person as they will </w:t>
      </w:r>
      <w:r w:rsidR="00A85A27">
        <w:rPr>
          <w:rFonts w:ascii="Arial" w:hAnsi="Arial" w:cs="Arial"/>
          <w:iCs/>
          <w:sz w:val="24"/>
          <w:szCs w:val="24"/>
        </w:rPr>
        <w:t xml:space="preserve">help to reduce </w:t>
      </w:r>
      <w:r w:rsidR="00184BB0">
        <w:rPr>
          <w:rFonts w:ascii="Arial" w:hAnsi="Arial" w:cs="Arial"/>
          <w:iCs/>
          <w:sz w:val="24"/>
          <w:szCs w:val="24"/>
        </w:rPr>
        <w:t>the serious impacts of</w:t>
      </w:r>
      <w:r w:rsidR="00A85A27">
        <w:rPr>
          <w:rFonts w:ascii="Arial" w:hAnsi="Arial" w:cs="Arial"/>
          <w:iCs/>
          <w:sz w:val="24"/>
          <w:szCs w:val="24"/>
        </w:rPr>
        <w:t xml:space="preserve"> </w:t>
      </w:r>
      <w:r w:rsidR="002327EA">
        <w:rPr>
          <w:rFonts w:ascii="Arial" w:hAnsi="Arial" w:cs="Arial"/>
          <w:iCs/>
          <w:sz w:val="24"/>
          <w:szCs w:val="24"/>
        </w:rPr>
        <w:t xml:space="preserve">gambling harm </w:t>
      </w:r>
      <w:r w:rsidR="00A85A27" w:rsidRPr="00A85A27">
        <w:rPr>
          <w:rFonts w:ascii="Arial" w:hAnsi="Arial" w:cs="Arial"/>
          <w:iCs/>
          <w:sz w:val="24"/>
          <w:szCs w:val="24"/>
        </w:rPr>
        <w:t xml:space="preserve">in the community. </w:t>
      </w:r>
    </w:p>
    <w:p w14:paraId="54FE1438" w14:textId="29391C0A" w:rsidR="00E90DF9" w:rsidRPr="00BC3EF0" w:rsidRDefault="00E90DF9" w:rsidP="00593E49">
      <w:pPr>
        <w:spacing w:before="240"/>
        <w:rPr>
          <w:rFonts w:ascii="Arial" w:hAnsi="Arial" w:cs="Arial"/>
          <w:b/>
          <w:bCs/>
          <w:i/>
          <w:sz w:val="24"/>
          <w:szCs w:val="24"/>
        </w:rPr>
      </w:pPr>
      <w:r w:rsidRPr="00BC3EF0">
        <w:rPr>
          <w:rFonts w:ascii="Arial" w:hAnsi="Arial" w:cs="Arial"/>
          <w:b/>
          <w:bCs/>
          <w:i/>
          <w:sz w:val="24"/>
          <w:szCs w:val="24"/>
        </w:rPr>
        <w:t>Rights Limited</w:t>
      </w:r>
    </w:p>
    <w:p w14:paraId="21D0F7C1" w14:textId="77777777" w:rsidR="002C6AC7" w:rsidRPr="00B53CE5" w:rsidRDefault="002C6AC7" w:rsidP="002C6AC7">
      <w:pPr>
        <w:rPr>
          <w:rFonts w:ascii="Arial" w:hAnsi="Arial" w:cs="Arial"/>
          <w:sz w:val="24"/>
          <w:szCs w:val="24"/>
          <w:lang w:eastAsia="en-AU"/>
        </w:rPr>
      </w:pPr>
      <w:r w:rsidRPr="00B53CE5">
        <w:rPr>
          <w:rFonts w:ascii="Arial" w:hAnsi="Arial" w:cs="Arial"/>
          <w:sz w:val="24"/>
          <w:szCs w:val="24"/>
          <w:lang w:eastAsia="en-AU"/>
        </w:rPr>
        <w:t>The Bill engages and limits the following rights pursuant to the HRA:</w:t>
      </w:r>
    </w:p>
    <w:p w14:paraId="50AC3946" w14:textId="77777777" w:rsidR="005A129C" w:rsidRPr="00B53CE5" w:rsidRDefault="005A129C" w:rsidP="005A129C">
      <w:pPr>
        <w:pStyle w:val="ListParagraph"/>
        <w:numPr>
          <w:ilvl w:val="0"/>
          <w:numId w:val="3"/>
        </w:numPr>
        <w:rPr>
          <w:rFonts w:ascii="Arial" w:hAnsi="Arial" w:cs="Arial"/>
          <w:iCs/>
          <w:sz w:val="24"/>
          <w:szCs w:val="24"/>
        </w:rPr>
      </w:pPr>
      <w:r w:rsidRPr="00B53CE5">
        <w:rPr>
          <w:rFonts w:ascii="Arial" w:hAnsi="Arial" w:cs="Arial"/>
          <w:iCs/>
          <w:sz w:val="24"/>
          <w:szCs w:val="24"/>
        </w:rPr>
        <w:t>Section 8 – right to equality and non-discrimination</w:t>
      </w:r>
    </w:p>
    <w:p w14:paraId="0340F5C4" w14:textId="77777777" w:rsidR="000772F0" w:rsidRDefault="000772F0" w:rsidP="000772F0">
      <w:pPr>
        <w:pStyle w:val="ListParagraph"/>
        <w:numPr>
          <w:ilvl w:val="0"/>
          <w:numId w:val="3"/>
        </w:numPr>
        <w:rPr>
          <w:rFonts w:ascii="Arial" w:hAnsi="Arial" w:cs="Arial"/>
          <w:sz w:val="24"/>
          <w:szCs w:val="24"/>
        </w:rPr>
      </w:pPr>
      <w:r w:rsidRPr="00B53CE5">
        <w:rPr>
          <w:rFonts w:ascii="Arial" w:hAnsi="Arial" w:cs="Arial"/>
          <w:sz w:val="24"/>
          <w:szCs w:val="24"/>
        </w:rPr>
        <w:t xml:space="preserve">Section 12 – </w:t>
      </w:r>
      <w:r>
        <w:rPr>
          <w:rFonts w:ascii="Arial" w:hAnsi="Arial" w:cs="Arial"/>
          <w:sz w:val="24"/>
          <w:szCs w:val="24"/>
        </w:rPr>
        <w:t>r</w:t>
      </w:r>
      <w:r w:rsidRPr="00B53CE5">
        <w:rPr>
          <w:rFonts w:ascii="Arial" w:hAnsi="Arial" w:cs="Arial"/>
          <w:sz w:val="24"/>
          <w:szCs w:val="24"/>
        </w:rPr>
        <w:t xml:space="preserve">ight to privacy </w:t>
      </w:r>
    </w:p>
    <w:p w14:paraId="68BD71D1" w14:textId="32AF35DD" w:rsidR="002C6AC7" w:rsidRPr="00B53CE5" w:rsidRDefault="002C6AC7" w:rsidP="002C6AC7">
      <w:pPr>
        <w:pStyle w:val="ListParagraph"/>
        <w:numPr>
          <w:ilvl w:val="0"/>
          <w:numId w:val="3"/>
        </w:numPr>
        <w:rPr>
          <w:rFonts w:ascii="Arial" w:hAnsi="Arial" w:cs="Arial"/>
          <w:sz w:val="24"/>
          <w:szCs w:val="24"/>
        </w:rPr>
      </w:pPr>
      <w:r w:rsidRPr="00B53CE5">
        <w:rPr>
          <w:rFonts w:ascii="Arial" w:hAnsi="Arial" w:cs="Arial"/>
          <w:sz w:val="24"/>
          <w:szCs w:val="24"/>
        </w:rPr>
        <w:t xml:space="preserve">Section 13 – </w:t>
      </w:r>
      <w:r w:rsidR="00967DC3">
        <w:rPr>
          <w:rFonts w:ascii="Arial" w:hAnsi="Arial" w:cs="Arial"/>
          <w:sz w:val="24"/>
          <w:szCs w:val="24"/>
        </w:rPr>
        <w:t>r</w:t>
      </w:r>
      <w:r w:rsidRPr="00B53CE5">
        <w:rPr>
          <w:rFonts w:ascii="Arial" w:hAnsi="Arial" w:cs="Arial"/>
          <w:sz w:val="24"/>
          <w:szCs w:val="24"/>
        </w:rPr>
        <w:t>ight to freedom of movement</w:t>
      </w:r>
    </w:p>
    <w:p w14:paraId="52CC2D20" w14:textId="3FC11608" w:rsidR="009D01A9" w:rsidRDefault="009D01A9" w:rsidP="002C6AC7">
      <w:pPr>
        <w:pStyle w:val="ListParagraph"/>
        <w:numPr>
          <w:ilvl w:val="0"/>
          <w:numId w:val="3"/>
        </w:numPr>
        <w:rPr>
          <w:rFonts w:ascii="Arial" w:hAnsi="Arial" w:cs="Arial"/>
          <w:sz w:val="24"/>
          <w:szCs w:val="24"/>
        </w:rPr>
      </w:pPr>
      <w:r>
        <w:rPr>
          <w:rFonts w:ascii="Arial" w:hAnsi="Arial" w:cs="Arial"/>
          <w:sz w:val="24"/>
          <w:szCs w:val="24"/>
        </w:rPr>
        <w:t>Section 22 – rights in criminal proceedings</w:t>
      </w:r>
    </w:p>
    <w:p w14:paraId="3DB770AA" w14:textId="56DD986E" w:rsidR="004137E9" w:rsidRPr="00B53CE5" w:rsidRDefault="004137E9" w:rsidP="002C6AC7">
      <w:pPr>
        <w:pStyle w:val="ListParagraph"/>
        <w:numPr>
          <w:ilvl w:val="0"/>
          <w:numId w:val="3"/>
        </w:numPr>
        <w:rPr>
          <w:rFonts w:ascii="Arial" w:hAnsi="Arial" w:cs="Arial"/>
          <w:sz w:val="24"/>
          <w:szCs w:val="24"/>
        </w:rPr>
      </w:pPr>
      <w:r>
        <w:rPr>
          <w:rFonts w:ascii="Arial" w:hAnsi="Arial" w:cs="Arial"/>
          <w:sz w:val="24"/>
          <w:szCs w:val="24"/>
        </w:rPr>
        <w:t xml:space="preserve">Section 27B – right to work </w:t>
      </w:r>
    </w:p>
    <w:p w14:paraId="773E41A7" w14:textId="77777777" w:rsidR="00967DC3" w:rsidRDefault="00967DC3" w:rsidP="00593E49">
      <w:pPr>
        <w:spacing w:after="0"/>
        <w:rPr>
          <w:rFonts w:ascii="Arial" w:hAnsi="Arial" w:cs="Arial"/>
          <w:sz w:val="24"/>
          <w:szCs w:val="24"/>
          <w:lang w:eastAsia="en-AU"/>
        </w:rPr>
      </w:pPr>
    </w:p>
    <w:p w14:paraId="1A89AC02" w14:textId="4CFF3FC5" w:rsidR="00BB2670" w:rsidRPr="000D192F" w:rsidRDefault="00BB2670" w:rsidP="00BB2670">
      <w:pPr>
        <w:rPr>
          <w:rFonts w:ascii="Arial" w:hAnsi="Arial" w:cs="Arial"/>
          <w:sz w:val="24"/>
          <w:szCs w:val="24"/>
          <w:lang w:eastAsia="en-AU"/>
        </w:rPr>
      </w:pPr>
      <w:r w:rsidRPr="000D192F">
        <w:rPr>
          <w:rFonts w:ascii="Arial" w:hAnsi="Arial" w:cs="Arial"/>
          <w:sz w:val="24"/>
          <w:szCs w:val="24"/>
          <w:lang w:eastAsia="en-AU"/>
        </w:rPr>
        <w:t xml:space="preserve">The preamble to the HRA notes that few rights are absolute and that they may be subject to reasonable limits in law that can be demonstrably justified in a free and democratic society. </w:t>
      </w:r>
    </w:p>
    <w:p w14:paraId="6BFFFC9B" w14:textId="4701951F" w:rsidR="007C082F" w:rsidRDefault="00BB2670" w:rsidP="00BB2670">
      <w:pPr>
        <w:rPr>
          <w:rFonts w:ascii="Arial" w:hAnsi="Arial" w:cs="Arial"/>
          <w:sz w:val="24"/>
          <w:szCs w:val="24"/>
          <w:lang w:eastAsia="en-AU"/>
        </w:rPr>
      </w:pPr>
      <w:r w:rsidRPr="000D192F">
        <w:rPr>
          <w:rFonts w:ascii="Arial" w:hAnsi="Arial" w:cs="Arial"/>
          <w:sz w:val="24"/>
          <w:szCs w:val="24"/>
          <w:lang w:eastAsia="en-AU"/>
        </w:rPr>
        <w:t xml:space="preserve">Section 28 (2) of the HRA contains the framework that is used to determine the acceptable limitations that may be placed on human rights. Section 28 of the HRA requires that any limitation on a human right be authorised by a Territory law, be based on evidence, and be reasonable to achieve a legitimate aim. Whether a limitation is reasonable depends on whether it is proportionate. </w:t>
      </w:r>
    </w:p>
    <w:p w14:paraId="55CB4063" w14:textId="43FF38F8" w:rsidR="00C77969" w:rsidRPr="008B5305" w:rsidRDefault="00C77969" w:rsidP="00C77969">
      <w:pPr>
        <w:rPr>
          <w:rFonts w:ascii="Arial" w:hAnsi="Arial" w:cs="Arial"/>
          <w:iCs/>
          <w:sz w:val="24"/>
          <w:szCs w:val="24"/>
          <w:u w:val="single"/>
        </w:rPr>
      </w:pPr>
      <w:r>
        <w:rPr>
          <w:rFonts w:ascii="Arial" w:hAnsi="Arial" w:cs="Arial"/>
          <w:iCs/>
          <w:sz w:val="24"/>
          <w:szCs w:val="24"/>
          <w:u w:val="single"/>
        </w:rPr>
        <w:lastRenderedPageBreak/>
        <w:t>Section 8</w:t>
      </w:r>
      <w:r w:rsidRPr="008B5305">
        <w:rPr>
          <w:rFonts w:ascii="Arial" w:hAnsi="Arial" w:cs="Arial"/>
          <w:iCs/>
          <w:sz w:val="24"/>
          <w:szCs w:val="24"/>
          <w:u w:val="single"/>
        </w:rPr>
        <w:t xml:space="preserve"> – right to</w:t>
      </w:r>
      <w:r>
        <w:rPr>
          <w:rFonts w:ascii="Arial" w:hAnsi="Arial" w:cs="Arial"/>
          <w:iCs/>
          <w:sz w:val="24"/>
          <w:szCs w:val="24"/>
          <w:u w:val="single"/>
        </w:rPr>
        <w:t xml:space="preserve"> recognition and equality before the law </w:t>
      </w:r>
      <w:r w:rsidRPr="008B5305">
        <w:rPr>
          <w:rFonts w:ascii="Arial" w:hAnsi="Arial" w:cs="Arial"/>
          <w:iCs/>
          <w:sz w:val="24"/>
          <w:szCs w:val="24"/>
          <w:u w:val="single"/>
        </w:rPr>
        <w:t xml:space="preserve"> </w:t>
      </w:r>
    </w:p>
    <w:p w14:paraId="7172041B" w14:textId="77777777" w:rsidR="00C77969" w:rsidRPr="00414921" w:rsidRDefault="00C77969" w:rsidP="00593E49">
      <w:pPr>
        <w:pStyle w:val="ListParagraph"/>
        <w:numPr>
          <w:ilvl w:val="0"/>
          <w:numId w:val="1"/>
        </w:numPr>
        <w:spacing w:after="120"/>
        <w:ind w:left="357" w:hanging="357"/>
        <w:rPr>
          <w:rFonts w:ascii="Arial" w:hAnsi="Arial" w:cs="Arial"/>
          <w:b/>
          <w:bCs/>
          <w:i/>
          <w:sz w:val="24"/>
          <w:szCs w:val="24"/>
        </w:rPr>
      </w:pPr>
      <w:r w:rsidRPr="00414921">
        <w:rPr>
          <w:rFonts w:ascii="Arial" w:hAnsi="Arial" w:cs="Arial"/>
          <w:b/>
          <w:bCs/>
          <w:i/>
          <w:sz w:val="24"/>
          <w:szCs w:val="24"/>
        </w:rPr>
        <w:t>Nature of the right and the limitation (s28</w:t>
      </w:r>
      <w:r>
        <w:rPr>
          <w:rFonts w:ascii="Arial" w:hAnsi="Arial" w:cs="Arial"/>
          <w:b/>
          <w:bCs/>
          <w:i/>
          <w:sz w:val="24"/>
          <w:szCs w:val="24"/>
        </w:rPr>
        <w:t>(2)</w:t>
      </w:r>
      <w:r w:rsidRPr="00414921">
        <w:rPr>
          <w:rFonts w:ascii="Arial" w:hAnsi="Arial" w:cs="Arial"/>
          <w:b/>
          <w:bCs/>
          <w:i/>
          <w:sz w:val="24"/>
          <w:szCs w:val="24"/>
        </w:rPr>
        <w:t>(a) and</w:t>
      </w:r>
      <w:r>
        <w:rPr>
          <w:rFonts w:ascii="Arial" w:hAnsi="Arial" w:cs="Arial"/>
          <w:b/>
          <w:bCs/>
          <w:i/>
          <w:sz w:val="24"/>
          <w:szCs w:val="24"/>
        </w:rPr>
        <w:t xml:space="preserve"> </w:t>
      </w:r>
      <w:r w:rsidRPr="00414921">
        <w:rPr>
          <w:rFonts w:ascii="Arial" w:hAnsi="Arial" w:cs="Arial"/>
          <w:b/>
          <w:bCs/>
          <w:i/>
          <w:sz w:val="24"/>
          <w:szCs w:val="24"/>
        </w:rPr>
        <w:t>(c))</w:t>
      </w:r>
    </w:p>
    <w:p w14:paraId="6E61850D" w14:textId="54158816" w:rsidR="00C77969" w:rsidRPr="005A129C" w:rsidRDefault="00C77969" w:rsidP="00E90DF9">
      <w:pPr>
        <w:rPr>
          <w:rFonts w:ascii="Arial" w:hAnsi="Arial" w:cs="Arial"/>
          <w:iCs/>
          <w:sz w:val="24"/>
          <w:szCs w:val="24"/>
        </w:rPr>
      </w:pPr>
      <w:r w:rsidRPr="005A129C">
        <w:rPr>
          <w:rFonts w:ascii="Arial" w:hAnsi="Arial" w:cs="Arial"/>
          <w:iCs/>
          <w:sz w:val="24"/>
          <w:szCs w:val="24"/>
        </w:rPr>
        <w:t xml:space="preserve">Under section 8 of the HRA, everyone has the right to enjoy their human rights without distinction or discrimination of any kind. </w:t>
      </w:r>
      <w:r w:rsidR="0045196D" w:rsidRPr="005A129C">
        <w:rPr>
          <w:rFonts w:ascii="Arial" w:hAnsi="Arial" w:cs="Arial"/>
          <w:iCs/>
          <w:sz w:val="24"/>
          <w:szCs w:val="24"/>
        </w:rPr>
        <w:t>Everyone also has the right to equal</w:t>
      </w:r>
      <w:r w:rsidR="002344D7" w:rsidRPr="005A129C">
        <w:rPr>
          <w:rFonts w:ascii="Arial" w:hAnsi="Arial" w:cs="Arial"/>
          <w:iCs/>
          <w:sz w:val="24"/>
          <w:szCs w:val="24"/>
        </w:rPr>
        <w:t xml:space="preserve"> protection of the law without discrimination.</w:t>
      </w:r>
      <w:r w:rsidR="0045196D" w:rsidRPr="005A129C">
        <w:rPr>
          <w:rFonts w:ascii="Arial" w:hAnsi="Arial" w:cs="Arial"/>
          <w:iCs/>
          <w:sz w:val="24"/>
          <w:szCs w:val="24"/>
        </w:rPr>
        <w:t xml:space="preserve"> </w:t>
      </w:r>
    </w:p>
    <w:p w14:paraId="765E8D20" w14:textId="0E3A64CC" w:rsidR="00C97A70" w:rsidRPr="00A80BAE" w:rsidRDefault="00C97A70" w:rsidP="00E90DF9">
      <w:pPr>
        <w:rPr>
          <w:rFonts w:ascii="Arial" w:hAnsi="Arial" w:cs="Arial"/>
          <w:iCs/>
          <w:sz w:val="24"/>
          <w:szCs w:val="24"/>
        </w:rPr>
      </w:pPr>
      <w:r w:rsidRPr="00A80BAE">
        <w:rPr>
          <w:rFonts w:ascii="Arial" w:hAnsi="Arial" w:cs="Arial"/>
          <w:iCs/>
          <w:sz w:val="24"/>
          <w:szCs w:val="24"/>
        </w:rPr>
        <w:t>The Bill may engage and limit the right to equality and non-discrimination through section 17C which defines ‘risk of gambling harm,’ Division 3.3 which provides for the monitoring and reduction of risk of gambling harm, and section 19J which empowers licensees to give people a notice of gambling exclusion if there is a risk of gambling harm. Section 17C includes subjective elements that present as a sign of gambling harm risk (such as a decline in personal appearance and heightened emotion) which limit the right to equality as they may have a discriminatory impact on some individuals. </w:t>
      </w:r>
    </w:p>
    <w:p w14:paraId="1737F5C5" w14:textId="62C9C838" w:rsidR="00665812" w:rsidRPr="00362096" w:rsidRDefault="00665812" w:rsidP="00593E49">
      <w:pPr>
        <w:pStyle w:val="ListParagraph"/>
        <w:numPr>
          <w:ilvl w:val="0"/>
          <w:numId w:val="1"/>
        </w:numPr>
        <w:spacing w:after="120"/>
        <w:ind w:left="357" w:hanging="357"/>
        <w:rPr>
          <w:rFonts w:ascii="Arial" w:hAnsi="Arial" w:cs="Arial"/>
          <w:i/>
          <w:sz w:val="24"/>
          <w:szCs w:val="24"/>
        </w:rPr>
      </w:pPr>
      <w:r w:rsidRPr="001B493E">
        <w:rPr>
          <w:rFonts w:ascii="Arial" w:hAnsi="Arial" w:cs="Arial"/>
          <w:b/>
          <w:bCs/>
          <w:i/>
          <w:sz w:val="24"/>
          <w:szCs w:val="24"/>
        </w:rPr>
        <w:t xml:space="preserve">Legitimate purpose </w:t>
      </w:r>
      <w:r w:rsidRPr="00414921">
        <w:rPr>
          <w:rFonts w:ascii="Arial" w:hAnsi="Arial" w:cs="Arial"/>
          <w:b/>
          <w:bCs/>
          <w:i/>
          <w:sz w:val="24"/>
          <w:szCs w:val="24"/>
        </w:rPr>
        <w:t>(s28</w:t>
      </w:r>
      <w:r w:rsidR="00162EA4">
        <w:rPr>
          <w:rFonts w:ascii="Arial" w:hAnsi="Arial" w:cs="Arial"/>
          <w:b/>
          <w:bCs/>
          <w:i/>
          <w:sz w:val="24"/>
          <w:szCs w:val="24"/>
        </w:rPr>
        <w:t>(2)</w:t>
      </w:r>
      <w:r w:rsidRPr="00414921">
        <w:rPr>
          <w:rFonts w:ascii="Arial" w:hAnsi="Arial" w:cs="Arial"/>
          <w:b/>
          <w:bCs/>
          <w:i/>
          <w:sz w:val="24"/>
          <w:szCs w:val="24"/>
        </w:rPr>
        <w:t>(b))</w:t>
      </w:r>
    </w:p>
    <w:p w14:paraId="4C357FA4" w14:textId="3996FAE4" w:rsidR="00665812" w:rsidRPr="00C462DB" w:rsidRDefault="00436005" w:rsidP="00C462DB">
      <w:pPr>
        <w:rPr>
          <w:rFonts w:ascii="Arial" w:hAnsi="Arial" w:cs="Arial"/>
          <w:sz w:val="24"/>
          <w:szCs w:val="24"/>
        </w:rPr>
      </w:pPr>
      <w:r>
        <w:rPr>
          <w:rFonts w:ascii="Arial" w:hAnsi="Arial" w:cs="Arial"/>
          <w:iCs/>
          <w:sz w:val="24"/>
          <w:szCs w:val="24"/>
        </w:rPr>
        <w:t xml:space="preserve">The legitimate purpose pursued is preventing and responding to gambling harm among individuals experiencing this or at risk of experiencing this. </w:t>
      </w:r>
    </w:p>
    <w:p w14:paraId="3B6E9164" w14:textId="0E340E67" w:rsidR="00665812" w:rsidRPr="001B493E" w:rsidRDefault="00665812" w:rsidP="00593E49">
      <w:pPr>
        <w:pStyle w:val="ListParagraph"/>
        <w:keepNext/>
        <w:numPr>
          <w:ilvl w:val="0"/>
          <w:numId w:val="1"/>
        </w:numPr>
        <w:spacing w:after="120"/>
        <w:ind w:left="357" w:hanging="357"/>
        <w:rPr>
          <w:rFonts w:ascii="Arial" w:hAnsi="Arial" w:cs="Arial"/>
          <w:b/>
          <w:bCs/>
          <w:i/>
          <w:sz w:val="24"/>
          <w:szCs w:val="24"/>
        </w:rPr>
      </w:pPr>
      <w:r w:rsidRPr="001B493E">
        <w:rPr>
          <w:rFonts w:ascii="Arial" w:hAnsi="Arial" w:cs="Arial"/>
          <w:b/>
          <w:bCs/>
          <w:i/>
          <w:sz w:val="24"/>
          <w:szCs w:val="24"/>
        </w:rPr>
        <w:t>Rational connection between the limitation and the purpose (s28</w:t>
      </w:r>
      <w:r w:rsidR="00BC35DF">
        <w:rPr>
          <w:rFonts w:ascii="Arial" w:hAnsi="Arial" w:cs="Arial"/>
          <w:b/>
          <w:bCs/>
          <w:i/>
          <w:sz w:val="24"/>
          <w:szCs w:val="24"/>
        </w:rPr>
        <w:t>(2)</w:t>
      </w:r>
      <w:r w:rsidRPr="001B493E">
        <w:rPr>
          <w:rFonts w:ascii="Arial" w:hAnsi="Arial" w:cs="Arial"/>
          <w:b/>
          <w:bCs/>
          <w:i/>
          <w:sz w:val="24"/>
          <w:szCs w:val="24"/>
        </w:rPr>
        <w:t>(d))</w:t>
      </w:r>
    </w:p>
    <w:p w14:paraId="15B1A1DA" w14:textId="38B4F99B" w:rsidR="00665812" w:rsidRPr="00C462DB" w:rsidRDefault="00BE03FE" w:rsidP="00C462DB">
      <w:pPr>
        <w:rPr>
          <w:rFonts w:ascii="Arial" w:hAnsi="Arial" w:cs="Arial"/>
          <w:sz w:val="24"/>
          <w:szCs w:val="24"/>
        </w:rPr>
      </w:pPr>
      <w:r>
        <w:rPr>
          <w:rFonts w:ascii="Arial" w:hAnsi="Arial" w:cs="Arial"/>
          <w:iCs/>
          <w:sz w:val="24"/>
          <w:szCs w:val="24"/>
        </w:rPr>
        <w:t xml:space="preserve">Preventing someone from gambling, and from accessing a gambling area, is highly effective in preventing gambling harm because it removes the cause of harm. </w:t>
      </w:r>
    </w:p>
    <w:p w14:paraId="5A9AD4B4" w14:textId="11889C0B" w:rsidR="00665812" w:rsidRDefault="00665812" w:rsidP="00593E49">
      <w:pPr>
        <w:pStyle w:val="ListParagraph"/>
        <w:numPr>
          <w:ilvl w:val="0"/>
          <w:numId w:val="1"/>
        </w:numPr>
        <w:spacing w:after="120"/>
        <w:ind w:left="357" w:hanging="357"/>
        <w:rPr>
          <w:rFonts w:ascii="Arial" w:hAnsi="Arial" w:cs="Arial"/>
          <w:b/>
          <w:bCs/>
          <w:i/>
          <w:sz w:val="24"/>
          <w:szCs w:val="24"/>
        </w:rPr>
      </w:pPr>
      <w:r w:rsidRPr="00414921">
        <w:rPr>
          <w:rFonts w:ascii="Arial" w:hAnsi="Arial" w:cs="Arial"/>
          <w:b/>
          <w:bCs/>
          <w:i/>
          <w:sz w:val="24"/>
          <w:szCs w:val="24"/>
        </w:rPr>
        <w:t>Proportionality (s28</w:t>
      </w:r>
      <w:r w:rsidR="00BC35DF">
        <w:rPr>
          <w:rFonts w:ascii="Arial" w:hAnsi="Arial" w:cs="Arial"/>
          <w:b/>
          <w:bCs/>
          <w:i/>
          <w:sz w:val="24"/>
          <w:szCs w:val="24"/>
        </w:rPr>
        <w:t>(2)</w:t>
      </w:r>
      <w:r w:rsidRPr="00414921">
        <w:rPr>
          <w:rFonts w:ascii="Arial" w:hAnsi="Arial" w:cs="Arial"/>
          <w:b/>
          <w:bCs/>
          <w:i/>
          <w:sz w:val="24"/>
          <w:szCs w:val="24"/>
        </w:rPr>
        <w:t>(e))</w:t>
      </w:r>
    </w:p>
    <w:p w14:paraId="52EDBF8D" w14:textId="14459F28" w:rsidR="001F6019" w:rsidRPr="00A80BAE" w:rsidRDefault="001F6019" w:rsidP="00E90DF9">
      <w:pPr>
        <w:rPr>
          <w:rFonts w:ascii="Arial" w:hAnsi="Arial" w:cs="Arial"/>
          <w:iCs/>
          <w:sz w:val="24"/>
          <w:szCs w:val="24"/>
        </w:rPr>
      </w:pPr>
      <w:r w:rsidRPr="00A80BAE">
        <w:rPr>
          <w:rFonts w:ascii="Arial" w:hAnsi="Arial" w:cs="Arial"/>
          <w:iCs/>
          <w:sz w:val="24"/>
          <w:szCs w:val="24"/>
        </w:rPr>
        <w:t xml:space="preserve">The limitation on the right to equality and non-discrimination is considered proportionate as an exclusion notice will only be initiated if </w:t>
      </w:r>
      <w:r w:rsidR="00A80BAE">
        <w:rPr>
          <w:rFonts w:ascii="Arial" w:hAnsi="Arial" w:cs="Arial"/>
          <w:iCs/>
          <w:sz w:val="24"/>
          <w:szCs w:val="24"/>
        </w:rPr>
        <w:t>a</w:t>
      </w:r>
      <w:r w:rsidRPr="00A80BAE">
        <w:rPr>
          <w:rFonts w:ascii="Arial" w:hAnsi="Arial" w:cs="Arial"/>
          <w:iCs/>
          <w:sz w:val="24"/>
          <w:szCs w:val="24"/>
        </w:rPr>
        <w:t> licensee considers there is risk of harm to the individual pursuant to section 17C. The Commission must also review licensee exclusion notices and may refuse to make an exclusion determination if not satisfied as to the matters the licensee raises in their notice, providing a level of</w:t>
      </w:r>
      <w:r w:rsidR="00E11260" w:rsidRPr="00A80BAE">
        <w:rPr>
          <w:rFonts w:ascii="Arial" w:hAnsi="Arial" w:cs="Arial"/>
          <w:iCs/>
          <w:sz w:val="24"/>
          <w:szCs w:val="24"/>
        </w:rPr>
        <w:t xml:space="preserve"> </w:t>
      </w:r>
      <w:r w:rsidRPr="00A80BAE">
        <w:rPr>
          <w:rFonts w:ascii="Arial" w:hAnsi="Arial" w:cs="Arial"/>
          <w:iCs/>
          <w:sz w:val="24"/>
          <w:szCs w:val="24"/>
        </w:rPr>
        <w:t>oversight of these decisions.  </w:t>
      </w:r>
    </w:p>
    <w:p w14:paraId="7AA5A48A" w14:textId="4475AC55" w:rsidR="009D01A9" w:rsidRPr="005A129C" w:rsidRDefault="004F4DE9" w:rsidP="00E90DF9">
      <w:pPr>
        <w:rPr>
          <w:rFonts w:ascii="Arial" w:hAnsi="Arial" w:cs="Arial"/>
          <w:iCs/>
          <w:sz w:val="24"/>
          <w:szCs w:val="24"/>
        </w:rPr>
      </w:pPr>
      <w:r w:rsidRPr="00F37EB9">
        <w:rPr>
          <w:rFonts w:ascii="Arial" w:hAnsi="Arial" w:cs="Arial"/>
          <w:iCs/>
          <w:sz w:val="24"/>
          <w:szCs w:val="24"/>
        </w:rPr>
        <w:t xml:space="preserve">The Bill also includes provisions enabling </w:t>
      </w:r>
      <w:r w:rsidR="005D1F7A" w:rsidRPr="00F37EB9">
        <w:rPr>
          <w:rFonts w:ascii="Arial" w:hAnsi="Arial" w:cs="Arial"/>
          <w:iCs/>
          <w:sz w:val="24"/>
          <w:szCs w:val="24"/>
        </w:rPr>
        <w:t>individuals</w:t>
      </w:r>
      <w:r w:rsidRPr="00F37EB9">
        <w:rPr>
          <w:rFonts w:ascii="Arial" w:hAnsi="Arial" w:cs="Arial"/>
          <w:iCs/>
          <w:sz w:val="24"/>
          <w:szCs w:val="24"/>
        </w:rPr>
        <w:t xml:space="preserve"> to revoke their self-exclusion at their own choice and to seek review of licensee exclusion (first by the Commission and then </w:t>
      </w:r>
      <w:r w:rsidR="005D1F7A" w:rsidRPr="00F37EB9">
        <w:rPr>
          <w:rFonts w:ascii="Arial" w:hAnsi="Arial" w:cs="Arial"/>
          <w:iCs/>
          <w:sz w:val="24"/>
          <w:szCs w:val="24"/>
        </w:rPr>
        <w:t xml:space="preserve">at ACAT). </w:t>
      </w:r>
    </w:p>
    <w:p w14:paraId="3CDF61F7" w14:textId="77777777" w:rsidR="000772F0" w:rsidRDefault="000772F0" w:rsidP="000772F0">
      <w:pPr>
        <w:keepNext/>
        <w:rPr>
          <w:rFonts w:ascii="Arial" w:hAnsi="Arial" w:cs="Arial"/>
          <w:iCs/>
          <w:sz w:val="24"/>
          <w:szCs w:val="24"/>
          <w:u w:val="single"/>
        </w:rPr>
      </w:pPr>
      <w:r>
        <w:rPr>
          <w:rFonts w:ascii="Arial" w:hAnsi="Arial" w:cs="Arial"/>
          <w:iCs/>
          <w:sz w:val="24"/>
          <w:szCs w:val="24"/>
          <w:u w:val="single"/>
        </w:rPr>
        <w:t>Section 12</w:t>
      </w:r>
      <w:r w:rsidRPr="008B5305">
        <w:rPr>
          <w:rFonts w:ascii="Arial" w:hAnsi="Arial" w:cs="Arial"/>
          <w:iCs/>
          <w:sz w:val="24"/>
          <w:szCs w:val="24"/>
          <w:u w:val="single"/>
        </w:rPr>
        <w:t xml:space="preserve"> – right to </w:t>
      </w:r>
      <w:r>
        <w:rPr>
          <w:rFonts w:ascii="Arial" w:hAnsi="Arial" w:cs="Arial"/>
          <w:iCs/>
          <w:sz w:val="24"/>
          <w:szCs w:val="24"/>
          <w:u w:val="single"/>
        </w:rPr>
        <w:t xml:space="preserve">privacy and reputation </w:t>
      </w:r>
    </w:p>
    <w:p w14:paraId="60BE0E48" w14:textId="077D6DF1" w:rsidR="000772F0" w:rsidRPr="00414921" w:rsidRDefault="000772F0" w:rsidP="00593E49">
      <w:pPr>
        <w:pStyle w:val="ListParagraph"/>
        <w:keepNext/>
        <w:numPr>
          <w:ilvl w:val="0"/>
          <w:numId w:val="5"/>
        </w:numPr>
        <w:spacing w:after="120"/>
        <w:ind w:left="357" w:hanging="357"/>
        <w:rPr>
          <w:rFonts w:ascii="Arial" w:hAnsi="Arial" w:cs="Arial"/>
          <w:b/>
          <w:bCs/>
          <w:i/>
          <w:sz w:val="24"/>
          <w:szCs w:val="24"/>
        </w:rPr>
      </w:pPr>
      <w:r w:rsidRPr="00414921">
        <w:rPr>
          <w:rFonts w:ascii="Arial" w:hAnsi="Arial" w:cs="Arial"/>
          <w:b/>
          <w:bCs/>
          <w:i/>
          <w:sz w:val="24"/>
          <w:szCs w:val="24"/>
        </w:rPr>
        <w:t>Nature of the right and the limitation (s28(</w:t>
      </w:r>
      <w:r w:rsidR="003F4BA1">
        <w:rPr>
          <w:rFonts w:ascii="Arial" w:hAnsi="Arial" w:cs="Arial"/>
          <w:b/>
          <w:bCs/>
          <w:i/>
          <w:sz w:val="24"/>
          <w:szCs w:val="24"/>
        </w:rPr>
        <w:t>2)</w:t>
      </w:r>
      <w:r w:rsidRPr="00414921">
        <w:rPr>
          <w:rFonts w:ascii="Arial" w:hAnsi="Arial" w:cs="Arial"/>
          <w:b/>
          <w:bCs/>
          <w:i/>
          <w:sz w:val="24"/>
          <w:szCs w:val="24"/>
        </w:rPr>
        <w:t>(a) and</w:t>
      </w:r>
      <w:r>
        <w:rPr>
          <w:rFonts w:ascii="Arial" w:hAnsi="Arial" w:cs="Arial"/>
          <w:b/>
          <w:bCs/>
          <w:i/>
          <w:sz w:val="24"/>
          <w:szCs w:val="24"/>
        </w:rPr>
        <w:t xml:space="preserve"> </w:t>
      </w:r>
      <w:r w:rsidRPr="00414921">
        <w:rPr>
          <w:rFonts w:ascii="Arial" w:hAnsi="Arial" w:cs="Arial"/>
          <w:b/>
          <w:bCs/>
          <w:i/>
          <w:sz w:val="24"/>
          <w:szCs w:val="24"/>
        </w:rPr>
        <w:t>(c))</w:t>
      </w:r>
    </w:p>
    <w:p w14:paraId="7636B9EB" w14:textId="77777777" w:rsidR="000772F0" w:rsidRPr="00A076C0" w:rsidRDefault="000772F0" w:rsidP="000772F0">
      <w:pPr>
        <w:rPr>
          <w:rFonts w:ascii="Arial" w:hAnsi="Arial" w:cs="Arial"/>
          <w:iCs/>
          <w:sz w:val="24"/>
          <w:szCs w:val="24"/>
        </w:rPr>
      </w:pPr>
      <w:r w:rsidRPr="00A076C0">
        <w:rPr>
          <w:rFonts w:ascii="Arial" w:hAnsi="Arial" w:cs="Arial"/>
          <w:iCs/>
          <w:sz w:val="24"/>
          <w:szCs w:val="24"/>
        </w:rPr>
        <w:t xml:space="preserve">Under section 12 of the HRA, everyone has the right to not have their privacy, family, home or correspondence interfered with unlawfully or arbitrarily and not to have their reputation unlawfully attacked. </w:t>
      </w:r>
    </w:p>
    <w:p w14:paraId="2C875D70" w14:textId="0941BAEE" w:rsidR="000772F0" w:rsidRDefault="000772F0" w:rsidP="000772F0">
      <w:pPr>
        <w:rPr>
          <w:rFonts w:ascii="Arial" w:hAnsi="Arial" w:cs="Arial"/>
          <w:iCs/>
          <w:sz w:val="24"/>
          <w:szCs w:val="24"/>
        </w:rPr>
      </w:pPr>
      <w:r w:rsidRPr="00A076C0">
        <w:rPr>
          <w:rFonts w:ascii="Arial" w:hAnsi="Arial" w:cs="Arial"/>
          <w:iCs/>
          <w:sz w:val="24"/>
          <w:szCs w:val="24"/>
        </w:rPr>
        <w:t xml:space="preserve">This right is engaged and limited by a range of provisions included in the Bill which create new statutory duties and powers to record, store, access and share personal information between parties about individuals who </w:t>
      </w:r>
      <w:r>
        <w:rPr>
          <w:rFonts w:ascii="Arial" w:hAnsi="Arial" w:cs="Arial"/>
          <w:iCs/>
          <w:sz w:val="24"/>
          <w:szCs w:val="24"/>
        </w:rPr>
        <w:t>are</w:t>
      </w:r>
      <w:r w:rsidRPr="00A076C0">
        <w:rPr>
          <w:rFonts w:ascii="Arial" w:hAnsi="Arial" w:cs="Arial"/>
          <w:iCs/>
          <w:sz w:val="24"/>
          <w:szCs w:val="24"/>
        </w:rPr>
        <w:t xml:space="preserve"> at risk of gambling harm (for </w:t>
      </w:r>
      <w:r w:rsidRPr="00A076C0">
        <w:rPr>
          <w:rFonts w:ascii="Arial" w:hAnsi="Arial" w:cs="Arial"/>
          <w:iCs/>
          <w:sz w:val="24"/>
          <w:szCs w:val="24"/>
        </w:rPr>
        <w:lastRenderedPageBreak/>
        <w:t>example, sections 19</w:t>
      </w:r>
      <w:r w:rsidR="009B69F6">
        <w:rPr>
          <w:rFonts w:ascii="Arial" w:hAnsi="Arial" w:cs="Arial"/>
          <w:iCs/>
          <w:sz w:val="24"/>
          <w:szCs w:val="24"/>
        </w:rPr>
        <w:t>C</w:t>
      </w:r>
      <w:r w:rsidRPr="00A076C0">
        <w:rPr>
          <w:rFonts w:ascii="Arial" w:hAnsi="Arial" w:cs="Arial"/>
          <w:iCs/>
          <w:sz w:val="24"/>
          <w:szCs w:val="24"/>
        </w:rPr>
        <w:t>, 19</w:t>
      </w:r>
      <w:r w:rsidR="00255BCD">
        <w:rPr>
          <w:rFonts w:ascii="Arial" w:hAnsi="Arial" w:cs="Arial"/>
          <w:iCs/>
          <w:sz w:val="24"/>
          <w:szCs w:val="24"/>
        </w:rPr>
        <w:t xml:space="preserve">D, </w:t>
      </w:r>
      <w:r w:rsidRPr="00A076C0">
        <w:rPr>
          <w:rFonts w:ascii="Arial" w:hAnsi="Arial" w:cs="Arial"/>
          <w:iCs/>
          <w:sz w:val="24"/>
          <w:szCs w:val="24"/>
        </w:rPr>
        <w:t>19</w:t>
      </w:r>
      <w:r w:rsidR="00255BCD">
        <w:rPr>
          <w:rFonts w:ascii="Arial" w:hAnsi="Arial" w:cs="Arial"/>
          <w:iCs/>
          <w:sz w:val="24"/>
          <w:szCs w:val="24"/>
        </w:rPr>
        <w:t>E and 19F</w:t>
      </w:r>
      <w:r w:rsidRPr="00A076C0">
        <w:rPr>
          <w:rFonts w:ascii="Arial" w:hAnsi="Arial" w:cs="Arial"/>
          <w:iCs/>
          <w:sz w:val="24"/>
          <w:szCs w:val="24"/>
        </w:rPr>
        <w:t xml:space="preserve">). Information collected, stored, and shared includes instances of </w:t>
      </w:r>
      <w:r>
        <w:rPr>
          <w:rFonts w:ascii="Arial" w:hAnsi="Arial" w:cs="Arial"/>
          <w:iCs/>
          <w:sz w:val="24"/>
          <w:szCs w:val="24"/>
        </w:rPr>
        <w:t>risk</w:t>
      </w:r>
      <w:r w:rsidRPr="00A076C0">
        <w:rPr>
          <w:rFonts w:ascii="Arial" w:hAnsi="Arial" w:cs="Arial"/>
          <w:iCs/>
          <w:sz w:val="24"/>
          <w:szCs w:val="24"/>
        </w:rPr>
        <w:t xml:space="preserve"> </w:t>
      </w:r>
      <w:r>
        <w:rPr>
          <w:rFonts w:ascii="Arial" w:hAnsi="Arial" w:cs="Arial"/>
          <w:iCs/>
          <w:sz w:val="24"/>
          <w:szCs w:val="24"/>
        </w:rPr>
        <w:t>of</w:t>
      </w:r>
      <w:r w:rsidRPr="00A076C0">
        <w:rPr>
          <w:rFonts w:ascii="Arial" w:hAnsi="Arial" w:cs="Arial"/>
          <w:iCs/>
          <w:sz w:val="24"/>
          <w:szCs w:val="24"/>
        </w:rPr>
        <w:t xml:space="preserve"> gambling harm relating to a person, the person’s identifying details such as name, date of birth, contact details or sufficient details to identify the person, actions a licensee has taken in relation to gambling harm risk, </w:t>
      </w:r>
      <w:r>
        <w:rPr>
          <w:rFonts w:ascii="Arial" w:hAnsi="Arial" w:cs="Arial"/>
          <w:iCs/>
          <w:sz w:val="24"/>
          <w:szCs w:val="24"/>
        </w:rPr>
        <w:t xml:space="preserve">which may include </w:t>
      </w:r>
      <w:r w:rsidRPr="00A076C0">
        <w:rPr>
          <w:rFonts w:ascii="Arial" w:hAnsi="Arial" w:cs="Arial"/>
          <w:iCs/>
          <w:sz w:val="24"/>
          <w:szCs w:val="24"/>
        </w:rPr>
        <w:t>a notice of exclusion in relation to the person, or a</w:t>
      </w:r>
      <w:r w:rsidR="00A245D5">
        <w:rPr>
          <w:rFonts w:ascii="Arial" w:hAnsi="Arial" w:cs="Arial"/>
          <w:iCs/>
          <w:sz w:val="24"/>
          <w:szCs w:val="24"/>
        </w:rPr>
        <w:t>n</w:t>
      </w:r>
      <w:r w:rsidRPr="00A076C0">
        <w:rPr>
          <w:rFonts w:ascii="Arial" w:hAnsi="Arial" w:cs="Arial"/>
          <w:iCs/>
          <w:sz w:val="24"/>
          <w:szCs w:val="24"/>
        </w:rPr>
        <w:t xml:space="preserve"> exclusion determination in relation to the person. </w:t>
      </w:r>
    </w:p>
    <w:p w14:paraId="36DD5367" w14:textId="1C84F56E" w:rsidR="000772F0" w:rsidRPr="00414921" w:rsidRDefault="000772F0" w:rsidP="00593E49">
      <w:pPr>
        <w:pStyle w:val="ListParagraph"/>
        <w:numPr>
          <w:ilvl w:val="0"/>
          <w:numId w:val="5"/>
        </w:numPr>
        <w:spacing w:after="120"/>
        <w:ind w:left="357" w:hanging="357"/>
        <w:rPr>
          <w:rFonts w:ascii="Arial" w:hAnsi="Arial" w:cs="Arial"/>
          <w:b/>
          <w:bCs/>
          <w:i/>
          <w:sz w:val="24"/>
          <w:szCs w:val="24"/>
        </w:rPr>
      </w:pPr>
      <w:r w:rsidRPr="00414921">
        <w:rPr>
          <w:rFonts w:ascii="Arial" w:hAnsi="Arial" w:cs="Arial"/>
          <w:b/>
          <w:bCs/>
          <w:i/>
          <w:sz w:val="24"/>
          <w:szCs w:val="24"/>
        </w:rPr>
        <w:t>Legitimate purpose (s28(</w:t>
      </w:r>
      <w:r w:rsidR="000C1341">
        <w:rPr>
          <w:rFonts w:ascii="Arial" w:hAnsi="Arial" w:cs="Arial"/>
          <w:b/>
          <w:bCs/>
          <w:i/>
          <w:sz w:val="24"/>
          <w:szCs w:val="24"/>
        </w:rPr>
        <w:t>2)</w:t>
      </w:r>
      <w:r w:rsidRPr="00414921">
        <w:rPr>
          <w:rFonts w:ascii="Arial" w:hAnsi="Arial" w:cs="Arial"/>
          <w:b/>
          <w:bCs/>
          <w:i/>
          <w:sz w:val="24"/>
          <w:szCs w:val="24"/>
        </w:rPr>
        <w:t>(b))</w:t>
      </w:r>
    </w:p>
    <w:p w14:paraId="63D57760" w14:textId="42C2741D" w:rsidR="000772F0" w:rsidRDefault="000772F0" w:rsidP="000772F0">
      <w:pPr>
        <w:rPr>
          <w:rFonts w:ascii="Arial" w:hAnsi="Arial" w:cs="Arial"/>
          <w:iCs/>
          <w:sz w:val="24"/>
          <w:szCs w:val="24"/>
        </w:rPr>
      </w:pPr>
      <w:r>
        <w:rPr>
          <w:rFonts w:ascii="Arial" w:hAnsi="Arial" w:cs="Arial"/>
          <w:sz w:val="24"/>
          <w:szCs w:val="24"/>
          <w:lang w:eastAsia="en-AU"/>
        </w:rPr>
        <w:t xml:space="preserve">The limitation </w:t>
      </w:r>
      <w:r w:rsidR="000C1341">
        <w:rPr>
          <w:rFonts w:ascii="Arial" w:hAnsi="Arial" w:cs="Arial"/>
          <w:sz w:val="24"/>
          <w:szCs w:val="24"/>
          <w:lang w:eastAsia="en-AU"/>
        </w:rPr>
        <w:t>on the right to privacy</w:t>
      </w:r>
      <w:r>
        <w:rPr>
          <w:rFonts w:ascii="Arial" w:hAnsi="Arial" w:cs="Arial"/>
          <w:sz w:val="24"/>
          <w:szCs w:val="24"/>
          <w:lang w:eastAsia="en-AU"/>
        </w:rPr>
        <w:t xml:space="preserve"> pursues the legitimate purpose of facilitating effective administration and delivery of a gambling exclusion scheme in the ACT, and consequently, the </w:t>
      </w:r>
      <w:r>
        <w:rPr>
          <w:rFonts w:ascii="Arial" w:hAnsi="Arial" w:cs="Arial"/>
          <w:iCs/>
          <w:sz w:val="24"/>
          <w:szCs w:val="24"/>
        </w:rPr>
        <w:t xml:space="preserve">promotion of community safety and reduction of gambling harm. </w:t>
      </w:r>
    </w:p>
    <w:p w14:paraId="0F51795E" w14:textId="77777777" w:rsidR="000772F0" w:rsidRDefault="000772F0" w:rsidP="000772F0">
      <w:pPr>
        <w:rPr>
          <w:rFonts w:ascii="Arial" w:hAnsi="Arial" w:cs="Arial"/>
          <w:iCs/>
          <w:sz w:val="24"/>
          <w:szCs w:val="24"/>
        </w:rPr>
      </w:pPr>
      <w:r>
        <w:rPr>
          <w:rFonts w:ascii="Arial" w:hAnsi="Arial" w:cs="Arial"/>
          <w:iCs/>
          <w:sz w:val="24"/>
          <w:szCs w:val="24"/>
        </w:rPr>
        <w:t xml:space="preserve">Specifically, enabling collection, storage, and sharing of personal information ensures: </w:t>
      </w:r>
    </w:p>
    <w:p w14:paraId="43A9B64F" w14:textId="77777777" w:rsidR="000772F0" w:rsidRDefault="000772F0" w:rsidP="000772F0">
      <w:pPr>
        <w:pStyle w:val="ListParagraph"/>
        <w:numPr>
          <w:ilvl w:val="0"/>
          <w:numId w:val="29"/>
        </w:numPr>
        <w:spacing w:after="160" w:line="259" w:lineRule="auto"/>
        <w:contextualSpacing/>
        <w:rPr>
          <w:rFonts w:ascii="Arial" w:hAnsi="Arial" w:cs="Arial"/>
          <w:iCs/>
          <w:sz w:val="24"/>
          <w:szCs w:val="24"/>
        </w:rPr>
      </w:pPr>
      <w:r>
        <w:rPr>
          <w:rFonts w:ascii="Arial" w:hAnsi="Arial" w:cs="Arial"/>
          <w:iCs/>
          <w:sz w:val="24"/>
          <w:szCs w:val="24"/>
        </w:rPr>
        <w:t>R</w:t>
      </w:r>
      <w:r w:rsidRPr="006F55FD">
        <w:rPr>
          <w:rFonts w:ascii="Arial" w:hAnsi="Arial" w:cs="Arial"/>
          <w:iCs/>
          <w:sz w:val="24"/>
          <w:szCs w:val="24"/>
        </w:rPr>
        <w:t xml:space="preserve">isk of gambling harm is effectively recorded. This is essential </w:t>
      </w:r>
      <w:r>
        <w:rPr>
          <w:rFonts w:ascii="Arial" w:hAnsi="Arial" w:cs="Arial"/>
          <w:iCs/>
          <w:sz w:val="24"/>
          <w:szCs w:val="24"/>
        </w:rPr>
        <w:t xml:space="preserve">to </w:t>
      </w:r>
      <w:r w:rsidRPr="006F55FD">
        <w:rPr>
          <w:rFonts w:ascii="Arial" w:hAnsi="Arial" w:cs="Arial"/>
          <w:iCs/>
          <w:sz w:val="24"/>
          <w:szCs w:val="24"/>
        </w:rPr>
        <w:t>monitoring gambling harm risk over time</w:t>
      </w:r>
      <w:r>
        <w:rPr>
          <w:rFonts w:ascii="Arial" w:hAnsi="Arial" w:cs="Arial"/>
          <w:iCs/>
          <w:sz w:val="24"/>
          <w:szCs w:val="24"/>
        </w:rPr>
        <w:t>, by different staff members, and across venues.</w:t>
      </w:r>
      <w:r w:rsidRPr="006F55FD">
        <w:rPr>
          <w:rFonts w:ascii="Arial" w:hAnsi="Arial" w:cs="Arial"/>
          <w:iCs/>
          <w:sz w:val="24"/>
          <w:szCs w:val="24"/>
        </w:rPr>
        <w:t xml:space="preserve"> </w:t>
      </w:r>
      <w:r>
        <w:rPr>
          <w:rFonts w:ascii="Arial" w:hAnsi="Arial" w:cs="Arial"/>
          <w:iCs/>
          <w:sz w:val="24"/>
          <w:szCs w:val="24"/>
        </w:rPr>
        <w:t xml:space="preserve">It is therefore essential to </w:t>
      </w:r>
      <w:r w:rsidRPr="006F55FD">
        <w:rPr>
          <w:rFonts w:ascii="Arial" w:hAnsi="Arial" w:cs="Arial"/>
          <w:iCs/>
          <w:sz w:val="24"/>
          <w:szCs w:val="24"/>
        </w:rPr>
        <w:t>ensuring compliance with exclusion notices and determinations</w:t>
      </w:r>
      <w:r>
        <w:rPr>
          <w:rFonts w:ascii="Arial" w:hAnsi="Arial" w:cs="Arial"/>
          <w:iCs/>
          <w:sz w:val="24"/>
          <w:szCs w:val="24"/>
        </w:rPr>
        <w:t xml:space="preserve"> and to ensuring licensees can implement a risk-responsive approach to reducing gambling harm. </w:t>
      </w:r>
    </w:p>
    <w:p w14:paraId="60C3C026" w14:textId="7CE10442" w:rsidR="000772F0" w:rsidRPr="006F55FD" w:rsidRDefault="000772F0" w:rsidP="000772F0">
      <w:pPr>
        <w:pStyle w:val="ListParagraph"/>
        <w:numPr>
          <w:ilvl w:val="0"/>
          <w:numId w:val="29"/>
        </w:numPr>
        <w:spacing w:after="160" w:line="259" w:lineRule="auto"/>
        <w:contextualSpacing/>
        <w:rPr>
          <w:rFonts w:ascii="Arial" w:hAnsi="Arial" w:cs="Arial"/>
          <w:iCs/>
          <w:sz w:val="24"/>
          <w:szCs w:val="24"/>
        </w:rPr>
      </w:pPr>
      <w:r>
        <w:rPr>
          <w:rFonts w:ascii="Arial" w:hAnsi="Arial" w:cs="Arial"/>
          <w:iCs/>
          <w:sz w:val="24"/>
          <w:szCs w:val="24"/>
        </w:rPr>
        <w:t xml:space="preserve">Effective identification of individuals who are at risk of gambling harm or subject to an exclusion notice or determination. </w:t>
      </w:r>
      <w:r w:rsidRPr="006F55FD">
        <w:rPr>
          <w:rFonts w:ascii="Arial" w:hAnsi="Arial" w:cs="Arial"/>
          <w:iCs/>
          <w:sz w:val="24"/>
          <w:szCs w:val="24"/>
        </w:rPr>
        <w:t>In order to be able to identify an excluded person there needs to be a record created for the individual</w:t>
      </w:r>
      <w:r>
        <w:rPr>
          <w:rFonts w:ascii="Arial" w:hAnsi="Arial" w:cs="Arial"/>
          <w:iCs/>
          <w:sz w:val="24"/>
          <w:szCs w:val="24"/>
        </w:rPr>
        <w:t>, including identifying data</w:t>
      </w:r>
      <w:r w:rsidRPr="006F55FD">
        <w:rPr>
          <w:rFonts w:ascii="Arial" w:hAnsi="Arial" w:cs="Arial"/>
          <w:iCs/>
          <w:sz w:val="24"/>
          <w:szCs w:val="24"/>
        </w:rPr>
        <w:t xml:space="preserve">. </w:t>
      </w:r>
      <w:r>
        <w:rPr>
          <w:rFonts w:ascii="Arial" w:hAnsi="Arial" w:cs="Arial"/>
          <w:iCs/>
          <w:sz w:val="24"/>
          <w:szCs w:val="24"/>
        </w:rPr>
        <w:t xml:space="preserve">In recognition of this, </w:t>
      </w:r>
      <w:r w:rsidRPr="006F55FD">
        <w:rPr>
          <w:rFonts w:ascii="Arial" w:hAnsi="Arial" w:cs="Arial"/>
          <w:iCs/>
          <w:sz w:val="24"/>
          <w:szCs w:val="24"/>
        </w:rPr>
        <w:t xml:space="preserve">the Commission </w:t>
      </w:r>
      <w:r>
        <w:rPr>
          <w:rFonts w:ascii="Arial" w:hAnsi="Arial" w:cs="Arial"/>
          <w:iCs/>
          <w:sz w:val="24"/>
          <w:szCs w:val="24"/>
        </w:rPr>
        <w:t xml:space="preserve">has an obligation to </w:t>
      </w:r>
      <w:r w:rsidRPr="006F55FD">
        <w:rPr>
          <w:rFonts w:ascii="Arial" w:hAnsi="Arial" w:cs="Arial"/>
          <w:iCs/>
          <w:sz w:val="24"/>
          <w:szCs w:val="24"/>
        </w:rPr>
        <w:t xml:space="preserve">verify the </w:t>
      </w:r>
      <w:r>
        <w:rPr>
          <w:rFonts w:ascii="Arial" w:hAnsi="Arial" w:cs="Arial"/>
          <w:iCs/>
          <w:sz w:val="24"/>
          <w:szCs w:val="24"/>
        </w:rPr>
        <w:t xml:space="preserve">identity of a person to whom an exclusion notice relates, which cannot be undertaken without identifying information. </w:t>
      </w:r>
      <w:r w:rsidR="007368C1">
        <w:rPr>
          <w:rFonts w:ascii="Arial" w:hAnsi="Arial" w:cs="Arial"/>
          <w:iCs/>
          <w:sz w:val="24"/>
          <w:szCs w:val="24"/>
        </w:rPr>
        <w:br/>
      </w:r>
    </w:p>
    <w:p w14:paraId="6DDDED5D" w14:textId="18DCA854" w:rsidR="000772F0" w:rsidRPr="00414921" w:rsidRDefault="000772F0" w:rsidP="00593E49">
      <w:pPr>
        <w:pStyle w:val="ListParagraph"/>
        <w:numPr>
          <w:ilvl w:val="0"/>
          <w:numId w:val="5"/>
        </w:numPr>
        <w:spacing w:after="120"/>
        <w:ind w:left="357" w:hanging="357"/>
        <w:rPr>
          <w:rFonts w:ascii="Arial" w:hAnsi="Arial" w:cs="Arial"/>
          <w:b/>
          <w:bCs/>
          <w:i/>
          <w:sz w:val="24"/>
          <w:szCs w:val="24"/>
        </w:rPr>
      </w:pPr>
      <w:r w:rsidRPr="00414921">
        <w:rPr>
          <w:rFonts w:ascii="Arial" w:hAnsi="Arial" w:cs="Arial"/>
          <w:b/>
          <w:bCs/>
          <w:i/>
          <w:sz w:val="24"/>
          <w:szCs w:val="24"/>
        </w:rPr>
        <w:t>Rational connection between the limitation and the purpose (s28(</w:t>
      </w:r>
      <w:r w:rsidR="000C1341">
        <w:rPr>
          <w:rFonts w:ascii="Arial" w:hAnsi="Arial" w:cs="Arial"/>
          <w:b/>
          <w:bCs/>
          <w:i/>
          <w:sz w:val="24"/>
          <w:szCs w:val="24"/>
        </w:rPr>
        <w:t>2)</w:t>
      </w:r>
      <w:r w:rsidRPr="00414921">
        <w:rPr>
          <w:rFonts w:ascii="Arial" w:hAnsi="Arial" w:cs="Arial"/>
          <w:b/>
          <w:bCs/>
          <w:i/>
          <w:sz w:val="24"/>
          <w:szCs w:val="24"/>
        </w:rPr>
        <w:t>(d))</w:t>
      </w:r>
    </w:p>
    <w:p w14:paraId="75E7EC83" w14:textId="77777777" w:rsidR="000772F0" w:rsidRDefault="000772F0" w:rsidP="000772F0">
      <w:pPr>
        <w:rPr>
          <w:rFonts w:ascii="Arial" w:hAnsi="Arial" w:cs="Arial"/>
          <w:iCs/>
          <w:color w:val="000000" w:themeColor="text1"/>
          <w:sz w:val="24"/>
          <w:szCs w:val="24"/>
        </w:rPr>
      </w:pPr>
      <w:r>
        <w:rPr>
          <w:rFonts w:ascii="Arial" w:hAnsi="Arial" w:cs="Arial"/>
          <w:iCs/>
          <w:color w:val="000000" w:themeColor="text1"/>
          <w:sz w:val="24"/>
          <w:szCs w:val="24"/>
        </w:rPr>
        <w:t xml:space="preserve">Effective implementation of a gambling exclusion relies on the availability of information about people at risk of gambling harm, or to whom a gambling exclusion notice or determination relates. </w:t>
      </w:r>
    </w:p>
    <w:p w14:paraId="02DA737B" w14:textId="77777777" w:rsidR="0027703B" w:rsidRDefault="0027703B">
      <w:pPr>
        <w:spacing w:after="160" w:line="259" w:lineRule="auto"/>
        <w:rPr>
          <w:rFonts w:ascii="Arial" w:hAnsi="Arial" w:cs="Arial"/>
          <w:iCs/>
          <w:color w:val="000000" w:themeColor="text1"/>
          <w:sz w:val="24"/>
          <w:szCs w:val="24"/>
        </w:rPr>
      </w:pPr>
      <w:r>
        <w:rPr>
          <w:rFonts w:ascii="Arial" w:hAnsi="Arial" w:cs="Arial"/>
          <w:iCs/>
          <w:color w:val="000000" w:themeColor="text1"/>
          <w:sz w:val="24"/>
          <w:szCs w:val="24"/>
        </w:rPr>
        <w:br w:type="page"/>
      </w:r>
    </w:p>
    <w:p w14:paraId="5D6954CD" w14:textId="77777777" w:rsidR="000772F0" w:rsidRDefault="000772F0" w:rsidP="000772F0">
      <w:pPr>
        <w:rPr>
          <w:rFonts w:ascii="Arial" w:hAnsi="Arial" w:cs="Arial"/>
          <w:iCs/>
          <w:color w:val="000000" w:themeColor="text1"/>
          <w:sz w:val="24"/>
          <w:szCs w:val="24"/>
        </w:rPr>
      </w:pPr>
      <w:r>
        <w:rPr>
          <w:rFonts w:ascii="Arial" w:hAnsi="Arial" w:cs="Arial"/>
          <w:iCs/>
          <w:color w:val="000000" w:themeColor="text1"/>
          <w:sz w:val="24"/>
          <w:szCs w:val="24"/>
        </w:rPr>
        <w:lastRenderedPageBreak/>
        <w:t>If personal information is not collected, it would be impossible to:</w:t>
      </w:r>
    </w:p>
    <w:p w14:paraId="2CE71603" w14:textId="4E4F705F" w:rsidR="000772F0" w:rsidRDefault="000772F0" w:rsidP="000772F0">
      <w:pPr>
        <w:pStyle w:val="ListParagraph"/>
        <w:numPr>
          <w:ilvl w:val="0"/>
          <w:numId w:val="30"/>
        </w:numPr>
        <w:spacing w:after="160" w:line="259" w:lineRule="auto"/>
        <w:contextualSpacing/>
        <w:rPr>
          <w:rFonts w:ascii="Arial" w:hAnsi="Arial" w:cs="Arial"/>
          <w:iCs/>
          <w:color w:val="000000" w:themeColor="text1"/>
          <w:sz w:val="24"/>
          <w:szCs w:val="24"/>
        </w:rPr>
      </w:pPr>
      <w:r>
        <w:rPr>
          <w:rFonts w:ascii="Arial" w:hAnsi="Arial" w:cs="Arial"/>
          <w:iCs/>
          <w:color w:val="000000" w:themeColor="text1"/>
          <w:sz w:val="24"/>
          <w:szCs w:val="24"/>
        </w:rPr>
        <w:t>K</w:t>
      </w:r>
      <w:r w:rsidRPr="00A076C0">
        <w:rPr>
          <w:rFonts w:ascii="Arial" w:hAnsi="Arial" w:cs="Arial"/>
          <w:iCs/>
          <w:color w:val="000000" w:themeColor="text1"/>
          <w:sz w:val="24"/>
          <w:szCs w:val="24"/>
        </w:rPr>
        <w:t>now who is at risk of gambling harm</w:t>
      </w:r>
      <w:r>
        <w:rPr>
          <w:rFonts w:ascii="Arial" w:hAnsi="Arial" w:cs="Arial"/>
          <w:iCs/>
          <w:color w:val="000000" w:themeColor="text1"/>
          <w:sz w:val="24"/>
          <w:szCs w:val="24"/>
        </w:rPr>
        <w:t>,</w:t>
      </w:r>
      <w:r w:rsidR="00836F4C">
        <w:rPr>
          <w:rFonts w:ascii="Arial" w:hAnsi="Arial" w:cs="Arial"/>
          <w:iCs/>
          <w:color w:val="000000" w:themeColor="text1"/>
          <w:sz w:val="24"/>
          <w:szCs w:val="24"/>
        </w:rPr>
        <w:t xml:space="preserve"> and for</w:t>
      </w:r>
      <w:r>
        <w:rPr>
          <w:rFonts w:ascii="Arial" w:hAnsi="Arial" w:cs="Arial"/>
          <w:iCs/>
          <w:color w:val="000000" w:themeColor="text1"/>
          <w:sz w:val="24"/>
          <w:szCs w:val="24"/>
        </w:rPr>
        <w:t xml:space="preserve"> licensees</w:t>
      </w:r>
      <w:r w:rsidR="00836F4C">
        <w:rPr>
          <w:rFonts w:ascii="Arial" w:hAnsi="Arial" w:cs="Arial"/>
          <w:iCs/>
          <w:color w:val="000000" w:themeColor="text1"/>
          <w:sz w:val="24"/>
          <w:szCs w:val="24"/>
        </w:rPr>
        <w:t xml:space="preserve"> to identify and take</w:t>
      </w:r>
      <w:r w:rsidRPr="00A076C0">
        <w:rPr>
          <w:rFonts w:ascii="Arial" w:hAnsi="Arial" w:cs="Arial"/>
          <w:iCs/>
          <w:color w:val="000000" w:themeColor="text1"/>
          <w:sz w:val="24"/>
          <w:szCs w:val="24"/>
        </w:rPr>
        <w:t xml:space="preserve"> responsive action to prevent harm or further harm</w:t>
      </w:r>
      <w:r>
        <w:rPr>
          <w:rFonts w:ascii="Arial" w:hAnsi="Arial" w:cs="Arial"/>
          <w:iCs/>
          <w:color w:val="000000" w:themeColor="text1"/>
          <w:sz w:val="24"/>
          <w:szCs w:val="24"/>
        </w:rPr>
        <w:t xml:space="preserve">. This would </w:t>
      </w:r>
      <w:r>
        <w:rPr>
          <w:rFonts w:ascii="Arial" w:hAnsi="Arial" w:cs="Arial"/>
          <w:iCs/>
          <w:sz w:val="24"/>
          <w:szCs w:val="24"/>
        </w:rPr>
        <w:t xml:space="preserve">compromise licensees’ ability to effectively respond to risk of harm over time, particularly that which is demonstrated by iterative and compounding evidence.  </w:t>
      </w:r>
    </w:p>
    <w:p w14:paraId="38444D41" w14:textId="77777777" w:rsidR="000772F0" w:rsidRDefault="000772F0" w:rsidP="000772F0">
      <w:pPr>
        <w:pStyle w:val="ListParagraph"/>
        <w:numPr>
          <w:ilvl w:val="0"/>
          <w:numId w:val="30"/>
        </w:numPr>
        <w:spacing w:after="160" w:line="259" w:lineRule="auto"/>
        <w:contextualSpacing/>
        <w:rPr>
          <w:rFonts w:ascii="Arial" w:hAnsi="Arial" w:cs="Arial"/>
          <w:iCs/>
          <w:color w:val="000000" w:themeColor="text1"/>
          <w:sz w:val="24"/>
          <w:szCs w:val="24"/>
        </w:rPr>
      </w:pPr>
      <w:r>
        <w:rPr>
          <w:rFonts w:ascii="Arial" w:hAnsi="Arial" w:cs="Arial"/>
          <w:iCs/>
          <w:color w:val="000000" w:themeColor="text1"/>
          <w:sz w:val="24"/>
          <w:szCs w:val="24"/>
        </w:rPr>
        <w:t xml:space="preserve">Know who </w:t>
      </w:r>
      <w:r w:rsidRPr="00A076C0">
        <w:rPr>
          <w:rFonts w:ascii="Arial" w:hAnsi="Arial" w:cs="Arial"/>
          <w:iCs/>
          <w:color w:val="000000" w:themeColor="text1"/>
          <w:sz w:val="24"/>
          <w:szCs w:val="24"/>
        </w:rPr>
        <w:t xml:space="preserve">is subject to an exclusion notice </w:t>
      </w:r>
      <w:r>
        <w:rPr>
          <w:rFonts w:ascii="Arial" w:hAnsi="Arial" w:cs="Arial"/>
          <w:iCs/>
          <w:color w:val="000000" w:themeColor="text1"/>
          <w:sz w:val="24"/>
          <w:szCs w:val="24"/>
        </w:rPr>
        <w:t>or</w:t>
      </w:r>
      <w:r w:rsidRPr="00A076C0">
        <w:rPr>
          <w:rFonts w:ascii="Arial" w:hAnsi="Arial" w:cs="Arial"/>
          <w:iCs/>
          <w:color w:val="000000" w:themeColor="text1"/>
          <w:sz w:val="24"/>
          <w:szCs w:val="24"/>
        </w:rPr>
        <w:t xml:space="preserve"> determination</w:t>
      </w:r>
      <w:r>
        <w:rPr>
          <w:rFonts w:ascii="Arial" w:hAnsi="Arial" w:cs="Arial"/>
          <w:iCs/>
          <w:color w:val="000000" w:themeColor="text1"/>
          <w:sz w:val="24"/>
          <w:szCs w:val="24"/>
        </w:rPr>
        <w:t xml:space="preserve">, </w:t>
      </w:r>
      <w:r w:rsidRPr="00A076C0">
        <w:rPr>
          <w:rFonts w:ascii="Arial" w:hAnsi="Arial" w:cs="Arial"/>
          <w:iCs/>
          <w:color w:val="000000" w:themeColor="text1"/>
          <w:sz w:val="24"/>
          <w:szCs w:val="24"/>
        </w:rPr>
        <w:t xml:space="preserve">and therefore, must be excluded </w:t>
      </w:r>
      <w:r>
        <w:rPr>
          <w:rFonts w:ascii="Arial" w:hAnsi="Arial" w:cs="Arial"/>
          <w:iCs/>
          <w:color w:val="000000" w:themeColor="text1"/>
          <w:sz w:val="24"/>
          <w:szCs w:val="24"/>
        </w:rPr>
        <w:t>from the gambling activity</w:t>
      </w:r>
      <w:r w:rsidRPr="00A076C0">
        <w:rPr>
          <w:rFonts w:ascii="Arial" w:hAnsi="Arial" w:cs="Arial"/>
          <w:iCs/>
          <w:color w:val="000000" w:themeColor="text1"/>
          <w:sz w:val="24"/>
          <w:szCs w:val="24"/>
        </w:rPr>
        <w:t xml:space="preserve"> in order to comply with the law. </w:t>
      </w:r>
    </w:p>
    <w:p w14:paraId="2F547A20" w14:textId="77777777" w:rsidR="000772F0" w:rsidRDefault="000772F0" w:rsidP="000772F0">
      <w:pPr>
        <w:rPr>
          <w:rFonts w:ascii="Arial" w:hAnsi="Arial" w:cs="Arial"/>
          <w:iCs/>
          <w:color w:val="000000" w:themeColor="text1"/>
          <w:sz w:val="24"/>
          <w:szCs w:val="24"/>
        </w:rPr>
      </w:pPr>
      <w:r>
        <w:rPr>
          <w:rFonts w:ascii="Arial" w:hAnsi="Arial" w:cs="Arial"/>
          <w:iCs/>
          <w:color w:val="000000" w:themeColor="text1"/>
          <w:sz w:val="24"/>
          <w:szCs w:val="24"/>
        </w:rPr>
        <w:t>Ultimately, without collecting, storing, and sharing personal information, t</w:t>
      </w:r>
      <w:r w:rsidRPr="00E53D0B">
        <w:rPr>
          <w:rFonts w:ascii="Arial" w:hAnsi="Arial" w:cs="Arial"/>
          <w:iCs/>
          <w:color w:val="000000" w:themeColor="text1"/>
          <w:sz w:val="24"/>
          <w:szCs w:val="24"/>
        </w:rPr>
        <w:t xml:space="preserve">he exclusion scheme would not be operationalisable and it would fail to realise its intent to prevent and reduce gambling harm. </w:t>
      </w:r>
    </w:p>
    <w:p w14:paraId="7C755170" w14:textId="0429A16F" w:rsidR="000772F0" w:rsidRDefault="000772F0" w:rsidP="00593E49">
      <w:pPr>
        <w:pStyle w:val="ListParagraph"/>
        <w:numPr>
          <w:ilvl w:val="0"/>
          <w:numId w:val="5"/>
        </w:numPr>
        <w:spacing w:after="120"/>
        <w:ind w:left="357" w:hanging="357"/>
        <w:rPr>
          <w:rFonts w:ascii="Arial" w:hAnsi="Arial" w:cs="Arial"/>
          <w:b/>
          <w:bCs/>
          <w:i/>
          <w:sz w:val="24"/>
          <w:szCs w:val="24"/>
        </w:rPr>
      </w:pPr>
      <w:r w:rsidRPr="00414921">
        <w:rPr>
          <w:rFonts w:ascii="Arial" w:hAnsi="Arial" w:cs="Arial"/>
          <w:b/>
          <w:bCs/>
          <w:i/>
          <w:sz w:val="24"/>
          <w:szCs w:val="24"/>
        </w:rPr>
        <w:t>Proportionality (s28</w:t>
      </w:r>
      <w:r w:rsidR="00BC35DF">
        <w:rPr>
          <w:rFonts w:ascii="Arial" w:hAnsi="Arial" w:cs="Arial"/>
          <w:b/>
          <w:bCs/>
          <w:i/>
          <w:sz w:val="24"/>
          <w:szCs w:val="24"/>
        </w:rPr>
        <w:t>(2)</w:t>
      </w:r>
      <w:r w:rsidRPr="00414921">
        <w:rPr>
          <w:rFonts w:ascii="Arial" w:hAnsi="Arial" w:cs="Arial"/>
          <w:b/>
          <w:bCs/>
          <w:i/>
          <w:sz w:val="24"/>
          <w:szCs w:val="24"/>
        </w:rPr>
        <w:t>(e))</w:t>
      </w:r>
    </w:p>
    <w:p w14:paraId="3BC23571" w14:textId="77777777" w:rsidR="000772F0" w:rsidRDefault="000772F0" w:rsidP="000772F0">
      <w:pPr>
        <w:rPr>
          <w:rFonts w:ascii="Arial" w:hAnsi="Arial" w:cs="Arial"/>
          <w:iCs/>
          <w:sz w:val="24"/>
          <w:szCs w:val="24"/>
        </w:rPr>
      </w:pPr>
      <w:r>
        <w:rPr>
          <w:rFonts w:ascii="Arial" w:hAnsi="Arial" w:cs="Arial"/>
          <w:iCs/>
          <w:sz w:val="24"/>
          <w:szCs w:val="24"/>
        </w:rPr>
        <w:t xml:space="preserve">The amendments requiring collection, storage, access and sharing of personal information are no more expansive than necessary to facilitate effective delivery of a gambling exclusion scheme. </w:t>
      </w:r>
    </w:p>
    <w:p w14:paraId="2488FE5A" w14:textId="5896DC01" w:rsidR="000772F0" w:rsidRDefault="000772F0" w:rsidP="000772F0">
      <w:pPr>
        <w:rPr>
          <w:rFonts w:ascii="Arial" w:hAnsi="Arial" w:cs="Arial"/>
          <w:iCs/>
          <w:sz w:val="24"/>
          <w:szCs w:val="24"/>
        </w:rPr>
      </w:pPr>
      <w:r>
        <w:rPr>
          <w:rFonts w:ascii="Arial" w:hAnsi="Arial" w:cs="Arial"/>
          <w:iCs/>
          <w:sz w:val="24"/>
          <w:szCs w:val="24"/>
        </w:rPr>
        <w:t>There are safeguards against unauthorised access to exclusion information (section 19</w:t>
      </w:r>
      <w:r w:rsidR="00F43E68">
        <w:rPr>
          <w:rFonts w:ascii="Arial" w:hAnsi="Arial" w:cs="Arial"/>
          <w:iCs/>
          <w:sz w:val="24"/>
          <w:szCs w:val="24"/>
        </w:rPr>
        <w:t>E</w:t>
      </w:r>
      <w:r>
        <w:rPr>
          <w:rFonts w:ascii="Arial" w:hAnsi="Arial" w:cs="Arial"/>
          <w:iCs/>
          <w:sz w:val="24"/>
          <w:szCs w:val="24"/>
        </w:rPr>
        <w:t xml:space="preserve">) with an associated offence, and the amount and type of personal information within the Bill’s remit has been limited only to data that is required for compliance and incident reporting purposes which is proportionate to the level of risk associated with the gambling activity and the responsibility of licensees to observe and act appropriately to prevent the risk of harm. </w:t>
      </w:r>
      <w:r w:rsidRPr="00E53D0B">
        <w:rPr>
          <w:rFonts w:ascii="Arial" w:hAnsi="Arial" w:cs="Arial"/>
          <w:iCs/>
          <w:sz w:val="24"/>
          <w:szCs w:val="24"/>
        </w:rPr>
        <w:t>T</w:t>
      </w:r>
      <w:r w:rsidRPr="00E53D0B">
        <w:rPr>
          <w:rFonts w:ascii="Arial" w:hAnsi="Arial" w:cs="Arial"/>
          <w:sz w:val="24"/>
          <w:szCs w:val="24"/>
        </w:rPr>
        <w:t xml:space="preserve">he Bill includes protection that the information is only collected for the purpose of exclusion, if self-exclusion is requested by a person, or the information is collected by a licensee to issue a licensee exclusion notice to prevent risk of gambling harm. Only certain approved staff of a licensed gambling activity may access the register, which is protected by strict access control. </w:t>
      </w:r>
    </w:p>
    <w:p w14:paraId="3692956B" w14:textId="77777777" w:rsidR="000772F0" w:rsidRPr="00E53D0B" w:rsidRDefault="000772F0" w:rsidP="000772F0">
      <w:pPr>
        <w:rPr>
          <w:rFonts w:ascii="Arial" w:hAnsi="Arial" w:cs="Arial"/>
          <w:iCs/>
          <w:sz w:val="24"/>
          <w:szCs w:val="24"/>
        </w:rPr>
      </w:pPr>
      <w:r>
        <w:rPr>
          <w:rFonts w:ascii="Arial" w:hAnsi="Arial" w:cs="Arial"/>
          <w:iCs/>
          <w:sz w:val="24"/>
          <w:szCs w:val="24"/>
        </w:rPr>
        <w:t xml:space="preserve">These safeguards are supported by existing safeguards outside the Act. This includes safeguards pursuant to the </w:t>
      </w:r>
      <w:r>
        <w:rPr>
          <w:rFonts w:ascii="Arial" w:hAnsi="Arial" w:cs="Arial"/>
          <w:i/>
          <w:sz w:val="24"/>
          <w:szCs w:val="24"/>
        </w:rPr>
        <w:t xml:space="preserve">Privacy Act 1988 </w:t>
      </w:r>
      <w:r>
        <w:rPr>
          <w:rFonts w:ascii="Arial" w:hAnsi="Arial" w:cs="Arial"/>
          <w:iCs/>
          <w:sz w:val="24"/>
          <w:szCs w:val="24"/>
        </w:rPr>
        <w:t xml:space="preserve">(Cth) which </w:t>
      </w:r>
      <w:r w:rsidRPr="00E53D0B">
        <w:rPr>
          <w:rFonts w:ascii="Arial" w:hAnsi="Arial" w:cs="Arial"/>
          <w:iCs/>
          <w:sz w:val="24"/>
          <w:szCs w:val="24"/>
        </w:rPr>
        <w:t xml:space="preserve">imposes requirements on the collection, use, disclosure and storage of personal information, and gives individuals a complaints mechanism pathway for mishandling of their personal information as well as a private action in tort if an entity commits a serious invasion of their privacy involving their private information. </w:t>
      </w:r>
      <w:r>
        <w:rPr>
          <w:rFonts w:ascii="Arial" w:hAnsi="Arial" w:cs="Arial"/>
          <w:iCs/>
          <w:sz w:val="24"/>
          <w:szCs w:val="24"/>
        </w:rPr>
        <w:t>While most safeguards apply to corporate entities with an annual turnover of more than $3 million</w:t>
      </w:r>
      <w:r w:rsidRPr="00E53D0B">
        <w:rPr>
          <w:rFonts w:ascii="Arial" w:hAnsi="Arial" w:cs="Arial"/>
          <w:iCs/>
          <w:sz w:val="24"/>
          <w:szCs w:val="24"/>
        </w:rPr>
        <w:t>, smaller businesses which are related to a larger bodies corporate that are subject to the Privacy Act or have voluntarily opted into the Privacy Act</w:t>
      </w:r>
      <w:r>
        <w:rPr>
          <w:rFonts w:ascii="Arial" w:hAnsi="Arial" w:cs="Arial"/>
          <w:iCs/>
          <w:sz w:val="24"/>
          <w:szCs w:val="24"/>
        </w:rPr>
        <w:t xml:space="preserve">, must also comply and </w:t>
      </w:r>
      <w:r w:rsidRPr="00E53D0B">
        <w:rPr>
          <w:rFonts w:ascii="Arial" w:hAnsi="Arial" w:cs="Arial"/>
          <w:iCs/>
          <w:sz w:val="24"/>
          <w:szCs w:val="24"/>
        </w:rPr>
        <w:t>in 2023 following a review of the Privacy Act, the Australian Government indicated in principle that the general exemption for small businesses from requirements to protect data will likely be removed.</w:t>
      </w:r>
      <w:r>
        <w:rPr>
          <w:rStyle w:val="FootnoteReference"/>
          <w:rFonts w:ascii="Arial" w:hAnsi="Arial"/>
          <w:iCs/>
          <w:sz w:val="24"/>
          <w:szCs w:val="24"/>
        </w:rPr>
        <w:footnoteReference w:id="11"/>
      </w:r>
    </w:p>
    <w:p w14:paraId="0AA06658" w14:textId="4969F5F5" w:rsidR="000772F0" w:rsidRDefault="000772F0" w:rsidP="008C04EC">
      <w:pPr>
        <w:rPr>
          <w:rFonts w:ascii="Arial" w:hAnsi="Arial" w:cs="Arial"/>
          <w:iCs/>
          <w:sz w:val="24"/>
          <w:szCs w:val="24"/>
          <w:u w:val="single"/>
        </w:rPr>
      </w:pPr>
      <w:r>
        <w:rPr>
          <w:rFonts w:ascii="Arial" w:hAnsi="Arial" w:cs="Arial"/>
          <w:iCs/>
          <w:sz w:val="24"/>
          <w:szCs w:val="24"/>
        </w:rPr>
        <w:lastRenderedPageBreak/>
        <w:t xml:space="preserve">Therefore, given the information privacy safeguards in place within the Bill and the existing legal framework and that limitations on privacy are inherent to delivering the exclusion scheme and associated harm minimisation intent, the Bill comprises a proportionate limitation on the right to privacy and reputation. </w:t>
      </w:r>
    </w:p>
    <w:p w14:paraId="6C30038D" w14:textId="5B98A936" w:rsidR="008C04EC" w:rsidRPr="008C04EC" w:rsidRDefault="008C04EC" w:rsidP="008C04EC">
      <w:pPr>
        <w:rPr>
          <w:rFonts w:ascii="Arial" w:hAnsi="Arial" w:cs="Arial"/>
          <w:iCs/>
          <w:sz w:val="24"/>
          <w:szCs w:val="24"/>
          <w:u w:val="single"/>
        </w:rPr>
      </w:pPr>
      <w:r w:rsidRPr="008C04EC">
        <w:rPr>
          <w:rFonts w:ascii="Arial" w:hAnsi="Arial" w:cs="Arial"/>
          <w:iCs/>
          <w:sz w:val="24"/>
          <w:szCs w:val="24"/>
          <w:u w:val="single"/>
        </w:rPr>
        <w:t>Section 13 – right to freedom of movement</w:t>
      </w:r>
    </w:p>
    <w:p w14:paraId="09051BA8" w14:textId="77777777" w:rsidR="008C04EC" w:rsidRPr="00E018F3" w:rsidRDefault="008C04EC" w:rsidP="00593E49">
      <w:pPr>
        <w:pStyle w:val="ListParagraph"/>
        <w:numPr>
          <w:ilvl w:val="0"/>
          <w:numId w:val="40"/>
        </w:numPr>
        <w:spacing w:after="120"/>
        <w:ind w:left="357" w:hanging="357"/>
        <w:rPr>
          <w:rFonts w:ascii="Arial" w:hAnsi="Arial" w:cs="Arial"/>
          <w:b/>
          <w:bCs/>
          <w:i/>
          <w:sz w:val="24"/>
          <w:szCs w:val="24"/>
        </w:rPr>
      </w:pPr>
      <w:r w:rsidRPr="00E018F3">
        <w:rPr>
          <w:rFonts w:ascii="Arial" w:hAnsi="Arial" w:cs="Arial"/>
          <w:b/>
          <w:bCs/>
          <w:i/>
          <w:sz w:val="24"/>
          <w:szCs w:val="24"/>
        </w:rPr>
        <w:t>Nature of the right and the limitation (s28(2)(a) and (c)) </w:t>
      </w:r>
    </w:p>
    <w:p w14:paraId="37697B91" w14:textId="792ADD90" w:rsidR="007368C1" w:rsidRDefault="008C04EC" w:rsidP="007368C1">
      <w:pPr>
        <w:rPr>
          <w:rFonts w:ascii="Arial" w:hAnsi="Arial" w:cs="Arial"/>
          <w:iCs/>
          <w:sz w:val="24"/>
          <w:szCs w:val="24"/>
        </w:rPr>
      </w:pPr>
      <w:r w:rsidRPr="008C04EC">
        <w:rPr>
          <w:rFonts w:ascii="Arial" w:hAnsi="Arial" w:cs="Arial"/>
          <w:iCs/>
          <w:sz w:val="24"/>
          <w:szCs w:val="24"/>
        </w:rPr>
        <w:t>Under section 13 of the HRA, everyone has the right to move freely within the ACT and to enter and leave it, and the freedom to choose their residence in the ACT. This right is engaged and limited by</w:t>
      </w:r>
      <w:r w:rsidR="00FB5715">
        <w:rPr>
          <w:rFonts w:ascii="Arial" w:hAnsi="Arial" w:cs="Arial"/>
          <w:iCs/>
          <w:sz w:val="24"/>
          <w:szCs w:val="24"/>
        </w:rPr>
        <w:t xml:space="preserve"> licensee gambling exclusion as it limits a person’s movement or</w:t>
      </w:r>
      <w:r w:rsidR="00884025">
        <w:rPr>
          <w:rFonts w:ascii="Arial" w:hAnsi="Arial" w:cs="Arial"/>
          <w:iCs/>
          <w:sz w:val="24"/>
          <w:szCs w:val="24"/>
        </w:rPr>
        <w:t xml:space="preserve"> </w:t>
      </w:r>
      <w:r w:rsidR="00FB5715">
        <w:rPr>
          <w:rFonts w:ascii="Arial" w:hAnsi="Arial" w:cs="Arial"/>
          <w:iCs/>
          <w:sz w:val="24"/>
          <w:szCs w:val="24"/>
        </w:rPr>
        <w:t xml:space="preserve">access and </w:t>
      </w:r>
      <w:r w:rsidR="00884025">
        <w:rPr>
          <w:rFonts w:ascii="Arial" w:hAnsi="Arial" w:cs="Arial"/>
          <w:iCs/>
          <w:sz w:val="24"/>
          <w:szCs w:val="24"/>
        </w:rPr>
        <w:t>involuntarily</w:t>
      </w:r>
      <w:r w:rsidR="00FB5715">
        <w:rPr>
          <w:rFonts w:ascii="Arial" w:hAnsi="Arial" w:cs="Arial"/>
          <w:iCs/>
          <w:sz w:val="24"/>
          <w:szCs w:val="24"/>
        </w:rPr>
        <w:t xml:space="preserve"> prohibits a person from an area or </w:t>
      </w:r>
      <w:r w:rsidR="00884025">
        <w:rPr>
          <w:rFonts w:ascii="Arial" w:hAnsi="Arial" w:cs="Arial"/>
          <w:iCs/>
          <w:sz w:val="24"/>
          <w:szCs w:val="24"/>
        </w:rPr>
        <w:t>facility</w:t>
      </w:r>
      <w:r w:rsidR="00FB5715">
        <w:rPr>
          <w:rFonts w:ascii="Arial" w:hAnsi="Arial" w:cs="Arial"/>
          <w:iCs/>
          <w:sz w:val="24"/>
          <w:szCs w:val="24"/>
        </w:rPr>
        <w:t xml:space="preserve"> where the gambling </w:t>
      </w:r>
      <w:r w:rsidR="00446C8E">
        <w:rPr>
          <w:rFonts w:ascii="Arial" w:hAnsi="Arial" w:cs="Arial"/>
          <w:iCs/>
          <w:sz w:val="24"/>
          <w:szCs w:val="24"/>
        </w:rPr>
        <w:t xml:space="preserve">activity takes place under that licensee’s control, for example a casino or community club. The Bill provides that the maximum term for a </w:t>
      </w:r>
      <w:r w:rsidR="00705FF9">
        <w:rPr>
          <w:rFonts w:ascii="Arial" w:hAnsi="Arial" w:cs="Arial"/>
          <w:iCs/>
          <w:sz w:val="24"/>
          <w:szCs w:val="24"/>
        </w:rPr>
        <w:t>licensee exclusion is 5 years.</w:t>
      </w:r>
      <w:r w:rsidR="00446C8E">
        <w:rPr>
          <w:rFonts w:ascii="Arial" w:hAnsi="Arial" w:cs="Arial"/>
          <w:iCs/>
          <w:sz w:val="24"/>
          <w:szCs w:val="24"/>
        </w:rPr>
        <w:t xml:space="preserve"> </w:t>
      </w:r>
    </w:p>
    <w:p w14:paraId="02FE0541" w14:textId="79DD3C91" w:rsidR="008C04EC" w:rsidRPr="00E018F3" w:rsidRDefault="008C04EC" w:rsidP="00593E49">
      <w:pPr>
        <w:pStyle w:val="ListParagraph"/>
        <w:numPr>
          <w:ilvl w:val="0"/>
          <w:numId w:val="40"/>
        </w:numPr>
        <w:spacing w:after="120"/>
        <w:ind w:left="357" w:hanging="357"/>
        <w:rPr>
          <w:rFonts w:ascii="Arial" w:hAnsi="Arial" w:cs="Arial"/>
          <w:b/>
          <w:bCs/>
          <w:i/>
          <w:sz w:val="24"/>
          <w:szCs w:val="24"/>
        </w:rPr>
      </w:pPr>
      <w:r w:rsidRPr="00E018F3">
        <w:rPr>
          <w:rFonts w:ascii="Arial" w:hAnsi="Arial" w:cs="Arial"/>
          <w:b/>
          <w:bCs/>
          <w:i/>
          <w:sz w:val="24"/>
          <w:szCs w:val="24"/>
        </w:rPr>
        <w:t>Legitimate purpose (s28(</w:t>
      </w:r>
      <w:r w:rsidR="00692B65" w:rsidRPr="00E018F3">
        <w:rPr>
          <w:rFonts w:ascii="Arial" w:hAnsi="Arial" w:cs="Arial"/>
          <w:b/>
          <w:bCs/>
          <w:i/>
          <w:sz w:val="24"/>
          <w:szCs w:val="24"/>
        </w:rPr>
        <w:t>2)</w:t>
      </w:r>
      <w:r w:rsidRPr="00E018F3">
        <w:rPr>
          <w:rFonts w:ascii="Arial" w:hAnsi="Arial" w:cs="Arial"/>
          <w:b/>
          <w:bCs/>
          <w:i/>
          <w:sz w:val="24"/>
          <w:szCs w:val="24"/>
        </w:rPr>
        <w:t>(b)) </w:t>
      </w:r>
    </w:p>
    <w:p w14:paraId="64A78376" w14:textId="0DFEA178" w:rsidR="008C04EC" w:rsidRPr="008C04EC" w:rsidRDefault="008C04EC" w:rsidP="008C04EC">
      <w:pPr>
        <w:rPr>
          <w:rFonts w:ascii="Arial" w:hAnsi="Arial" w:cs="Arial"/>
          <w:iCs/>
          <w:sz w:val="24"/>
          <w:szCs w:val="24"/>
        </w:rPr>
      </w:pPr>
      <w:r w:rsidRPr="008C04EC">
        <w:rPr>
          <w:rFonts w:ascii="Arial" w:hAnsi="Arial" w:cs="Arial"/>
          <w:iCs/>
          <w:sz w:val="24"/>
          <w:szCs w:val="24"/>
        </w:rPr>
        <w:t xml:space="preserve">This limitation has a legitimate purpose as gambling </w:t>
      </w:r>
      <w:r w:rsidR="00A80BAE">
        <w:rPr>
          <w:rFonts w:ascii="Arial" w:hAnsi="Arial" w:cs="Arial"/>
          <w:iCs/>
          <w:sz w:val="24"/>
          <w:szCs w:val="24"/>
        </w:rPr>
        <w:t>e</w:t>
      </w:r>
      <w:r w:rsidRPr="008C04EC">
        <w:rPr>
          <w:rFonts w:ascii="Arial" w:hAnsi="Arial" w:cs="Arial"/>
          <w:iCs/>
          <w:sz w:val="24"/>
          <w:szCs w:val="24"/>
        </w:rPr>
        <w:t>xclusion</w:t>
      </w:r>
      <w:r w:rsidR="00A80BAE">
        <w:rPr>
          <w:rFonts w:ascii="Arial" w:hAnsi="Arial" w:cs="Arial"/>
          <w:iCs/>
          <w:sz w:val="24"/>
          <w:szCs w:val="24"/>
        </w:rPr>
        <w:t xml:space="preserve"> </w:t>
      </w:r>
      <w:r w:rsidRPr="008C04EC">
        <w:rPr>
          <w:rFonts w:ascii="Arial" w:hAnsi="Arial" w:cs="Arial"/>
          <w:iCs/>
          <w:sz w:val="24"/>
          <w:szCs w:val="24"/>
        </w:rPr>
        <w:t>is</w:t>
      </w:r>
      <w:r w:rsidR="00A80BAE">
        <w:rPr>
          <w:rFonts w:ascii="Arial" w:hAnsi="Arial" w:cs="Arial"/>
          <w:iCs/>
          <w:sz w:val="24"/>
          <w:szCs w:val="24"/>
        </w:rPr>
        <w:t xml:space="preserve"> </w:t>
      </w:r>
      <w:r w:rsidRPr="008C04EC">
        <w:rPr>
          <w:rFonts w:ascii="Arial" w:hAnsi="Arial" w:cs="Arial"/>
          <w:iCs/>
          <w:sz w:val="24"/>
          <w:szCs w:val="24"/>
        </w:rPr>
        <w:t>an</w:t>
      </w:r>
      <w:r w:rsidR="00A80BAE">
        <w:rPr>
          <w:rFonts w:ascii="Arial" w:hAnsi="Arial" w:cs="Arial"/>
          <w:iCs/>
          <w:sz w:val="24"/>
          <w:szCs w:val="24"/>
        </w:rPr>
        <w:t xml:space="preserve"> </w:t>
      </w:r>
      <w:r w:rsidRPr="008C04EC">
        <w:rPr>
          <w:rFonts w:ascii="Arial" w:hAnsi="Arial" w:cs="Arial"/>
          <w:iCs/>
          <w:sz w:val="24"/>
          <w:szCs w:val="24"/>
        </w:rPr>
        <w:t>evidence</w:t>
      </w:r>
      <w:r w:rsidRPr="008C04EC">
        <w:rPr>
          <w:rFonts w:ascii="Arial" w:hAnsi="Arial" w:cs="Arial"/>
          <w:iCs/>
          <w:sz w:val="24"/>
          <w:szCs w:val="24"/>
        </w:rPr>
        <w:noBreakHyphen/>
        <w:t>based</w:t>
      </w:r>
      <w:r w:rsidR="00A80BAE">
        <w:rPr>
          <w:rFonts w:ascii="Arial" w:hAnsi="Arial" w:cs="Arial"/>
          <w:iCs/>
          <w:sz w:val="24"/>
          <w:szCs w:val="24"/>
        </w:rPr>
        <w:t xml:space="preserve"> </w:t>
      </w:r>
      <w:r w:rsidRPr="008C04EC">
        <w:rPr>
          <w:rFonts w:ascii="Arial" w:hAnsi="Arial" w:cs="Arial"/>
          <w:iCs/>
          <w:sz w:val="24"/>
          <w:szCs w:val="24"/>
        </w:rPr>
        <w:t>harm reduction intervention</w:t>
      </w:r>
      <w:r w:rsidR="00A80BAE">
        <w:rPr>
          <w:rFonts w:ascii="Arial" w:hAnsi="Arial" w:cs="Arial"/>
          <w:iCs/>
          <w:sz w:val="24"/>
          <w:szCs w:val="24"/>
        </w:rPr>
        <w:t xml:space="preserve"> </w:t>
      </w:r>
      <w:r w:rsidRPr="008C04EC">
        <w:rPr>
          <w:rFonts w:ascii="Arial" w:hAnsi="Arial" w:cs="Arial"/>
          <w:iCs/>
          <w:sz w:val="24"/>
          <w:szCs w:val="24"/>
        </w:rPr>
        <w:t>which</w:t>
      </w:r>
      <w:r w:rsidR="00A80BAE">
        <w:rPr>
          <w:rFonts w:ascii="Arial" w:hAnsi="Arial" w:cs="Arial"/>
          <w:iCs/>
          <w:sz w:val="24"/>
          <w:szCs w:val="24"/>
        </w:rPr>
        <w:t xml:space="preserve"> </w:t>
      </w:r>
      <w:r w:rsidRPr="008C04EC">
        <w:rPr>
          <w:rFonts w:ascii="Arial" w:hAnsi="Arial" w:cs="Arial"/>
          <w:iCs/>
          <w:sz w:val="24"/>
          <w:szCs w:val="24"/>
        </w:rPr>
        <w:t>prevents</w:t>
      </w:r>
      <w:r w:rsidR="00A80BAE">
        <w:rPr>
          <w:rFonts w:ascii="Arial" w:hAnsi="Arial" w:cs="Arial"/>
          <w:iCs/>
          <w:sz w:val="24"/>
          <w:szCs w:val="24"/>
        </w:rPr>
        <w:t xml:space="preserve"> </w:t>
      </w:r>
      <w:r w:rsidRPr="008C04EC">
        <w:rPr>
          <w:rFonts w:ascii="Arial" w:hAnsi="Arial" w:cs="Arial"/>
          <w:iCs/>
          <w:sz w:val="24"/>
          <w:szCs w:val="24"/>
        </w:rPr>
        <w:t>and limits the risk of gambling harm</w:t>
      </w:r>
      <w:r w:rsidR="00B13E5E">
        <w:rPr>
          <w:rFonts w:ascii="Arial" w:hAnsi="Arial" w:cs="Arial"/>
          <w:iCs/>
          <w:sz w:val="24"/>
          <w:szCs w:val="24"/>
        </w:rPr>
        <w:t xml:space="preserve">. Involuntary gambling exclusion (licensee exclusion) is an existing policy in the ACT, and the amendment establishes this within the gambling exclusion scheme consistently with current licensee requirements whereby a licensee must monitor for signs of gambling harm. </w:t>
      </w:r>
      <w:r w:rsidRPr="008C04EC">
        <w:rPr>
          <w:rFonts w:ascii="Arial" w:hAnsi="Arial" w:cs="Arial"/>
          <w:iCs/>
          <w:sz w:val="24"/>
          <w:szCs w:val="24"/>
        </w:rPr>
        <w:t> </w:t>
      </w:r>
      <w:r w:rsidR="00B13E5E">
        <w:rPr>
          <w:rFonts w:ascii="Arial" w:hAnsi="Arial" w:cs="Arial"/>
          <w:iCs/>
          <w:sz w:val="24"/>
          <w:szCs w:val="24"/>
        </w:rPr>
        <w:t xml:space="preserve">The </w:t>
      </w:r>
      <w:r w:rsidRPr="008C04EC">
        <w:rPr>
          <w:rFonts w:ascii="Arial" w:hAnsi="Arial" w:cs="Arial"/>
          <w:iCs/>
          <w:sz w:val="24"/>
          <w:szCs w:val="24"/>
        </w:rPr>
        <w:t>amendment aims to promoting a higher degree of community and consumer safety in environments where gambling activities take place. </w:t>
      </w:r>
      <w:r w:rsidR="00B13E5E">
        <w:rPr>
          <w:rFonts w:ascii="Arial" w:hAnsi="Arial" w:cs="Arial"/>
          <w:iCs/>
          <w:sz w:val="24"/>
          <w:szCs w:val="24"/>
        </w:rPr>
        <w:t>L</w:t>
      </w:r>
      <w:r w:rsidRPr="008C04EC">
        <w:rPr>
          <w:rFonts w:ascii="Arial" w:hAnsi="Arial" w:cs="Arial"/>
          <w:iCs/>
          <w:sz w:val="24"/>
          <w:szCs w:val="24"/>
        </w:rPr>
        <w:t xml:space="preserve">icensee exclusion has a legitimate purpose as </w:t>
      </w:r>
      <w:r w:rsidR="001872FD">
        <w:rPr>
          <w:rFonts w:ascii="Arial" w:hAnsi="Arial" w:cs="Arial"/>
          <w:iCs/>
          <w:sz w:val="24"/>
          <w:szCs w:val="24"/>
        </w:rPr>
        <w:t>gambling harm requires licensee to act</w:t>
      </w:r>
      <w:r w:rsidRPr="008C04EC">
        <w:rPr>
          <w:rFonts w:ascii="Arial" w:hAnsi="Arial" w:cs="Arial"/>
          <w:iCs/>
          <w:sz w:val="24"/>
          <w:szCs w:val="24"/>
        </w:rPr>
        <w:t xml:space="preserve"> when involuntary exclusion is a necessary and proportionate intervention to prevent the risk to a person’s welfare due to gambling.  </w:t>
      </w:r>
    </w:p>
    <w:p w14:paraId="7A6B2B68" w14:textId="53AD7847" w:rsidR="008C04EC" w:rsidRPr="00E018F3" w:rsidRDefault="008C04EC" w:rsidP="00593E49">
      <w:pPr>
        <w:pStyle w:val="ListParagraph"/>
        <w:numPr>
          <w:ilvl w:val="0"/>
          <w:numId w:val="40"/>
        </w:numPr>
        <w:spacing w:after="120"/>
        <w:ind w:left="357" w:hanging="357"/>
        <w:rPr>
          <w:rFonts w:ascii="Arial" w:hAnsi="Arial" w:cs="Arial"/>
          <w:b/>
          <w:bCs/>
          <w:i/>
          <w:sz w:val="24"/>
          <w:szCs w:val="24"/>
        </w:rPr>
      </w:pPr>
      <w:r w:rsidRPr="00E018F3">
        <w:rPr>
          <w:rFonts w:ascii="Arial" w:hAnsi="Arial" w:cs="Arial"/>
          <w:b/>
          <w:bCs/>
          <w:i/>
          <w:sz w:val="24"/>
          <w:szCs w:val="24"/>
        </w:rPr>
        <w:t>Rational connection between the limitation and the purpose (s28</w:t>
      </w:r>
      <w:r w:rsidR="00BC35DF">
        <w:rPr>
          <w:rFonts w:ascii="Arial" w:hAnsi="Arial" w:cs="Arial"/>
          <w:b/>
          <w:bCs/>
          <w:i/>
          <w:sz w:val="24"/>
          <w:szCs w:val="24"/>
        </w:rPr>
        <w:t>(2)</w:t>
      </w:r>
      <w:r w:rsidRPr="00E018F3">
        <w:rPr>
          <w:rFonts w:ascii="Arial" w:hAnsi="Arial" w:cs="Arial"/>
          <w:b/>
          <w:bCs/>
          <w:i/>
          <w:sz w:val="24"/>
          <w:szCs w:val="24"/>
        </w:rPr>
        <w:t>(d)) </w:t>
      </w:r>
    </w:p>
    <w:p w14:paraId="6BB4CF6C" w14:textId="21A6C4F8" w:rsidR="008C04EC" w:rsidRPr="008C04EC" w:rsidRDefault="008C04EC" w:rsidP="008C04EC">
      <w:pPr>
        <w:rPr>
          <w:rFonts w:ascii="Arial" w:hAnsi="Arial" w:cs="Arial"/>
          <w:iCs/>
          <w:sz w:val="24"/>
          <w:szCs w:val="24"/>
        </w:rPr>
      </w:pPr>
      <w:r w:rsidRPr="008C04EC">
        <w:rPr>
          <w:rFonts w:ascii="Arial" w:hAnsi="Arial" w:cs="Arial"/>
          <w:iCs/>
          <w:sz w:val="24"/>
          <w:szCs w:val="24"/>
        </w:rPr>
        <w:t>The requirement that a licensee must exclude a person at risk of gambling harm plays an important role in ensuring</w:t>
      </w:r>
      <w:r w:rsidR="00F86D10">
        <w:rPr>
          <w:rFonts w:ascii="Arial" w:hAnsi="Arial" w:cs="Arial"/>
          <w:iCs/>
          <w:sz w:val="24"/>
          <w:szCs w:val="24"/>
        </w:rPr>
        <w:t xml:space="preserve"> </w:t>
      </w:r>
      <w:r w:rsidRPr="008C04EC">
        <w:rPr>
          <w:rFonts w:ascii="Arial" w:hAnsi="Arial" w:cs="Arial"/>
          <w:iCs/>
          <w:sz w:val="24"/>
          <w:szCs w:val="24"/>
        </w:rPr>
        <w:t>consumer and community safety by requiring licensees to respond appropriately to observed risk of gambling harm. This intervention limits and prevents harm experienced through gambling</w:t>
      </w:r>
      <w:r w:rsidR="006560A9">
        <w:rPr>
          <w:rFonts w:ascii="Arial" w:hAnsi="Arial" w:cs="Arial"/>
          <w:iCs/>
          <w:sz w:val="24"/>
          <w:szCs w:val="24"/>
        </w:rPr>
        <w:t xml:space="preserve"> as preventing someone from gambling when they are at risk of harm is highly effective in reducing that risk</w:t>
      </w:r>
      <w:r w:rsidRPr="008C04EC">
        <w:rPr>
          <w:rFonts w:ascii="Arial" w:hAnsi="Arial" w:cs="Arial"/>
          <w:iCs/>
          <w:sz w:val="24"/>
          <w:szCs w:val="24"/>
        </w:rPr>
        <w:t>.  Without this legislati</w:t>
      </w:r>
      <w:r w:rsidR="00360E0D">
        <w:rPr>
          <w:rFonts w:ascii="Arial" w:hAnsi="Arial" w:cs="Arial"/>
          <w:iCs/>
          <w:sz w:val="24"/>
          <w:szCs w:val="24"/>
        </w:rPr>
        <w:t>ve</w:t>
      </w:r>
      <w:r w:rsidRPr="008C04EC">
        <w:rPr>
          <w:rFonts w:ascii="Arial" w:hAnsi="Arial" w:cs="Arial"/>
          <w:iCs/>
          <w:sz w:val="24"/>
          <w:szCs w:val="24"/>
        </w:rPr>
        <w:t xml:space="preserve"> requirement for gambling exclusion intervention by licensees, people experiencing harm or at risk of harm may not be able to pause gambling or seek help, presenting a significant safety and wellbeing risk for people experiencing gambling harm, noting that gambling harm can also extend to other people such as family members. </w:t>
      </w:r>
    </w:p>
    <w:p w14:paraId="12865C85" w14:textId="60339B02" w:rsidR="008C04EC" w:rsidRPr="00E018F3" w:rsidRDefault="008C04EC" w:rsidP="00593E49">
      <w:pPr>
        <w:pStyle w:val="ListParagraph"/>
        <w:numPr>
          <w:ilvl w:val="0"/>
          <w:numId w:val="40"/>
        </w:numPr>
        <w:spacing w:after="120"/>
        <w:ind w:left="357" w:hanging="357"/>
        <w:rPr>
          <w:rFonts w:ascii="Arial" w:hAnsi="Arial" w:cs="Arial"/>
          <w:b/>
          <w:bCs/>
          <w:i/>
          <w:sz w:val="24"/>
          <w:szCs w:val="24"/>
        </w:rPr>
      </w:pPr>
      <w:r w:rsidRPr="00E018F3">
        <w:rPr>
          <w:rFonts w:ascii="Arial" w:hAnsi="Arial" w:cs="Arial"/>
          <w:b/>
          <w:bCs/>
          <w:i/>
          <w:sz w:val="24"/>
          <w:szCs w:val="24"/>
        </w:rPr>
        <w:t>Proportionality (s28(</w:t>
      </w:r>
      <w:r w:rsidR="005E2156" w:rsidRPr="00E018F3">
        <w:rPr>
          <w:rFonts w:ascii="Arial" w:hAnsi="Arial" w:cs="Arial"/>
          <w:b/>
          <w:bCs/>
          <w:i/>
          <w:sz w:val="24"/>
          <w:szCs w:val="24"/>
        </w:rPr>
        <w:t>2)</w:t>
      </w:r>
      <w:r w:rsidRPr="00E018F3">
        <w:rPr>
          <w:rFonts w:ascii="Arial" w:hAnsi="Arial" w:cs="Arial"/>
          <w:b/>
          <w:bCs/>
          <w:i/>
          <w:sz w:val="24"/>
          <w:szCs w:val="24"/>
        </w:rPr>
        <w:t>(e)) </w:t>
      </w:r>
    </w:p>
    <w:p w14:paraId="0C3A78EF" w14:textId="72B3602D" w:rsidR="007B70A6" w:rsidRDefault="008C04EC" w:rsidP="0078385E">
      <w:pPr>
        <w:rPr>
          <w:rFonts w:ascii="Arial" w:hAnsi="Arial" w:cs="Arial"/>
          <w:iCs/>
          <w:sz w:val="24"/>
          <w:szCs w:val="24"/>
        </w:rPr>
      </w:pPr>
      <w:r w:rsidRPr="008C04EC">
        <w:rPr>
          <w:rFonts w:ascii="Arial" w:hAnsi="Arial" w:cs="Arial"/>
          <w:iCs/>
          <w:sz w:val="24"/>
          <w:szCs w:val="24"/>
        </w:rPr>
        <w:t>The limitations on freedom of movement are considered proportionate to the legitimate purpose.  </w:t>
      </w:r>
      <w:r w:rsidR="00277DB2">
        <w:rPr>
          <w:rFonts w:ascii="Arial" w:hAnsi="Arial" w:cs="Arial"/>
          <w:iCs/>
          <w:sz w:val="24"/>
          <w:szCs w:val="24"/>
        </w:rPr>
        <w:t xml:space="preserve">There are several elements of the scheme that balance the limitation </w:t>
      </w:r>
      <w:r w:rsidR="007B70A6">
        <w:rPr>
          <w:rFonts w:ascii="Arial" w:hAnsi="Arial" w:cs="Arial"/>
          <w:iCs/>
          <w:sz w:val="24"/>
          <w:szCs w:val="24"/>
        </w:rPr>
        <w:t>on freedom of movement, including:</w:t>
      </w:r>
    </w:p>
    <w:p w14:paraId="08B47221" w14:textId="3D9959A7" w:rsidR="00554242" w:rsidRDefault="00402D61" w:rsidP="007B70A6">
      <w:pPr>
        <w:pStyle w:val="ListParagraph"/>
        <w:numPr>
          <w:ilvl w:val="0"/>
          <w:numId w:val="39"/>
        </w:numPr>
        <w:rPr>
          <w:rFonts w:ascii="Arial" w:hAnsi="Arial" w:cs="Arial"/>
          <w:iCs/>
          <w:sz w:val="24"/>
          <w:szCs w:val="24"/>
        </w:rPr>
      </w:pPr>
      <w:r>
        <w:rPr>
          <w:rFonts w:ascii="Arial" w:hAnsi="Arial" w:cs="Arial"/>
          <w:iCs/>
          <w:sz w:val="24"/>
          <w:szCs w:val="24"/>
        </w:rPr>
        <w:lastRenderedPageBreak/>
        <w:t>The grounds for licensee</w:t>
      </w:r>
      <w:r w:rsidR="00554242">
        <w:rPr>
          <w:rFonts w:ascii="Arial" w:hAnsi="Arial" w:cs="Arial"/>
          <w:iCs/>
          <w:sz w:val="24"/>
          <w:szCs w:val="24"/>
        </w:rPr>
        <w:t xml:space="preserve"> exclusions are considered by the Commission</w:t>
      </w:r>
      <w:r>
        <w:rPr>
          <w:rFonts w:ascii="Arial" w:hAnsi="Arial" w:cs="Arial"/>
          <w:iCs/>
          <w:sz w:val="24"/>
          <w:szCs w:val="24"/>
        </w:rPr>
        <w:t xml:space="preserve"> which will determine if they are fair and reasonable. </w:t>
      </w:r>
    </w:p>
    <w:p w14:paraId="35C544FD" w14:textId="2FB1EABB" w:rsidR="00AC3CA4" w:rsidRDefault="0078385E" w:rsidP="0078385E">
      <w:pPr>
        <w:pStyle w:val="ListParagraph"/>
        <w:numPr>
          <w:ilvl w:val="0"/>
          <w:numId w:val="39"/>
        </w:numPr>
        <w:rPr>
          <w:rFonts w:ascii="Arial" w:hAnsi="Arial" w:cs="Arial"/>
          <w:iCs/>
          <w:sz w:val="24"/>
          <w:szCs w:val="24"/>
        </w:rPr>
      </w:pPr>
      <w:r w:rsidRPr="00D978E9">
        <w:rPr>
          <w:rFonts w:ascii="Arial" w:hAnsi="Arial" w:cs="Arial"/>
          <w:iCs/>
          <w:sz w:val="24"/>
          <w:szCs w:val="24"/>
        </w:rPr>
        <w:t>A person who is excluded by a licensee has the right of review of a which balances th</w:t>
      </w:r>
      <w:r w:rsidR="000C6172" w:rsidRPr="00D978E9">
        <w:rPr>
          <w:rFonts w:ascii="Arial" w:hAnsi="Arial" w:cs="Arial"/>
          <w:iCs/>
          <w:sz w:val="24"/>
          <w:szCs w:val="24"/>
        </w:rPr>
        <w:t>e</w:t>
      </w:r>
      <w:r w:rsidRPr="00D978E9">
        <w:rPr>
          <w:rFonts w:ascii="Arial" w:hAnsi="Arial" w:cs="Arial"/>
          <w:iCs/>
          <w:sz w:val="24"/>
          <w:szCs w:val="24"/>
        </w:rPr>
        <w:t xml:space="preserve"> limitation. The ability to review a licensee exclusion notice ensures that a person’s right to freedom of movement is not unfairly restricted with </w:t>
      </w:r>
      <w:r w:rsidR="00277DB2" w:rsidRPr="00D978E9">
        <w:rPr>
          <w:rFonts w:ascii="Arial" w:hAnsi="Arial" w:cs="Arial"/>
          <w:iCs/>
          <w:sz w:val="24"/>
          <w:szCs w:val="24"/>
        </w:rPr>
        <w:t>un</w:t>
      </w:r>
      <w:r w:rsidRPr="00D978E9">
        <w:rPr>
          <w:rFonts w:ascii="Arial" w:hAnsi="Arial" w:cs="Arial"/>
          <w:iCs/>
          <w:sz w:val="24"/>
          <w:szCs w:val="24"/>
        </w:rPr>
        <w:t>substantiated reasons. </w:t>
      </w:r>
    </w:p>
    <w:p w14:paraId="437085CB" w14:textId="5D6F8FA1" w:rsidR="00AC3CA4" w:rsidRPr="00E018F3" w:rsidRDefault="0078385E" w:rsidP="00E018F3">
      <w:pPr>
        <w:pStyle w:val="ListParagraph"/>
        <w:numPr>
          <w:ilvl w:val="0"/>
          <w:numId w:val="39"/>
        </w:numPr>
        <w:rPr>
          <w:rFonts w:ascii="Arial" w:hAnsi="Arial" w:cs="Arial"/>
          <w:iCs/>
          <w:sz w:val="24"/>
          <w:szCs w:val="24"/>
        </w:rPr>
      </w:pPr>
      <w:r w:rsidRPr="00D978E9">
        <w:rPr>
          <w:rFonts w:ascii="Arial" w:hAnsi="Arial" w:cs="Arial"/>
          <w:iCs/>
          <w:sz w:val="24"/>
          <w:szCs w:val="24"/>
        </w:rPr>
        <w:t>The Bill provides that the maximum term of gambling a</w:t>
      </w:r>
      <w:r w:rsidR="00AC3CA4">
        <w:rPr>
          <w:rFonts w:ascii="Arial" w:hAnsi="Arial" w:cs="Arial"/>
          <w:iCs/>
          <w:sz w:val="24"/>
          <w:szCs w:val="24"/>
        </w:rPr>
        <w:t xml:space="preserve">n </w:t>
      </w:r>
      <w:r w:rsidRPr="00D978E9">
        <w:rPr>
          <w:rFonts w:ascii="Arial" w:hAnsi="Arial" w:cs="Arial"/>
          <w:iCs/>
          <w:sz w:val="24"/>
          <w:szCs w:val="24"/>
        </w:rPr>
        <w:t>exclusion is 5 years</w:t>
      </w:r>
      <w:r w:rsidR="00AC3CA4">
        <w:rPr>
          <w:rFonts w:ascii="Arial" w:hAnsi="Arial" w:cs="Arial"/>
          <w:iCs/>
          <w:sz w:val="24"/>
          <w:szCs w:val="24"/>
        </w:rPr>
        <w:t xml:space="preserve">. </w:t>
      </w:r>
      <w:r w:rsidR="009B1B70">
        <w:rPr>
          <w:rFonts w:ascii="Arial" w:hAnsi="Arial" w:cs="Arial"/>
          <w:iCs/>
          <w:sz w:val="24"/>
          <w:szCs w:val="24"/>
        </w:rPr>
        <w:br/>
      </w:r>
    </w:p>
    <w:p w14:paraId="60DCF2D9" w14:textId="723920B0" w:rsidR="0078385E" w:rsidRPr="00A80BAE" w:rsidRDefault="00AC3CA4" w:rsidP="008C04EC">
      <w:pPr>
        <w:rPr>
          <w:rFonts w:ascii="Arial" w:hAnsi="Arial" w:cs="Arial"/>
          <w:iCs/>
          <w:sz w:val="24"/>
          <w:szCs w:val="24"/>
        </w:rPr>
      </w:pPr>
      <w:r>
        <w:rPr>
          <w:rFonts w:ascii="Arial" w:hAnsi="Arial" w:cs="Arial"/>
          <w:iCs/>
          <w:sz w:val="24"/>
          <w:szCs w:val="24"/>
        </w:rPr>
        <w:t>T</w:t>
      </w:r>
      <w:r w:rsidR="0078385E" w:rsidRPr="00D978E9">
        <w:rPr>
          <w:rFonts w:ascii="Arial" w:hAnsi="Arial" w:cs="Arial"/>
          <w:iCs/>
          <w:sz w:val="24"/>
          <w:szCs w:val="24"/>
        </w:rPr>
        <w:t>herefore</w:t>
      </w:r>
      <w:r>
        <w:rPr>
          <w:rFonts w:ascii="Arial" w:hAnsi="Arial" w:cs="Arial"/>
          <w:iCs/>
          <w:sz w:val="24"/>
          <w:szCs w:val="24"/>
        </w:rPr>
        <w:t>,</w:t>
      </w:r>
      <w:r w:rsidR="0078385E" w:rsidRPr="00D978E9">
        <w:rPr>
          <w:rFonts w:ascii="Arial" w:hAnsi="Arial" w:cs="Arial"/>
          <w:iCs/>
          <w:sz w:val="24"/>
          <w:szCs w:val="24"/>
        </w:rPr>
        <w:t xml:space="preserve"> exclusion</w:t>
      </w:r>
      <w:r>
        <w:rPr>
          <w:rFonts w:ascii="Arial" w:hAnsi="Arial" w:cs="Arial"/>
          <w:iCs/>
          <w:sz w:val="24"/>
          <w:szCs w:val="24"/>
        </w:rPr>
        <w:t>s are</w:t>
      </w:r>
      <w:r w:rsidR="0078385E" w:rsidRPr="00D978E9">
        <w:rPr>
          <w:rFonts w:ascii="Arial" w:hAnsi="Arial" w:cs="Arial"/>
          <w:iCs/>
          <w:sz w:val="24"/>
          <w:szCs w:val="24"/>
        </w:rPr>
        <w:t xml:space="preserve"> neither absolute nor permanent. </w:t>
      </w:r>
    </w:p>
    <w:p w14:paraId="13B658FC" w14:textId="4A8E0D05" w:rsidR="008C04EC" w:rsidRPr="008C04EC" w:rsidRDefault="008C04EC" w:rsidP="008C04EC">
      <w:pPr>
        <w:rPr>
          <w:rFonts w:ascii="Arial" w:hAnsi="Arial" w:cs="Arial"/>
          <w:iCs/>
          <w:sz w:val="24"/>
          <w:szCs w:val="24"/>
        </w:rPr>
      </w:pPr>
      <w:r w:rsidRPr="008C04EC">
        <w:rPr>
          <w:rFonts w:ascii="Arial" w:hAnsi="Arial" w:cs="Arial"/>
          <w:iCs/>
          <w:sz w:val="24"/>
          <w:szCs w:val="24"/>
        </w:rPr>
        <w:t>Section 19</w:t>
      </w:r>
      <w:r w:rsidR="006174B5">
        <w:rPr>
          <w:rFonts w:ascii="Arial" w:hAnsi="Arial" w:cs="Arial"/>
          <w:iCs/>
          <w:sz w:val="24"/>
          <w:szCs w:val="24"/>
        </w:rPr>
        <w:t>J</w:t>
      </w:r>
      <w:r w:rsidRPr="008C04EC">
        <w:rPr>
          <w:rFonts w:ascii="Arial" w:hAnsi="Arial" w:cs="Arial"/>
          <w:iCs/>
          <w:sz w:val="24"/>
          <w:szCs w:val="24"/>
        </w:rPr>
        <w:t> provides that a licensee exclusion notice excludes a person from participating in a certain gambling activity where risk of harm is observed. Exclusion from a gambling activity is considered less restrictive than exclusion from a</w:t>
      </w:r>
      <w:r w:rsidR="00F82455">
        <w:rPr>
          <w:rFonts w:ascii="Arial" w:hAnsi="Arial" w:cs="Arial"/>
          <w:iCs/>
          <w:sz w:val="24"/>
          <w:szCs w:val="24"/>
        </w:rPr>
        <w:t>n entire</w:t>
      </w:r>
      <w:r w:rsidRPr="008C04EC">
        <w:rPr>
          <w:rFonts w:ascii="Arial" w:hAnsi="Arial" w:cs="Arial"/>
          <w:iCs/>
          <w:sz w:val="24"/>
          <w:szCs w:val="24"/>
        </w:rPr>
        <w:t xml:space="preserve"> place or venue, because it </w:t>
      </w:r>
      <w:r w:rsidR="00031472">
        <w:rPr>
          <w:rFonts w:ascii="Arial" w:hAnsi="Arial" w:cs="Arial"/>
          <w:iCs/>
          <w:sz w:val="24"/>
          <w:szCs w:val="24"/>
        </w:rPr>
        <w:t>does</w:t>
      </w:r>
      <w:r w:rsidR="00031472" w:rsidRPr="008C04EC">
        <w:rPr>
          <w:rFonts w:ascii="Arial" w:hAnsi="Arial" w:cs="Arial"/>
          <w:iCs/>
          <w:sz w:val="24"/>
          <w:szCs w:val="24"/>
        </w:rPr>
        <w:t> </w:t>
      </w:r>
      <w:r w:rsidRPr="008C04EC">
        <w:rPr>
          <w:rFonts w:ascii="Arial" w:hAnsi="Arial" w:cs="Arial"/>
          <w:iCs/>
          <w:sz w:val="24"/>
          <w:szCs w:val="24"/>
        </w:rPr>
        <w:t>not preclude a person from attending another part of the venue where the gambling activity takes place. Sanctions for an individual failing to comply with a</w:t>
      </w:r>
      <w:r w:rsidR="00FF14A3">
        <w:rPr>
          <w:rFonts w:ascii="Arial" w:hAnsi="Arial" w:cs="Arial"/>
          <w:iCs/>
          <w:sz w:val="24"/>
          <w:szCs w:val="24"/>
        </w:rPr>
        <w:t>n</w:t>
      </w:r>
      <w:r w:rsidRPr="008C04EC">
        <w:rPr>
          <w:rFonts w:ascii="Arial" w:hAnsi="Arial" w:cs="Arial"/>
          <w:iCs/>
          <w:sz w:val="24"/>
          <w:szCs w:val="24"/>
        </w:rPr>
        <w:t> exclusion determination were considered, however </w:t>
      </w:r>
      <w:r w:rsidR="00114E0F">
        <w:rPr>
          <w:rFonts w:ascii="Arial" w:hAnsi="Arial" w:cs="Arial"/>
          <w:iCs/>
          <w:sz w:val="24"/>
          <w:szCs w:val="24"/>
        </w:rPr>
        <w:t>were</w:t>
      </w:r>
      <w:r w:rsidR="00114E0F" w:rsidRPr="008C04EC">
        <w:rPr>
          <w:rFonts w:ascii="Arial" w:hAnsi="Arial" w:cs="Arial"/>
          <w:iCs/>
          <w:sz w:val="24"/>
          <w:szCs w:val="24"/>
        </w:rPr>
        <w:t xml:space="preserve"> </w:t>
      </w:r>
      <w:r w:rsidRPr="008C04EC">
        <w:rPr>
          <w:rFonts w:ascii="Arial" w:hAnsi="Arial" w:cs="Arial"/>
          <w:iCs/>
          <w:sz w:val="24"/>
          <w:szCs w:val="24"/>
        </w:rPr>
        <w:t>not included given:  </w:t>
      </w:r>
    </w:p>
    <w:p w14:paraId="558073AB" w14:textId="77777777" w:rsidR="008C04EC" w:rsidRPr="008C04EC" w:rsidRDefault="008C04EC" w:rsidP="008C04EC">
      <w:pPr>
        <w:numPr>
          <w:ilvl w:val="0"/>
          <w:numId w:val="36"/>
        </w:numPr>
        <w:rPr>
          <w:rFonts w:ascii="Arial" w:hAnsi="Arial" w:cs="Arial"/>
          <w:iCs/>
          <w:sz w:val="24"/>
          <w:szCs w:val="24"/>
        </w:rPr>
      </w:pPr>
      <w:r w:rsidRPr="008C04EC">
        <w:rPr>
          <w:rFonts w:ascii="Arial" w:hAnsi="Arial" w:cs="Arial"/>
          <w:iCs/>
          <w:sz w:val="24"/>
          <w:szCs w:val="24"/>
        </w:rPr>
        <w:t>the harm minimisation intent of the Bill </w:t>
      </w:r>
    </w:p>
    <w:p w14:paraId="3BE242D5" w14:textId="77777777" w:rsidR="008C04EC" w:rsidRPr="008C04EC" w:rsidRDefault="008C04EC" w:rsidP="008C04EC">
      <w:pPr>
        <w:numPr>
          <w:ilvl w:val="0"/>
          <w:numId w:val="37"/>
        </w:numPr>
        <w:rPr>
          <w:rFonts w:ascii="Arial" w:hAnsi="Arial" w:cs="Arial"/>
          <w:iCs/>
          <w:sz w:val="24"/>
          <w:szCs w:val="24"/>
        </w:rPr>
      </w:pPr>
      <w:r w:rsidRPr="008C04EC">
        <w:rPr>
          <w:rFonts w:ascii="Arial" w:hAnsi="Arial" w:cs="Arial"/>
          <w:iCs/>
          <w:sz w:val="24"/>
          <w:szCs w:val="24"/>
        </w:rPr>
        <w:t>recognising the challenges individuals may face in overcoming a compulsion to continue gambling, and  </w:t>
      </w:r>
    </w:p>
    <w:p w14:paraId="722ACBCE" w14:textId="77777777" w:rsidR="008C04EC" w:rsidRPr="008C04EC" w:rsidRDefault="008C04EC" w:rsidP="008C04EC">
      <w:pPr>
        <w:numPr>
          <w:ilvl w:val="0"/>
          <w:numId w:val="38"/>
        </w:numPr>
        <w:rPr>
          <w:rFonts w:ascii="Arial" w:hAnsi="Arial" w:cs="Arial"/>
          <w:iCs/>
          <w:sz w:val="24"/>
          <w:szCs w:val="24"/>
        </w:rPr>
      </w:pPr>
      <w:r w:rsidRPr="008C04EC">
        <w:rPr>
          <w:rFonts w:ascii="Arial" w:hAnsi="Arial" w:cs="Arial"/>
          <w:iCs/>
          <w:sz w:val="24"/>
          <w:szCs w:val="24"/>
        </w:rPr>
        <w:t>that those at risk of gambling harm may already be experiencing financial disadvantage.  </w:t>
      </w:r>
    </w:p>
    <w:p w14:paraId="1EEA5DEB" w14:textId="2FB36FC3" w:rsidR="00C10957" w:rsidRPr="008C04EC" w:rsidRDefault="00C10957" w:rsidP="00D978E9">
      <w:pPr>
        <w:rPr>
          <w:rFonts w:ascii="Arial" w:hAnsi="Arial" w:cs="Arial"/>
          <w:iCs/>
          <w:sz w:val="24"/>
          <w:szCs w:val="24"/>
        </w:rPr>
      </w:pPr>
      <w:r>
        <w:rPr>
          <w:rFonts w:ascii="Arial" w:hAnsi="Arial" w:cs="Arial"/>
          <w:iCs/>
          <w:sz w:val="24"/>
          <w:szCs w:val="24"/>
        </w:rPr>
        <w:t>Ultimately, there is no less restrictive option available to give effect to an exclusion scheme – exclusion from gambling inherently requires some limitation to freedom of movement as preventing a person who is excluded from gambling is central to</w:t>
      </w:r>
      <w:r w:rsidR="00C83E75">
        <w:rPr>
          <w:rFonts w:ascii="Arial" w:hAnsi="Arial" w:cs="Arial"/>
          <w:iCs/>
          <w:sz w:val="24"/>
          <w:szCs w:val="24"/>
        </w:rPr>
        <w:t xml:space="preserve"> delivering an effective exclusion. </w:t>
      </w:r>
      <w:r w:rsidR="00211474">
        <w:rPr>
          <w:rFonts w:ascii="Arial" w:hAnsi="Arial" w:cs="Arial"/>
          <w:iCs/>
          <w:sz w:val="24"/>
          <w:szCs w:val="24"/>
        </w:rPr>
        <w:t xml:space="preserve">This is also reinforced by the safeguards described above. </w:t>
      </w:r>
      <w:r w:rsidR="000D04A1">
        <w:rPr>
          <w:rFonts w:ascii="Arial" w:hAnsi="Arial" w:cs="Arial"/>
          <w:iCs/>
          <w:sz w:val="24"/>
          <w:szCs w:val="24"/>
        </w:rPr>
        <w:t xml:space="preserve"> </w:t>
      </w:r>
    </w:p>
    <w:p w14:paraId="4599988A" w14:textId="534F4FAD" w:rsidR="0025212C" w:rsidRDefault="008C04EC" w:rsidP="00E018F3">
      <w:pPr>
        <w:rPr>
          <w:rFonts w:ascii="Arial" w:hAnsi="Arial" w:cs="Arial"/>
          <w:b/>
          <w:bCs/>
          <w:iCs/>
          <w:sz w:val="24"/>
          <w:szCs w:val="24"/>
          <w:u w:val="single"/>
        </w:rPr>
      </w:pPr>
      <w:r w:rsidRPr="008C04EC">
        <w:rPr>
          <w:rFonts w:ascii="Arial" w:hAnsi="Arial" w:cs="Arial"/>
          <w:iCs/>
          <w:sz w:val="24"/>
          <w:szCs w:val="24"/>
        </w:rPr>
        <w:t xml:space="preserve">These amendments represent a reasonable and justifiable limitation on the right to freedom of movement, </w:t>
      </w:r>
      <w:r w:rsidR="00F23E3F">
        <w:rPr>
          <w:rFonts w:ascii="Arial" w:hAnsi="Arial" w:cs="Arial"/>
          <w:iCs/>
          <w:sz w:val="24"/>
          <w:szCs w:val="24"/>
        </w:rPr>
        <w:t>as the limitation is targeted and proportionate to the legitimate objective of reducing</w:t>
      </w:r>
      <w:r w:rsidRPr="008C04EC">
        <w:rPr>
          <w:rFonts w:ascii="Arial" w:hAnsi="Arial" w:cs="Arial"/>
          <w:iCs/>
          <w:sz w:val="24"/>
          <w:szCs w:val="24"/>
        </w:rPr>
        <w:t> risk of gambling harm and improving community safety.  </w:t>
      </w:r>
    </w:p>
    <w:p w14:paraId="7B0B7D23" w14:textId="24B09004" w:rsidR="00A36C30" w:rsidRDefault="00A36C30" w:rsidP="00A36C30">
      <w:pPr>
        <w:rPr>
          <w:rFonts w:ascii="Arial" w:hAnsi="Arial" w:cs="Arial"/>
          <w:iCs/>
          <w:sz w:val="24"/>
          <w:szCs w:val="24"/>
          <w:u w:val="single"/>
        </w:rPr>
      </w:pPr>
      <w:r>
        <w:rPr>
          <w:rFonts w:ascii="Arial" w:hAnsi="Arial" w:cs="Arial"/>
          <w:iCs/>
          <w:sz w:val="24"/>
          <w:szCs w:val="24"/>
          <w:u w:val="single"/>
        </w:rPr>
        <w:t xml:space="preserve">Section 22 – </w:t>
      </w:r>
      <w:r w:rsidR="00B41DCF">
        <w:rPr>
          <w:rFonts w:ascii="Arial" w:hAnsi="Arial" w:cs="Arial"/>
          <w:iCs/>
          <w:sz w:val="24"/>
          <w:szCs w:val="24"/>
          <w:u w:val="single"/>
        </w:rPr>
        <w:t>r</w:t>
      </w:r>
      <w:r>
        <w:rPr>
          <w:rFonts w:ascii="Arial" w:hAnsi="Arial" w:cs="Arial"/>
          <w:iCs/>
          <w:sz w:val="24"/>
          <w:szCs w:val="24"/>
          <w:u w:val="single"/>
        </w:rPr>
        <w:t xml:space="preserve">ights in </w:t>
      </w:r>
      <w:r w:rsidR="00736677">
        <w:rPr>
          <w:rFonts w:ascii="Arial" w:hAnsi="Arial" w:cs="Arial"/>
          <w:iCs/>
          <w:sz w:val="24"/>
          <w:szCs w:val="24"/>
          <w:u w:val="single"/>
        </w:rPr>
        <w:t>c</w:t>
      </w:r>
      <w:r>
        <w:rPr>
          <w:rFonts w:ascii="Arial" w:hAnsi="Arial" w:cs="Arial"/>
          <w:iCs/>
          <w:sz w:val="24"/>
          <w:szCs w:val="24"/>
          <w:u w:val="single"/>
        </w:rPr>
        <w:t xml:space="preserve">riminal </w:t>
      </w:r>
      <w:r w:rsidR="00736677">
        <w:rPr>
          <w:rFonts w:ascii="Arial" w:hAnsi="Arial" w:cs="Arial"/>
          <w:iCs/>
          <w:sz w:val="24"/>
          <w:szCs w:val="24"/>
          <w:u w:val="single"/>
        </w:rPr>
        <w:t>p</w:t>
      </w:r>
      <w:r>
        <w:rPr>
          <w:rFonts w:ascii="Arial" w:hAnsi="Arial" w:cs="Arial"/>
          <w:iCs/>
          <w:sz w:val="24"/>
          <w:szCs w:val="24"/>
          <w:u w:val="single"/>
        </w:rPr>
        <w:t xml:space="preserve">roceedings </w:t>
      </w:r>
    </w:p>
    <w:p w14:paraId="18993E5C" w14:textId="3A2CA43D" w:rsidR="00736677" w:rsidRDefault="00736677" w:rsidP="00593E49">
      <w:pPr>
        <w:pStyle w:val="ListParagraph"/>
        <w:numPr>
          <w:ilvl w:val="0"/>
          <w:numId w:val="6"/>
        </w:numPr>
        <w:spacing w:after="120"/>
        <w:ind w:left="357" w:hanging="357"/>
        <w:rPr>
          <w:rFonts w:ascii="Arial" w:hAnsi="Arial" w:cs="Arial"/>
          <w:b/>
          <w:bCs/>
          <w:i/>
          <w:sz w:val="24"/>
          <w:szCs w:val="24"/>
        </w:rPr>
      </w:pPr>
      <w:r w:rsidRPr="00414921">
        <w:rPr>
          <w:rFonts w:ascii="Arial" w:hAnsi="Arial" w:cs="Arial"/>
          <w:b/>
          <w:bCs/>
          <w:i/>
          <w:sz w:val="24"/>
          <w:szCs w:val="24"/>
        </w:rPr>
        <w:t>Nature of the right and the limitation (s28(</w:t>
      </w:r>
      <w:r w:rsidR="00986BDD">
        <w:rPr>
          <w:rFonts w:ascii="Arial" w:hAnsi="Arial" w:cs="Arial"/>
          <w:b/>
          <w:bCs/>
          <w:i/>
          <w:sz w:val="24"/>
          <w:szCs w:val="24"/>
        </w:rPr>
        <w:t>2)</w:t>
      </w:r>
      <w:r w:rsidRPr="00414921">
        <w:rPr>
          <w:rFonts w:ascii="Arial" w:hAnsi="Arial" w:cs="Arial"/>
          <w:b/>
          <w:bCs/>
          <w:i/>
          <w:sz w:val="24"/>
          <w:szCs w:val="24"/>
        </w:rPr>
        <w:t>(a) and</w:t>
      </w:r>
      <w:r>
        <w:rPr>
          <w:rFonts w:ascii="Arial" w:hAnsi="Arial" w:cs="Arial"/>
          <w:b/>
          <w:bCs/>
          <w:i/>
          <w:sz w:val="24"/>
          <w:szCs w:val="24"/>
        </w:rPr>
        <w:t xml:space="preserve"> </w:t>
      </w:r>
      <w:r w:rsidRPr="00414921">
        <w:rPr>
          <w:rFonts w:ascii="Arial" w:hAnsi="Arial" w:cs="Arial"/>
          <w:b/>
          <w:bCs/>
          <w:i/>
          <w:sz w:val="24"/>
          <w:szCs w:val="24"/>
        </w:rPr>
        <w:t>(c))</w:t>
      </w:r>
    </w:p>
    <w:p w14:paraId="6DDC5122" w14:textId="6413F4AF" w:rsidR="00736677" w:rsidRPr="009D01A9" w:rsidRDefault="00736677" w:rsidP="009D01A9">
      <w:pPr>
        <w:rPr>
          <w:rFonts w:ascii="Arial" w:hAnsi="Arial" w:cs="Arial"/>
          <w:iCs/>
          <w:sz w:val="24"/>
          <w:szCs w:val="24"/>
        </w:rPr>
      </w:pPr>
      <w:r w:rsidRPr="009D01A9">
        <w:rPr>
          <w:rFonts w:ascii="Arial" w:hAnsi="Arial" w:cs="Arial"/>
          <w:iCs/>
          <w:sz w:val="24"/>
          <w:szCs w:val="24"/>
        </w:rPr>
        <w:t xml:space="preserve">Under section 22(1) of the HRA, everyone charged with a criminal offence has the right to be presumed innocent until proved guilty according to law. </w:t>
      </w:r>
    </w:p>
    <w:p w14:paraId="76E1F1AA" w14:textId="2491C012" w:rsidR="009D01A9" w:rsidRPr="009D01A9" w:rsidRDefault="00736677" w:rsidP="009D01A9">
      <w:pPr>
        <w:rPr>
          <w:rFonts w:ascii="Arial" w:hAnsi="Arial" w:cs="Arial"/>
          <w:iCs/>
          <w:sz w:val="24"/>
          <w:szCs w:val="24"/>
        </w:rPr>
      </w:pPr>
      <w:r w:rsidRPr="009D01A9">
        <w:rPr>
          <w:rFonts w:ascii="Arial" w:hAnsi="Arial" w:cs="Arial"/>
          <w:iCs/>
          <w:sz w:val="24"/>
          <w:szCs w:val="24"/>
        </w:rPr>
        <w:t xml:space="preserve">The Bill includes provisions which limit the right to be presumed innocent. </w:t>
      </w:r>
      <w:r w:rsidR="00B366BB" w:rsidRPr="009D01A9">
        <w:rPr>
          <w:rFonts w:ascii="Arial" w:hAnsi="Arial" w:cs="Arial"/>
          <w:iCs/>
          <w:sz w:val="24"/>
          <w:szCs w:val="24"/>
        </w:rPr>
        <w:t xml:space="preserve">Several </w:t>
      </w:r>
      <w:r w:rsidRPr="009D01A9">
        <w:rPr>
          <w:rFonts w:ascii="Arial" w:hAnsi="Arial" w:cs="Arial"/>
          <w:iCs/>
          <w:sz w:val="24"/>
          <w:szCs w:val="24"/>
        </w:rPr>
        <w:t>offences in the Bill provide for strict liability offence</w:t>
      </w:r>
      <w:r w:rsidR="00B366BB" w:rsidRPr="009D01A9">
        <w:rPr>
          <w:rFonts w:ascii="Arial" w:hAnsi="Arial" w:cs="Arial"/>
          <w:iCs/>
          <w:sz w:val="24"/>
          <w:szCs w:val="24"/>
        </w:rPr>
        <w:t>s</w:t>
      </w:r>
      <w:r w:rsidR="002B3805">
        <w:rPr>
          <w:rFonts w:ascii="Arial" w:hAnsi="Arial" w:cs="Arial"/>
          <w:iCs/>
          <w:sz w:val="24"/>
          <w:szCs w:val="24"/>
        </w:rPr>
        <w:t xml:space="preserve"> (sections 19D, 19E, </w:t>
      </w:r>
      <w:r w:rsidR="00B44E5A">
        <w:rPr>
          <w:rFonts w:ascii="Arial" w:hAnsi="Arial" w:cs="Arial"/>
          <w:iCs/>
          <w:sz w:val="24"/>
          <w:szCs w:val="24"/>
        </w:rPr>
        <w:t xml:space="preserve">19O, 19K, 19U, </w:t>
      </w:r>
      <w:r w:rsidR="00845B1F">
        <w:rPr>
          <w:rFonts w:ascii="Arial" w:hAnsi="Arial" w:cs="Arial"/>
          <w:iCs/>
          <w:sz w:val="24"/>
          <w:szCs w:val="24"/>
        </w:rPr>
        <w:t xml:space="preserve">19P, </w:t>
      </w:r>
      <w:r w:rsidR="00B96EB5">
        <w:rPr>
          <w:rFonts w:ascii="Arial" w:hAnsi="Arial" w:cs="Arial"/>
          <w:iCs/>
          <w:sz w:val="24"/>
          <w:szCs w:val="24"/>
        </w:rPr>
        <w:t>19V, and 19W)</w:t>
      </w:r>
      <w:r w:rsidRPr="009D01A9">
        <w:rPr>
          <w:rFonts w:ascii="Arial" w:hAnsi="Arial" w:cs="Arial"/>
          <w:iCs/>
          <w:sz w:val="24"/>
          <w:szCs w:val="24"/>
        </w:rPr>
        <w:t>.</w:t>
      </w:r>
      <w:r w:rsidR="006E18FA" w:rsidRPr="009D01A9">
        <w:rPr>
          <w:rFonts w:ascii="Arial" w:hAnsi="Arial" w:cs="Arial"/>
          <w:iCs/>
          <w:sz w:val="24"/>
          <w:szCs w:val="24"/>
        </w:rPr>
        <w:t xml:space="preserve"> </w:t>
      </w:r>
      <w:r w:rsidR="00D25750">
        <w:rPr>
          <w:rFonts w:ascii="Arial" w:hAnsi="Arial" w:cs="Arial"/>
          <w:iCs/>
          <w:sz w:val="24"/>
          <w:szCs w:val="24"/>
        </w:rPr>
        <w:t xml:space="preserve">Also, some offences reverse the legal </w:t>
      </w:r>
      <w:r w:rsidR="00B96EB5">
        <w:rPr>
          <w:rFonts w:ascii="Arial" w:hAnsi="Arial" w:cs="Arial"/>
          <w:iCs/>
          <w:sz w:val="24"/>
          <w:szCs w:val="24"/>
        </w:rPr>
        <w:t>or</w:t>
      </w:r>
      <w:r w:rsidR="00D25750">
        <w:rPr>
          <w:rFonts w:ascii="Arial" w:hAnsi="Arial" w:cs="Arial"/>
          <w:iCs/>
          <w:sz w:val="24"/>
          <w:szCs w:val="24"/>
        </w:rPr>
        <w:t xml:space="preserve"> evidential burden </w:t>
      </w:r>
      <w:r w:rsidR="00E47D18">
        <w:rPr>
          <w:rFonts w:ascii="Arial" w:hAnsi="Arial" w:cs="Arial"/>
          <w:iCs/>
          <w:sz w:val="24"/>
          <w:szCs w:val="24"/>
        </w:rPr>
        <w:t>to the defence</w:t>
      </w:r>
      <w:r w:rsidR="00B96EB5">
        <w:rPr>
          <w:rFonts w:ascii="Arial" w:hAnsi="Arial" w:cs="Arial"/>
          <w:iCs/>
          <w:sz w:val="24"/>
          <w:szCs w:val="24"/>
        </w:rPr>
        <w:t xml:space="preserve"> (sections 19A, </w:t>
      </w:r>
      <w:r w:rsidR="00B87A7A">
        <w:rPr>
          <w:rFonts w:ascii="Arial" w:hAnsi="Arial" w:cs="Arial"/>
          <w:iCs/>
          <w:sz w:val="24"/>
          <w:szCs w:val="24"/>
        </w:rPr>
        <w:t xml:space="preserve">19B, 19J, </w:t>
      </w:r>
      <w:r w:rsidR="00F50544">
        <w:rPr>
          <w:rFonts w:ascii="Arial" w:hAnsi="Arial" w:cs="Arial"/>
          <w:iCs/>
          <w:sz w:val="24"/>
          <w:szCs w:val="24"/>
        </w:rPr>
        <w:t>19O)</w:t>
      </w:r>
      <w:r w:rsidR="006466A0">
        <w:rPr>
          <w:rFonts w:ascii="Arial" w:hAnsi="Arial" w:cs="Arial"/>
          <w:iCs/>
          <w:sz w:val="24"/>
          <w:szCs w:val="24"/>
        </w:rPr>
        <w:t>,</w:t>
      </w:r>
      <w:r w:rsidR="00F079C0" w:rsidRPr="009D01A9">
        <w:rPr>
          <w:rFonts w:ascii="Arial" w:hAnsi="Arial" w:cs="Arial"/>
          <w:iCs/>
          <w:sz w:val="24"/>
          <w:szCs w:val="24"/>
        </w:rPr>
        <w:t xml:space="preserve"> albeit to a lower standard of </w:t>
      </w:r>
      <w:r w:rsidR="00F079C0" w:rsidRPr="009D01A9">
        <w:rPr>
          <w:rFonts w:ascii="Arial" w:hAnsi="Arial" w:cs="Arial"/>
          <w:iCs/>
          <w:sz w:val="24"/>
          <w:szCs w:val="24"/>
        </w:rPr>
        <w:lastRenderedPageBreak/>
        <w:t xml:space="preserve">proof (see </w:t>
      </w:r>
      <w:r w:rsidR="00F079C0" w:rsidRPr="009D01A9">
        <w:rPr>
          <w:rFonts w:ascii="Arial" w:hAnsi="Arial" w:cs="Arial"/>
          <w:i/>
          <w:sz w:val="24"/>
          <w:szCs w:val="24"/>
        </w:rPr>
        <w:t>Criminal Code 2002</w:t>
      </w:r>
      <w:r w:rsidR="00F079C0" w:rsidRPr="009D01A9">
        <w:rPr>
          <w:rFonts w:ascii="Arial" w:hAnsi="Arial" w:cs="Arial"/>
          <w:iCs/>
          <w:sz w:val="24"/>
          <w:szCs w:val="24"/>
        </w:rPr>
        <w:t>, section 58</w:t>
      </w:r>
      <w:r w:rsidR="006466A0">
        <w:rPr>
          <w:rFonts w:ascii="Arial" w:hAnsi="Arial" w:cs="Arial"/>
          <w:iCs/>
          <w:sz w:val="24"/>
          <w:szCs w:val="24"/>
        </w:rPr>
        <w:t xml:space="preserve"> and 59</w:t>
      </w:r>
      <w:r w:rsidR="00F079C0" w:rsidRPr="009D01A9">
        <w:rPr>
          <w:rFonts w:ascii="Arial" w:hAnsi="Arial" w:cs="Arial"/>
          <w:iCs/>
          <w:sz w:val="24"/>
          <w:szCs w:val="24"/>
        </w:rPr>
        <w:t>).</w:t>
      </w:r>
      <w:r w:rsidR="00C1463B" w:rsidRPr="009D01A9">
        <w:rPr>
          <w:rFonts w:ascii="Arial" w:hAnsi="Arial" w:cs="Arial"/>
          <w:iCs/>
          <w:sz w:val="24"/>
          <w:szCs w:val="24"/>
        </w:rPr>
        <w:t xml:space="preserve"> These provisions are outlined below. </w:t>
      </w:r>
    </w:p>
    <w:p w14:paraId="401BA4A7" w14:textId="6A7F2F13" w:rsidR="000B3AD9" w:rsidRPr="00A80BAE" w:rsidRDefault="000B3AD9" w:rsidP="009D01A9">
      <w:pPr>
        <w:rPr>
          <w:rFonts w:ascii="Arial" w:hAnsi="Arial" w:cs="Arial"/>
          <w:iCs/>
          <w:sz w:val="24"/>
          <w:szCs w:val="24"/>
        </w:rPr>
      </w:pPr>
      <w:r w:rsidRPr="00A80BAE">
        <w:rPr>
          <w:rFonts w:ascii="Arial" w:hAnsi="Arial" w:cs="Arial"/>
          <w:iCs/>
          <w:sz w:val="24"/>
          <w:szCs w:val="24"/>
        </w:rPr>
        <w:t>While some of the provisions below apply to licensees and would not, in most cases, engage the HRA, this assessment considers the potential limitation of rights in criminal proceedings where a licensee operates as a sole trader. In those circumstances, the HRA is engaged and the rights analysis is therefore required. </w:t>
      </w:r>
    </w:p>
    <w:p w14:paraId="6A600EEA" w14:textId="1870F2B4" w:rsidR="00864825" w:rsidRPr="009D01A9" w:rsidRDefault="00295163" w:rsidP="009D01A9">
      <w:pPr>
        <w:rPr>
          <w:rFonts w:ascii="Arial" w:hAnsi="Arial" w:cs="Arial"/>
          <w:iCs/>
          <w:sz w:val="24"/>
          <w:szCs w:val="24"/>
        </w:rPr>
      </w:pPr>
      <w:r w:rsidRPr="009D01A9">
        <w:rPr>
          <w:rFonts w:ascii="Arial" w:hAnsi="Arial" w:cs="Arial"/>
          <w:iCs/>
          <w:sz w:val="24"/>
          <w:szCs w:val="24"/>
        </w:rPr>
        <w:t>T</w:t>
      </w:r>
      <w:r w:rsidR="00864825" w:rsidRPr="009D01A9">
        <w:rPr>
          <w:rFonts w:ascii="Arial" w:hAnsi="Arial" w:cs="Arial"/>
          <w:iCs/>
          <w:sz w:val="24"/>
          <w:szCs w:val="24"/>
        </w:rPr>
        <w:t>he following table</w:t>
      </w:r>
      <w:r w:rsidR="00EB1520" w:rsidRPr="009D01A9">
        <w:rPr>
          <w:rFonts w:ascii="Arial" w:hAnsi="Arial" w:cs="Arial"/>
          <w:iCs/>
          <w:sz w:val="24"/>
          <w:szCs w:val="24"/>
        </w:rPr>
        <w:t>s</w:t>
      </w:r>
      <w:r w:rsidR="00864825" w:rsidRPr="009D01A9">
        <w:rPr>
          <w:rFonts w:ascii="Arial" w:hAnsi="Arial" w:cs="Arial"/>
          <w:iCs/>
          <w:sz w:val="24"/>
          <w:szCs w:val="24"/>
        </w:rPr>
        <w:t xml:space="preserve"> list the offences</w:t>
      </w:r>
      <w:r w:rsidRPr="009D01A9">
        <w:rPr>
          <w:rFonts w:ascii="Arial" w:hAnsi="Arial" w:cs="Arial"/>
          <w:iCs/>
          <w:sz w:val="24"/>
          <w:szCs w:val="24"/>
        </w:rPr>
        <w:t xml:space="preserve"> in the Bil</w:t>
      </w:r>
      <w:r w:rsidR="00784D60" w:rsidRPr="009D01A9">
        <w:rPr>
          <w:rFonts w:ascii="Arial" w:hAnsi="Arial" w:cs="Arial"/>
          <w:iCs/>
          <w:sz w:val="24"/>
          <w:szCs w:val="24"/>
        </w:rPr>
        <w:t>l</w:t>
      </w:r>
      <w:r w:rsidR="00BB7603" w:rsidRPr="009D01A9">
        <w:rPr>
          <w:rFonts w:ascii="Arial" w:hAnsi="Arial" w:cs="Arial"/>
          <w:iCs/>
          <w:sz w:val="24"/>
          <w:szCs w:val="24"/>
        </w:rPr>
        <w:t xml:space="preserve"> which engage human rights</w:t>
      </w:r>
      <w:r w:rsidR="00C830EA" w:rsidRPr="009D01A9">
        <w:rPr>
          <w:rFonts w:ascii="Arial" w:hAnsi="Arial" w:cs="Arial"/>
          <w:iCs/>
          <w:sz w:val="24"/>
          <w:szCs w:val="24"/>
        </w:rPr>
        <w:t xml:space="preserve"> and the</w:t>
      </w:r>
      <w:r w:rsidR="00784D60" w:rsidRPr="009D01A9">
        <w:rPr>
          <w:rFonts w:ascii="Arial" w:hAnsi="Arial" w:cs="Arial"/>
          <w:iCs/>
          <w:sz w:val="24"/>
          <w:szCs w:val="24"/>
        </w:rPr>
        <w:t xml:space="preserve"> nature of the limitation</w:t>
      </w:r>
      <w:r w:rsidR="002A226A" w:rsidRPr="009D01A9">
        <w:rPr>
          <w:rFonts w:ascii="Arial" w:hAnsi="Arial" w:cs="Arial"/>
          <w:iCs/>
          <w:sz w:val="24"/>
          <w:szCs w:val="24"/>
        </w:rPr>
        <w:t xml:space="preserve"> </w:t>
      </w:r>
      <w:r w:rsidR="00BB7603" w:rsidRPr="009D01A9">
        <w:rPr>
          <w:rFonts w:ascii="Arial" w:hAnsi="Arial" w:cs="Arial"/>
          <w:iCs/>
          <w:sz w:val="24"/>
          <w:szCs w:val="24"/>
        </w:rPr>
        <w:t>each</w:t>
      </w:r>
      <w:r w:rsidR="002A226A" w:rsidRPr="009D01A9">
        <w:rPr>
          <w:rFonts w:ascii="Arial" w:hAnsi="Arial" w:cs="Arial"/>
          <w:iCs/>
          <w:sz w:val="24"/>
          <w:szCs w:val="24"/>
        </w:rPr>
        <w:t xml:space="preserve"> creates on rights in criminal proceedings</w:t>
      </w:r>
      <w:r w:rsidR="00784D60" w:rsidRPr="009D01A9">
        <w:rPr>
          <w:rFonts w:ascii="Arial" w:hAnsi="Arial" w:cs="Arial"/>
          <w:iCs/>
          <w:sz w:val="24"/>
          <w:szCs w:val="24"/>
        </w:rPr>
        <w:t>.</w:t>
      </w:r>
    </w:p>
    <w:p w14:paraId="30D630D8" w14:textId="77777777" w:rsidR="003F077A" w:rsidRPr="00AD0B6F" w:rsidRDefault="003F077A" w:rsidP="003F077A">
      <w:pPr>
        <w:pStyle w:val="ListParagraph"/>
        <w:ind w:left="360"/>
        <w:rPr>
          <w:rFonts w:ascii="Arial" w:hAnsi="Arial" w:cs="Arial"/>
          <w:iCs/>
          <w:sz w:val="24"/>
          <w:szCs w:val="24"/>
        </w:rPr>
      </w:pPr>
    </w:p>
    <w:tbl>
      <w:tblPr>
        <w:tblStyle w:val="TableGrid"/>
        <w:tblW w:w="9214" w:type="dxa"/>
        <w:tblInd w:w="-5" w:type="dxa"/>
        <w:tblLook w:val="04A0" w:firstRow="1" w:lastRow="0" w:firstColumn="1" w:lastColumn="0" w:noHBand="0" w:noVBand="1"/>
      </w:tblPr>
      <w:tblGrid>
        <w:gridCol w:w="2268"/>
        <w:gridCol w:w="6946"/>
      </w:tblGrid>
      <w:tr w:rsidR="00AD7F9C" w:rsidRPr="00913ABF" w14:paraId="13EE1157" w14:textId="77777777" w:rsidTr="5166F90A">
        <w:trPr>
          <w:cantSplit/>
          <w:trHeight w:val="20"/>
          <w:tblHeader/>
        </w:trPr>
        <w:tc>
          <w:tcPr>
            <w:tcW w:w="2268" w:type="dxa"/>
          </w:tcPr>
          <w:p w14:paraId="524C8FD2" w14:textId="77777777" w:rsidR="00AD7F9C" w:rsidRPr="00A81EEA" w:rsidRDefault="00AD7F9C" w:rsidP="00EC4175">
            <w:pPr>
              <w:spacing w:after="0" w:line="280" w:lineRule="atLeast"/>
              <w:rPr>
                <w:rFonts w:ascii="Arial" w:hAnsi="Arial" w:cs="Arial"/>
                <w:b/>
                <w:bCs/>
                <w:sz w:val="24"/>
                <w:szCs w:val="24"/>
              </w:rPr>
            </w:pPr>
            <w:r w:rsidRPr="00A81EEA">
              <w:rPr>
                <w:rFonts w:ascii="Arial" w:hAnsi="Arial" w:cs="Arial"/>
                <w:b/>
                <w:bCs/>
                <w:sz w:val="24"/>
                <w:szCs w:val="24"/>
              </w:rPr>
              <w:t>Section</w:t>
            </w:r>
          </w:p>
          <w:p w14:paraId="5E364E58" w14:textId="77777777" w:rsidR="00AD7F9C" w:rsidRPr="00A81EEA" w:rsidRDefault="00AD7F9C" w:rsidP="00EC4175">
            <w:pPr>
              <w:spacing w:after="0" w:line="280" w:lineRule="atLeast"/>
              <w:rPr>
                <w:rFonts w:ascii="Arial" w:hAnsi="Arial" w:cs="Arial"/>
                <w:b/>
                <w:bCs/>
                <w:sz w:val="24"/>
                <w:szCs w:val="24"/>
              </w:rPr>
            </w:pPr>
          </w:p>
        </w:tc>
        <w:tc>
          <w:tcPr>
            <w:tcW w:w="6946" w:type="dxa"/>
          </w:tcPr>
          <w:p w14:paraId="646864C0" w14:textId="77777777" w:rsidR="00AD7F9C" w:rsidRPr="00A81EEA" w:rsidRDefault="00AD7F9C" w:rsidP="00EC4175">
            <w:pPr>
              <w:spacing w:after="0" w:line="280" w:lineRule="atLeast"/>
              <w:rPr>
                <w:rFonts w:ascii="Arial" w:hAnsi="Arial" w:cs="Arial"/>
                <w:b/>
                <w:bCs/>
                <w:sz w:val="24"/>
                <w:szCs w:val="24"/>
              </w:rPr>
            </w:pPr>
            <w:r w:rsidRPr="00A81EEA">
              <w:rPr>
                <w:rFonts w:ascii="Arial" w:hAnsi="Arial" w:cs="Arial"/>
                <w:b/>
                <w:bCs/>
                <w:sz w:val="24"/>
                <w:szCs w:val="24"/>
              </w:rPr>
              <w:t>Nature of the limitation</w:t>
            </w:r>
          </w:p>
        </w:tc>
      </w:tr>
      <w:tr w:rsidR="003E1E9E" w:rsidRPr="00913ABF" w14:paraId="33FFD213" w14:textId="77777777" w:rsidTr="5166F90A">
        <w:trPr>
          <w:cantSplit/>
          <w:trHeight w:val="2450"/>
        </w:trPr>
        <w:tc>
          <w:tcPr>
            <w:tcW w:w="2268" w:type="dxa"/>
          </w:tcPr>
          <w:p w14:paraId="3D1205B5" w14:textId="77777777" w:rsidR="003E1E9E" w:rsidRDefault="00C41414" w:rsidP="00EC4175">
            <w:pPr>
              <w:tabs>
                <w:tab w:val="left" w:pos="284"/>
              </w:tabs>
              <w:spacing w:after="0" w:line="280" w:lineRule="atLeast"/>
              <w:ind w:left="284" w:hanging="284"/>
              <w:rPr>
                <w:rFonts w:ascii="Arial" w:hAnsi="Arial" w:cs="Arial"/>
                <w:sz w:val="24"/>
                <w:szCs w:val="24"/>
              </w:rPr>
            </w:pPr>
            <w:r>
              <w:rPr>
                <w:rFonts w:ascii="Arial" w:hAnsi="Arial" w:cs="Arial"/>
                <w:sz w:val="24"/>
                <w:szCs w:val="24"/>
              </w:rPr>
              <w:t xml:space="preserve">Section 19A </w:t>
            </w:r>
          </w:p>
          <w:p w14:paraId="4A108CAD" w14:textId="77777777" w:rsidR="00C41414" w:rsidRDefault="00C41414" w:rsidP="00EC4175">
            <w:pPr>
              <w:tabs>
                <w:tab w:val="left" w:pos="284"/>
              </w:tabs>
              <w:spacing w:after="0" w:line="280" w:lineRule="atLeast"/>
              <w:ind w:left="284" w:hanging="284"/>
              <w:rPr>
                <w:rFonts w:ascii="Arial" w:hAnsi="Arial" w:cs="Arial"/>
                <w:sz w:val="24"/>
                <w:szCs w:val="24"/>
              </w:rPr>
            </w:pPr>
          </w:p>
          <w:p w14:paraId="05509F88" w14:textId="00A304D0" w:rsidR="003E1E9E" w:rsidRPr="00A81EEA" w:rsidRDefault="00C41414" w:rsidP="00EC4175">
            <w:pPr>
              <w:tabs>
                <w:tab w:val="left" w:pos="284"/>
              </w:tabs>
              <w:spacing w:after="0" w:line="280" w:lineRule="atLeast"/>
              <w:ind w:left="284" w:hanging="284"/>
              <w:rPr>
                <w:rFonts w:ascii="Arial" w:hAnsi="Arial" w:cs="Arial"/>
                <w:sz w:val="24"/>
                <w:szCs w:val="24"/>
              </w:rPr>
            </w:pPr>
            <w:r>
              <w:rPr>
                <w:rFonts w:ascii="Arial" w:hAnsi="Arial" w:cs="Arial"/>
                <w:sz w:val="24"/>
                <w:szCs w:val="24"/>
              </w:rPr>
              <w:t>Licensees must monitor risk of gambling harm</w:t>
            </w:r>
          </w:p>
        </w:tc>
        <w:tc>
          <w:tcPr>
            <w:tcW w:w="6946" w:type="dxa"/>
          </w:tcPr>
          <w:p w14:paraId="15911E5C" w14:textId="31C0EA46" w:rsidR="00547D9E" w:rsidRDefault="00547D9E" w:rsidP="00EC4175">
            <w:pPr>
              <w:spacing w:after="0" w:line="280" w:lineRule="atLeast"/>
              <w:rPr>
                <w:rFonts w:ascii="Arial" w:hAnsi="Arial" w:cs="Arial"/>
                <w:sz w:val="24"/>
                <w:szCs w:val="24"/>
              </w:rPr>
            </w:pPr>
            <w:r>
              <w:rPr>
                <w:rFonts w:ascii="Arial" w:hAnsi="Arial" w:cs="Arial"/>
                <w:sz w:val="24"/>
                <w:szCs w:val="24"/>
              </w:rPr>
              <w:t>Provides an offence for licensees failing to monitor f</w:t>
            </w:r>
            <w:r w:rsidR="007E19A4">
              <w:rPr>
                <w:rFonts w:ascii="Arial" w:hAnsi="Arial" w:cs="Arial"/>
                <w:sz w:val="24"/>
                <w:szCs w:val="24"/>
              </w:rPr>
              <w:t>or</w:t>
            </w:r>
            <w:r>
              <w:rPr>
                <w:rFonts w:ascii="Arial" w:hAnsi="Arial" w:cs="Arial"/>
                <w:sz w:val="24"/>
                <w:szCs w:val="24"/>
              </w:rPr>
              <w:t xml:space="preserve"> risk of gambling harm in relation to people engaging in </w:t>
            </w:r>
            <w:r w:rsidR="007E19A4">
              <w:rPr>
                <w:rFonts w:ascii="Arial" w:hAnsi="Arial" w:cs="Arial"/>
                <w:sz w:val="24"/>
                <w:szCs w:val="24"/>
              </w:rPr>
              <w:t>gambling</w:t>
            </w:r>
            <w:r>
              <w:rPr>
                <w:rFonts w:ascii="Arial" w:hAnsi="Arial" w:cs="Arial"/>
                <w:sz w:val="24"/>
                <w:szCs w:val="24"/>
              </w:rPr>
              <w:t xml:space="preserve"> activities, at the licensee’s premises or dealing with the licensee. </w:t>
            </w:r>
          </w:p>
          <w:p w14:paraId="30640F05" w14:textId="77777777" w:rsidR="00547D9E" w:rsidRDefault="00547D9E" w:rsidP="00EC4175">
            <w:pPr>
              <w:spacing w:after="0" w:line="280" w:lineRule="atLeast"/>
              <w:rPr>
                <w:rFonts w:ascii="Arial" w:hAnsi="Arial" w:cs="Arial"/>
                <w:sz w:val="24"/>
                <w:szCs w:val="24"/>
              </w:rPr>
            </w:pPr>
          </w:p>
          <w:p w14:paraId="0104E633" w14:textId="731E8F52" w:rsidR="003E1E9E" w:rsidRPr="00A81EEA" w:rsidRDefault="009F092C" w:rsidP="00EC4175">
            <w:pPr>
              <w:spacing w:after="0" w:line="280" w:lineRule="atLeast"/>
              <w:rPr>
                <w:rFonts w:ascii="Arial" w:hAnsi="Arial" w:cs="Arial"/>
                <w:sz w:val="24"/>
                <w:szCs w:val="24"/>
              </w:rPr>
            </w:pPr>
            <w:r>
              <w:rPr>
                <w:rFonts w:ascii="Arial" w:hAnsi="Arial" w:cs="Arial"/>
                <w:sz w:val="24"/>
                <w:szCs w:val="24"/>
              </w:rPr>
              <w:t>There is a defence if the defendant proves they took all reasonable steps to monitor the risk. The d</w:t>
            </w:r>
            <w:r w:rsidR="00F867AE">
              <w:rPr>
                <w:rFonts w:ascii="Arial" w:hAnsi="Arial" w:cs="Arial"/>
                <w:sz w:val="24"/>
                <w:szCs w:val="24"/>
              </w:rPr>
              <w:t xml:space="preserve">efendant has legal burden </w:t>
            </w:r>
            <w:r>
              <w:rPr>
                <w:rFonts w:ascii="Arial" w:hAnsi="Arial" w:cs="Arial"/>
                <w:sz w:val="24"/>
                <w:szCs w:val="24"/>
              </w:rPr>
              <w:t>in relation to this defence</w:t>
            </w:r>
            <w:r w:rsidR="007E19A4">
              <w:rPr>
                <w:rFonts w:ascii="Arial" w:hAnsi="Arial" w:cs="Arial"/>
                <w:sz w:val="24"/>
                <w:szCs w:val="24"/>
              </w:rPr>
              <w:t xml:space="preserve">. Shifting the legal burden to the defendant limits the right to be presumed innocent. </w:t>
            </w:r>
          </w:p>
        </w:tc>
      </w:tr>
      <w:tr w:rsidR="00CD38BB" w:rsidRPr="00913ABF" w14:paraId="6D4F9FB7" w14:textId="77777777" w:rsidTr="5166F90A">
        <w:trPr>
          <w:cantSplit/>
          <w:trHeight w:val="2450"/>
        </w:trPr>
        <w:tc>
          <w:tcPr>
            <w:tcW w:w="2268" w:type="dxa"/>
          </w:tcPr>
          <w:p w14:paraId="7DD95881" w14:textId="77777777" w:rsidR="00CD38BB" w:rsidRDefault="00CD38BB" w:rsidP="00EC4175">
            <w:pPr>
              <w:tabs>
                <w:tab w:val="left" w:pos="284"/>
              </w:tabs>
              <w:spacing w:after="0" w:line="280" w:lineRule="atLeast"/>
              <w:ind w:left="284" w:hanging="284"/>
              <w:rPr>
                <w:rFonts w:ascii="Arial" w:hAnsi="Arial" w:cs="Arial"/>
                <w:sz w:val="24"/>
                <w:szCs w:val="24"/>
              </w:rPr>
            </w:pPr>
            <w:r>
              <w:rPr>
                <w:rFonts w:ascii="Arial" w:hAnsi="Arial" w:cs="Arial"/>
                <w:sz w:val="24"/>
                <w:szCs w:val="24"/>
              </w:rPr>
              <w:t>Section 19B</w:t>
            </w:r>
          </w:p>
          <w:p w14:paraId="289A0917" w14:textId="77777777" w:rsidR="00CD38BB" w:rsidRDefault="00CD38BB" w:rsidP="00EC4175">
            <w:pPr>
              <w:tabs>
                <w:tab w:val="left" w:pos="284"/>
              </w:tabs>
              <w:spacing w:after="0" w:line="280" w:lineRule="atLeast"/>
              <w:ind w:left="284" w:hanging="284"/>
              <w:rPr>
                <w:rFonts w:ascii="Arial" w:hAnsi="Arial" w:cs="Arial"/>
                <w:sz w:val="24"/>
                <w:szCs w:val="24"/>
              </w:rPr>
            </w:pPr>
          </w:p>
          <w:p w14:paraId="52DF1E6B" w14:textId="53394065" w:rsidR="00CD38BB" w:rsidRDefault="00CD38BB" w:rsidP="00EC4175">
            <w:pPr>
              <w:tabs>
                <w:tab w:val="left" w:pos="284"/>
              </w:tabs>
              <w:spacing w:after="0" w:line="280" w:lineRule="atLeast"/>
              <w:ind w:left="284" w:hanging="284"/>
              <w:rPr>
                <w:rFonts w:ascii="Arial" w:hAnsi="Arial" w:cs="Arial"/>
                <w:sz w:val="24"/>
                <w:szCs w:val="24"/>
              </w:rPr>
            </w:pPr>
            <w:r>
              <w:rPr>
                <w:rFonts w:ascii="Arial" w:hAnsi="Arial" w:cs="Arial"/>
                <w:sz w:val="24"/>
                <w:szCs w:val="24"/>
              </w:rPr>
              <w:t>Licensees must take action to reduce risk of gambling harm</w:t>
            </w:r>
          </w:p>
        </w:tc>
        <w:tc>
          <w:tcPr>
            <w:tcW w:w="6946" w:type="dxa"/>
          </w:tcPr>
          <w:p w14:paraId="112CAA0B" w14:textId="2DBA8FE9" w:rsidR="007E19A4" w:rsidRDefault="007E19A4" w:rsidP="007E19A4">
            <w:pPr>
              <w:spacing w:after="0" w:line="280" w:lineRule="atLeast"/>
              <w:rPr>
                <w:rFonts w:ascii="Arial" w:hAnsi="Arial" w:cs="Arial"/>
                <w:sz w:val="24"/>
                <w:szCs w:val="24"/>
              </w:rPr>
            </w:pPr>
            <w:r>
              <w:rPr>
                <w:rFonts w:ascii="Arial" w:hAnsi="Arial" w:cs="Arial"/>
                <w:sz w:val="24"/>
                <w:szCs w:val="24"/>
              </w:rPr>
              <w:t xml:space="preserve">Provides an offence for licensees failing to reduce risk of gambling harm in relation to people engaging in gambling activities, at the licensee’s premises or dealing with the licensee. </w:t>
            </w:r>
          </w:p>
          <w:p w14:paraId="7984164C" w14:textId="77777777" w:rsidR="007E19A4" w:rsidRDefault="007E19A4" w:rsidP="007E19A4">
            <w:pPr>
              <w:spacing w:after="0" w:line="280" w:lineRule="atLeast"/>
              <w:rPr>
                <w:rFonts w:ascii="Arial" w:hAnsi="Arial" w:cs="Arial"/>
                <w:sz w:val="24"/>
                <w:szCs w:val="24"/>
              </w:rPr>
            </w:pPr>
          </w:p>
          <w:p w14:paraId="549EDB4B" w14:textId="5F613C52" w:rsidR="00CD38BB" w:rsidRPr="00A81EEA" w:rsidRDefault="007E19A4" w:rsidP="00EC4175">
            <w:pPr>
              <w:spacing w:after="0" w:line="280" w:lineRule="atLeast"/>
              <w:rPr>
                <w:rFonts w:ascii="Arial" w:hAnsi="Arial" w:cs="Arial"/>
                <w:sz w:val="24"/>
                <w:szCs w:val="24"/>
              </w:rPr>
            </w:pPr>
            <w:r>
              <w:rPr>
                <w:rFonts w:ascii="Arial" w:hAnsi="Arial" w:cs="Arial"/>
                <w:sz w:val="24"/>
                <w:szCs w:val="24"/>
              </w:rPr>
              <w:t>There is a defence if the defendant proves they took all reasonable steps to reduce the risk. The defendant has legal burden in relation to this defence. Shifting the legal burden to the defendant limits the right to be presumed innocent.</w:t>
            </w:r>
          </w:p>
        </w:tc>
      </w:tr>
      <w:tr w:rsidR="001E59D8" w:rsidRPr="00913ABF" w14:paraId="4C6FEC44" w14:textId="77777777" w:rsidTr="5166F90A">
        <w:trPr>
          <w:cantSplit/>
          <w:trHeight w:val="2450"/>
        </w:trPr>
        <w:tc>
          <w:tcPr>
            <w:tcW w:w="2268" w:type="dxa"/>
          </w:tcPr>
          <w:p w14:paraId="2F1BE630" w14:textId="1BE39FC8" w:rsidR="001E59D8" w:rsidRPr="00A81EEA" w:rsidRDefault="001E59D8" w:rsidP="00EC4175">
            <w:pPr>
              <w:tabs>
                <w:tab w:val="left" w:pos="284"/>
              </w:tabs>
              <w:spacing w:after="0" w:line="280" w:lineRule="atLeast"/>
              <w:ind w:left="284" w:hanging="284"/>
              <w:rPr>
                <w:rFonts w:ascii="Arial" w:hAnsi="Arial" w:cs="Arial"/>
                <w:sz w:val="24"/>
                <w:szCs w:val="24"/>
              </w:rPr>
            </w:pPr>
            <w:r w:rsidRPr="00A81EEA">
              <w:rPr>
                <w:rFonts w:ascii="Arial" w:hAnsi="Arial" w:cs="Arial"/>
                <w:sz w:val="24"/>
                <w:szCs w:val="24"/>
              </w:rPr>
              <w:t>Section 1</w:t>
            </w:r>
            <w:r>
              <w:rPr>
                <w:rFonts w:ascii="Arial" w:hAnsi="Arial" w:cs="Arial"/>
                <w:sz w:val="24"/>
                <w:szCs w:val="24"/>
              </w:rPr>
              <w:t>9</w:t>
            </w:r>
            <w:r w:rsidR="00CC054A">
              <w:rPr>
                <w:rFonts w:ascii="Arial" w:hAnsi="Arial" w:cs="Arial"/>
                <w:sz w:val="24"/>
                <w:szCs w:val="24"/>
              </w:rPr>
              <w:t>D</w:t>
            </w:r>
          </w:p>
          <w:p w14:paraId="5C5A8006" w14:textId="77777777" w:rsidR="001E59D8" w:rsidRPr="00A81EEA" w:rsidRDefault="001E59D8" w:rsidP="00EC4175">
            <w:pPr>
              <w:tabs>
                <w:tab w:val="left" w:pos="284"/>
              </w:tabs>
              <w:spacing w:after="0" w:line="280" w:lineRule="atLeast"/>
              <w:ind w:left="284" w:hanging="284"/>
              <w:rPr>
                <w:rFonts w:ascii="Arial" w:hAnsi="Arial" w:cs="Arial"/>
                <w:sz w:val="24"/>
                <w:szCs w:val="24"/>
              </w:rPr>
            </w:pPr>
          </w:p>
          <w:p w14:paraId="06137167" w14:textId="6503DCB1" w:rsidR="001E59D8" w:rsidRPr="00A81EEA" w:rsidRDefault="00CC054A" w:rsidP="00EC4175">
            <w:pPr>
              <w:spacing w:after="0" w:line="280" w:lineRule="atLeast"/>
              <w:rPr>
                <w:rFonts w:ascii="Arial" w:hAnsi="Arial" w:cs="Arial"/>
                <w:sz w:val="24"/>
                <w:szCs w:val="24"/>
              </w:rPr>
            </w:pPr>
            <w:r>
              <w:rPr>
                <w:rFonts w:ascii="Arial" w:hAnsi="Arial" w:cs="Arial"/>
                <w:sz w:val="24"/>
                <w:szCs w:val="24"/>
              </w:rPr>
              <w:t>Offences – licensees not entering records in g</w:t>
            </w:r>
            <w:r w:rsidR="001E59D8">
              <w:rPr>
                <w:rFonts w:ascii="Arial" w:hAnsi="Arial" w:cs="Arial"/>
                <w:sz w:val="24"/>
                <w:szCs w:val="24"/>
              </w:rPr>
              <w:t>ambling harm risk</w:t>
            </w:r>
            <w:r w:rsidR="004467A7">
              <w:rPr>
                <w:rFonts w:ascii="Arial" w:hAnsi="Arial" w:cs="Arial"/>
                <w:sz w:val="24"/>
                <w:szCs w:val="24"/>
              </w:rPr>
              <w:t xml:space="preserve"> register</w:t>
            </w:r>
          </w:p>
          <w:p w14:paraId="16EE560D" w14:textId="1211C43F" w:rsidR="001E59D8" w:rsidRPr="00A81EEA" w:rsidRDefault="001E59D8" w:rsidP="00EC4175">
            <w:pPr>
              <w:spacing w:after="0" w:line="280" w:lineRule="atLeast"/>
              <w:rPr>
                <w:rFonts w:ascii="Arial" w:hAnsi="Arial" w:cs="Arial"/>
                <w:sz w:val="24"/>
                <w:szCs w:val="24"/>
              </w:rPr>
            </w:pPr>
          </w:p>
        </w:tc>
        <w:tc>
          <w:tcPr>
            <w:tcW w:w="6946" w:type="dxa"/>
          </w:tcPr>
          <w:p w14:paraId="0853F2BA" w14:textId="7964DF46" w:rsidR="001E59D8" w:rsidRPr="00A81EEA" w:rsidRDefault="001E59D8" w:rsidP="00EC4175">
            <w:pPr>
              <w:spacing w:after="0" w:line="280" w:lineRule="atLeast"/>
              <w:rPr>
                <w:rFonts w:ascii="Arial" w:hAnsi="Arial" w:cs="Arial"/>
                <w:sz w:val="24"/>
                <w:szCs w:val="24"/>
              </w:rPr>
            </w:pPr>
            <w:r w:rsidRPr="00A81EEA">
              <w:rPr>
                <w:rFonts w:ascii="Arial" w:hAnsi="Arial" w:cs="Arial"/>
                <w:sz w:val="24"/>
                <w:szCs w:val="24"/>
              </w:rPr>
              <w:t xml:space="preserve">Provides an offence for </w:t>
            </w:r>
            <w:r>
              <w:rPr>
                <w:rFonts w:ascii="Arial" w:hAnsi="Arial" w:cs="Arial"/>
                <w:sz w:val="24"/>
                <w:szCs w:val="24"/>
              </w:rPr>
              <w:t>a licensee failing to enter observation of 1 or more signs of gambling harm in the register within 3 consecutive trading days of observing the instance of harm</w:t>
            </w:r>
            <w:r w:rsidR="00406F5C">
              <w:rPr>
                <w:rFonts w:ascii="Arial" w:hAnsi="Arial" w:cs="Arial"/>
                <w:sz w:val="24"/>
                <w:szCs w:val="24"/>
              </w:rPr>
              <w:t>.</w:t>
            </w:r>
          </w:p>
          <w:p w14:paraId="17938777" w14:textId="77777777" w:rsidR="001E59D8" w:rsidRPr="00A81EEA" w:rsidRDefault="001E59D8" w:rsidP="00EC4175">
            <w:pPr>
              <w:spacing w:after="0" w:line="280" w:lineRule="atLeast"/>
              <w:rPr>
                <w:rFonts w:ascii="Arial" w:hAnsi="Arial" w:cs="Arial"/>
                <w:sz w:val="24"/>
                <w:szCs w:val="24"/>
              </w:rPr>
            </w:pPr>
          </w:p>
          <w:p w14:paraId="349B7F50" w14:textId="25E7D858" w:rsidR="001E59D8" w:rsidRPr="00A81EEA" w:rsidRDefault="001E59D8" w:rsidP="00EC4175">
            <w:pPr>
              <w:spacing w:after="0" w:line="280" w:lineRule="atLeast"/>
              <w:rPr>
                <w:rFonts w:ascii="Arial" w:hAnsi="Arial" w:cs="Arial"/>
                <w:sz w:val="24"/>
                <w:szCs w:val="24"/>
              </w:rPr>
            </w:pPr>
            <w:r w:rsidRPr="00A81EEA">
              <w:rPr>
                <w:rFonts w:ascii="Arial" w:hAnsi="Arial" w:cs="Arial"/>
                <w:iCs/>
                <w:sz w:val="24"/>
                <w:szCs w:val="24"/>
              </w:rPr>
              <w:t>This is a strict liability offence</w:t>
            </w:r>
            <w:r w:rsidR="002A7C41">
              <w:rPr>
                <w:rFonts w:ascii="Arial" w:hAnsi="Arial" w:cs="Arial"/>
                <w:iCs/>
                <w:sz w:val="24"/>
                <w:szCs w:val="24"/>
              </w:rPr>
              <w:t xml:space="preserve"> so the prosecution will not be required to prove fault elements. T</w:t>
            </w:r>
            <w:r w:rsidR="008954FD">
              <w:rPr>
                <w:rFonts w:ascii="Arial" w:hAnsi="Arial" w:cs="Arial"/>
                <w:iCs/>
                <w:sz w:val="24"/>
                <w:szCs w:val="24"/>
              </w:rPr>
              <w:t>herefore</w:t>
            </w:r>
            <w:r w:rsidR="002A7C41">
              <w:rPr>
                <w:rFonts w:ascii="Arial" w:hAnsi="Arial" w:cs="Arial"/>
                <w:iCs/>
                <w:sz w:val="24"/>
                <w:szCs w:val="24"/>
              </w:rPr>
              <w:t>, this</w:t>
            </w:r>
            <w:r w:rsidR="008954FD">
              <w:rPr>
                <w:rFonts w:ascii="Arial" w:hAnsi="Arial" w:cs="Arial"/>
                <w:iCs/>
                <w:sz w:val="24"/>
                <w:szCs w:val="24"/>
              </w:rPr>
              <w:t xml:space="preserve"> limits the right to</w:t>
            </w:r>
            <w:r w:rsidR="00AF6DCD">
              <w:rPr>
                <w:rFonts w:ascii="Arial" w:hAnsi="Arial" w:cs="Arial"/>
                <w:iCs/>
                <w:sz w:val="24"/>
                <w:szCs w:val="24"/>
              </w:rPr>
              <w:t xml:space="preserve"> be presumed innocent</w:t>
            </w:r>
            <w:r w:rsidR="00E46884">
              <w:rPr>
                <w:rFonts w:ascii="Arial" w:hAnsi="Arial" w:cs="Arial"/>
                <w:iCs/>
                <w:sz w:val="24"/>
                <w:szCs w:val="24"/>
              </w:rPr>
              <w:t>.</w:t>
            </w:r>
            <w:r w:rsidR="008954FD">
              <w:rPr>
                <w:rFonts w:ascii="Arial" w:hAnsi="Arial" w:cs="Arial"/>
                <w:iCs/>
                <w:sz w:val="24"/>
                <w:szCs w:val="24"/>
              </w:rPr>
              <w:t xml:space="preserve"> </w:t>
            </w:r>
          </w:p>
        </w:tc>
      </w:tr>
      <w:tr w:rsidR="00AD7F9C" w:rsidRPr="00913ABF" w14:paraId="2147524C" w14:textId="77777777" w:rsidTr="5166F90A">
        <w:trPr>
          <w:cantSplit/>
          <w:trHeight w:val="2269"/>
        </w:trPr>
        <w:tc>
          <w:tcPr>
            <w:tcW w:w="2268" w:type="dxa"/>
          </w:tcPr>
          <w:p w14:paraId="4BEF02FE" w14:textId="6036513C" w:rsidR="006F2DC5" w:rsidRDefault="00AD7F9C" w:rsidP="006F2DC5">
            <w:pPr>
              <w:tabs>
                <w:tab w:val="left" w:pos="284"/>
              </w:tabs>
              <w:spacing w:after="0" w:line="280" w:lineRule="atLeast"/>
              <w:rPr>
                <w:rFonts w:ascii="Arial" w:hAnsi="Arial" w:cs="Arial"/>
                <w:sz w:val="24"/>
                <w:szCs w:val="24"/>
              </w:rPr>
            </w:pPr>
            <w:r w:rsidRPr="00A81EEA">
              <w:rPr>
                <w:rFonts w:ascii="Arial" w:hAnsi="Arial" w:cs="Arial"/>
                <w:sz w:val="24"/>
                <w:szCs w:val="24"/>
              </w:rPr>
              <w:t>Section 1</w:t>
            </w:r>
            <w:r w:rsidR="006F2DC5">
              <w:rPr>
                <w:rFonts w:ascii="Arial" w:hAnsi="Arial" w:cs="Arial"/>
                <w:sz w:val="24"/>
                <w:szCs w:val="24"/>
              </w:rPr>
              <w:t>9</w:t>
            </w:r>
            <w:r w:rsidR="004D2093">
              <w:rPr>
                <w:rFonts w:ascii="Arial" w:hAnsi="Arial" w:cs="Arial"/>
                <w:sz w:val="24"/>
                <w:szCs w:val="24"/>
              </w:rPr>
              <w:t>E</w:t>
            </w:r>
          </w:p>
          <w:p w14:paraId="3AED3CF6" w14:textId="77777777" w:rsidR="006F2DC5" w:rsidRDefault="006F2DC5" w:rsidP="006F2DC5">
            <w:pPr>
              <w:tabs>
                <w:tab w:val="left" w:pos="284"/>
              </w:tabs>
              <w:spacing w:after="0" w:line="280" w:lineRule="atLeast"/>
              <w:rPr>
                <w:rFonts w:ascii="Arial" w:hAnsi="Arial" w:cs="Arial"/>
                <w:sz w:val="24"/>
                <w:szCs w:val="24"/>
              </w:rPr>
            </w:pPr>
          </w:p>
          <w:p w14:paraId="07B69E45" w14:textId="20C9B42F" w:rsidR="006F2DC5" w:rsidRPr="00A81EEA" w:rsidRDefault="006F2DC5" w:rsidP="006F2DC5">
            <w:pPr>
              <w:tabs>
                <w:tab w:val="left" w:pos="284"/>
              </w:tabs>
              <w:spacing w:after="0" w:line="280" w:lineRule="atLeast"/>
              <w:rPr>
                <w:rFonts w:ascii="Arial" w:hAnsi="Arial" w:cs="Arial"/>
                <w:sz w:val="24"/>
                <w:szCs w:val="24"/>
              </w:rPr>
            </w:pPr>
            <w:r w:rsidRPr="006F2DC5">
              <w:rPr>
                <w:rFonts w:ascii="Arial" w:hAnsi="Arial" w:cs="Arial"/>
                <w:sz w:val="24"/>
                <w:szCs w:val="24"/>
              </w:rPr>
              <w:t>Accessing etc the gambling harm risk register</w:t>
            </w:r>
          </w:p>
          <w:p w14:paraId="1D4EF41F" w14:textId="48CD2EC4" w:rsidR="00AD7F9C" w:rsidRPr="00A81EEA" w:rsidRDefault="00AD7F9C" w:rsidP="00EC4175">
            <w:pPr>
              <w:spacing w:after="0" w:line="280" w:lineRule="atLeast"/>
              <w:rPr>
                <w:rFonts w:ascii="Arial" w:hAnsi="Arial" w:cs="Arial"/>
                <w:sz w:val="24"/>
                <w:szCs w:val="24"/>
              </w:rPr>
            </w:pPr>
          </w:p>
        </w:tc>
        <w:tc>
          <w:tcPr>
            <w:tcW w:w="6946" w:type="dxa"/>
          </w:tcPr>
          <w:p w14:paraId="78F8141D" w14:textId="51584781" w:rsidR="00AD7F9C" w:rsidRPr="00A81EEA" w:rsidRDefault="00AD7F9C" w:rsidP="00EC4175">
            <w:pPr>
              <w:spacing w:after="0" w:line="280" w:lineRule="atLeast"/>
              <w:rPr>
                <w:rFonts w:ascii="Arial" w:hAnsi="Arial" w:cs="Arial"/>
                <w:sz w:val="24"/>
                <w:szCs w:val="24"/>
              </w:rPr>
            </w:pPr>
            <w:r w:rsidRPr="00A81EEA">
              <w:rPr>
                <w:rFonts w:ascii="Arial" w:hAnsi="Arial" w:cs="Arial"/>
                <w:sz w:val="24"/>
                <w:szCs w:val="24"/>
              </w:rPr>
              <w:t xml:space="preserve">Provides an offence for </w:t>
            </w:r>
            <w:r w:rsidR="006F2DC5">
              <w:rPr>
                <w:rFonts w:ascii="Arial" w:hAnsi="Arial" w:cs="Arial"/>
                <w:sz w:val="24"/>
                <w:szCs w:val="24"/>
              </w:rPr>
              <w:t>a person accessing and amending or removing details on the register and the person is not authorised to do so.</w:t>
            </w:r>
          </w:p>
          <w:p w14:paraId="602887FB" w14:textId="77777777" w:rsidR="00AD7F9C" w:rsidRPr="00A81EEA" w:rsidRDefault="00AD7F9C" w:rsidP="00EC4175">
            <w:pPr>
              <w:spacing w:after="0" w:line="280" w:lineRule="atLeast"/>
              <w:rPr>
                <w:rFonts w:ascii="Arial" w:hAnsi="Arial" w:cs="Arial"/>
                <w:sz w:val="24"/>
                <w:szCs w:val="24"/>
              </w:rPr>
            </w:pPr>
          </w:p>
          <w:p w14:paraId="0DF5944F" w14:textId="4A636363" w:rsidR="0017271F" w:rsidRPr="00A81EEA" w:rsidRDefault="00AD7F9C" w:rsidP="006F2DC5">
            <w:pPr>
              <w:spacing w:after="0" w:line="280" w:lineRule="atLeast"/>
              <w:rPr>
                <w:rFonts w:ascii="Arial" w:hAnsi="Arial" w:cs="Arial"/>
                <w:sz w:val="24"/>
                <w:szCs w:val="24"/>
              </w:rPr>
            </w:pPr>
            <w:r w:rsidRPr="00A81EEA">
              <w:rPr>
                <w:rFonts w:ascii="Arial" w:hAnsi="Arial" w:cs="Arial"/>
                <w:iCs/>
                <w:sz w:val="24"/>
                <w:szCs w:val="24"/>
              </w:rPr>
              <w:t>This is a strict liability offence</w:t>
            </w:r>
            <w:r w:rsidR="004F75BE">
              <w:rPr>
                <w:rFonts w:ascii="Arial" w:hAnsi="Arial" w:cs="Arial"/>
                <w:iCs/>
                <w:sz w:val="24"/>
                <w:szCs w:val="24"/>
              </w:rPr>
              <w:t xml:space="preserve"> so the prosecution will not be required to prove fault elements. Therefore, this limits the right to be presumed innocent</w:t>
            </w:r>
            <w:r w:rsidR="0017271F">
              <w:rPr>
                <w:rFonts w:ascii="Arial" w:hAnsi="Arial" w:cs="Arial"/>
                <w:iCs/>
                <w:sz w:val="24"/>
                <w:szCs w:val="24"/>
              </w:rPr>
              <w:t xml:space="preserve">. </w:t>
            </w:r>
          </w:p>
        </w:tc>
      </w:tr>
      <w:tr w:rsidR="00AD7F9C" w:rsidRPr="00913ABF" w14:paraId="59603857" w14:textId="77777777" w:rsidTr="5166F90A">
        <w:trPr>
          <w:cantSplit/>
          <w:trHeight w:val="1539"/>
        </w:trPr>
        <w:tc>
          <w:tcPr>
            <w:tcW w:w="2268" w:type="dxa"/>
          </w:tcPr>
          <w:p w14:paraId="56385541" w14:textId="443D09B4" w:rsidR="00AD7F9C" w:rsidRPr="009D01A9" w:rsidRDefault="003254F0" w:rsidP="00EC4175">
            <w:pPr>
              <w:spacing w:after="0" w:line="280" w:lineRule="atLeast"/>
              <w:rPr>
                <w:rFonts w:ascii="Arial" w:hAnsi="Arial" w:cs="Arial"/>
                <w:sz w:val="24"/>
                <w:szCs w:val="24"/>
              </w:rPr>
            </w:pPr>
            <w:r w:rsidRPr="009D01A9">
              <w:rPr>
                <w:rFonts w:ascii="Arial" w:hAnsi="Arial" w:cs="Arial"/>
                <w:sz w:val="24"/>
                <w:szCs w:val="24"/>
              </w:rPr>
              <w:lastRenderedPageBreak/>
              <w:t>Section 19</w:t>
            </w:r>
            <w:r w:rsidR="00683D1C">
              <w:rPr>
                <w:rFonts w:ascii="Arial" w:hAnsi="Arial" w:cs="Arial"/>
                <w:sz w:val="24"/>
                <w:szCs w:val="24"/>
              </w:rPr>
              <w:t>J</w:t>
            </w:r>
          </w:p>
          <w:p w14:paraId="00AA6C77" w14:textId="77777777" w:rsidR="003254F0" w:rsidRPr="009D01A9" w:rsidRDefault="003254F0" w:rsidP="00EC4175">
            <w:pPr>
              <w:spacing w:after="0" w:line="280" w:lineRule="atLeast"/>
              <w:rPr>
                <w:rFonts w:ascii="Arial" w:hAnsi="Arial" w:cs="Arial"/>
                <w:sz w:val="24"/>
                <w:szCs w:val="24"/>
              </w:rPr>
            </w:pPr>
          </w:p>
          <w:p w14:paraId="47FC4898" w14:textId="365865FA" w:rsidR="003254F0" w:rsidRPr="009D01A9" w:rsidRDefault="003254F0" w:rsidP="00EC4175">
            <w:pPr>
              <w:spacing w:after="0" w:line="280" w:lineRule="atLeast"/>
              <w:rPr>
                <w:rFonts w:ascii="Arial" w:hAnsi="Arial" w:cs="Arial"/>
                <w:sz w:val="24"/>
                <w:szCs w:val="24"/>
              </w:rPr>
            </w:pPr>
            <w:r w:rsidRPr="009D01A9">
              <w:rPr>
                <w:rFonts w:ascii="Arial" w:hAnsi="Arial" w:cs="Arial"/>
                <w:sz w:val="24"/>
                <w:szCs w:val="24"/>
              </w:rPr>
              <w:t>Licensees giving people notice of gambling exclusion</w:t>
            </w:r>
          </w:p>
        </w:tc>
        <w:tc>
          <w:tcPr>
            <w:tcW w:w="6946" w:type="dxa"/>
          </w:tcPr>
          <w:p w14:paraId="280F2ED0" w14:textId="77777777" w:rsidR="00AD7F9C" w:rsidRDefault="003254F0" w:rsidP="00EC4175">
            <w:pPr>
              <w:spacing w:after="0" w:line="280" w:lineRule="atLeast"/>
              <w:rPr>
                <w:rFonts w:ascii="Arial" w:hAnsi="Arial" w:cs="Arial"/>
                <w:sz w:val="24"/>
                <w:szCs w:val="24"/>
              </w:rPr>
            </w:pPr>
            <w:r w:rsidRPr="00A81EEA">
              <w:rPr>
                <w:rFonts w:ascii="Arial" w:hAnsi="Arial" w:cs="Arial"/>
                <w:sz w:val="24"/>
                <w:szCs w:val="24"/>
              </w:rPr>
              <w:t xml:space="preserve">Provides for an offence for </w:t>
            </w:r>
            <w:r>
              <w:rPr>
                <w:rFonts w:ascii="Arial" w:hAnsi="Arial" w:cs="Arial"/>
                <w:sz w:val="24"/>
                <w:szCs w:val="24"/>
              </w:rPr>
              <w:t xml:space="preserve">a licensee </w:t>
            </w:r>
            <w:r w:rsidRPr="00A81EEA">
              <w:rPr>
                <w:rFonts w:ascii="Arial" w:hAnsi="Arial" w:cs="Arial"/>
                <w:sz w:val="24"/>
                <w:szCs w:val="24"/>
              </w:rPr>
              <w:t>failing</w:t>
            </w:r>
            <w:r>
              <w:rPr>
                <w:rFonts w:ascii="Arial" w:hAnsi="Arial" w:cs="Arial"/>
                <w:sz w:val="24"/>
                <w:szCs w:val="24"/>
              </w:rPr>
              <w:t xml:space="preserve"> to give a licensee exclusion notice to a person at risk of gambling harm, as soon as practicable.</w:t>
            </w:r>
          </w:p>
          <w:p w14:paraId="79D0DD18" w14:textId="77777777" w:rsidR="003254F0" w:rsidRDefault="003254F0" w:rsidP="00EC4175">
            <w:pPr>
              <w:spacing w:after="0" w:line="280" w:lineRule="atLeast"/>
              <w:rPr>
                <w:rFonts w:ascii="Arial" w:hAnsi="Arial" w:cs="Arial"/>
                <w:sz w:val="24"/>
                <w:szCs w:val="24"/>
              </w:rPr>
            </w:pPr>
          </w:p>
          <w:p w14:paraId="1911C285" w14:textId="6F2CA80B" w:rsidR="003254F0" w:rsidRPr="00A81EEA" w:rsidRDefault="00B07F3C" w:rsidP="00EC4175">
            <w:pPr>
              <w:spacing w:after="0" w:line="280" w:lineRule="atLeast"/>
              <w:rPr>
                <w:rFonts w:ascii="Arial" w:hAnsi="Arial" w:cs="Arial"/>
                <w:sz w:val="24"/>
                <w:szCs w:val="24"/>
              </w:rPr>
            </w:pPr>
            <w:r>
              <w:rPr>
                <w:rFonts w:ascii="Arial" w:hAnsi="Arial" w:cs="Arial"/>
                <w:sz w:val="24"/>
                <w:szCs w:val="24"/>
              </w:rPr>
              <w:t>There is a defence available if the licensee considered another action more proportionate to the risk of gambling harm, and so undertook that action</w:t>
            </w:r>
            <w:r w:rsidR="001A4E9F">
              <w:rPr>
                <w:rFonts w:ascii="Arial" w:hAnsi="Arial" w:cs="Arial"/>
                <w:sz w:val="24"/>
                <w:szCs w:val="24"/>
              </w:rPr>
              <w:t xml:space="preserve"> and duly recorded this. The defendant will have a</w:t>
            </w:r>
            <w:r w:rsidR="003C73D0">
              <w:rPr>
                <w:rFonts w:ascii="Arial" w:hAnsi="Arial" w:cs="Arial"/>
                <w:sz w:val="24"/>
                <w:szCs w:val="24"/>
              </w:rPr>
              <w:t xml:space="preserve"> legal </w:t>
            </w:r>
            <w:r w:rsidR="001A4E9F">
              <w:rPr>
                <w:rFonts w:ascii="Arial" w:hAnsi="Arial" w:cs="Arial"/>
                <w:sz w:val="24"/>
                <w:szCs w:val="24"/>
              </w:rPr>
              <w:t xml:space="preserve">burden in relation to this defence. </w:t>
            </w:r>
            <w:r w:rsidR="00565C2F">
              <w:rPr>
                <w:rFonts w:ascii="Arial" w:hAnsi="Arial" w:cs="Arial"/>
                <w:sz w:val="24"/>
                <w:szCs w:val="24"/>
              </w:rPr>
              <w:t xml:space="preserve">Shifting the </w:t>
            </w:r>
            <w:r w:rsidR="003C73D0">
              <w:rPr>
                <w:rFonts w:ascii="Arial" w:hAnsi="Arial" w:cs="Arial"/>
                <w:sz w:val="24"/>
                <w:szCs w:val="24"/>
              </w:rPr>
              <w:t xml:space="preserve">legal </w:t>
            </w:r>
            <w:r w:rsidR="00565C2F">
              <w:rPr>
                <w:rFonts w:ascii="Arial" w:hAnsi="Arial" w:cs="Arial"/>
                <w:sz w:val="24"/>
                <w:szCs w:val="24"/>
              </w:rPr>
              <w:t xml:space="preserve">burden to the defendant limits the right to be presumed innocent. </w:t>
            </w:r>
          </w:p>
        </w:tc>
      </w:tr>
      <w:tr w:rsidR="003254F0" w:rsidRPr="00913ABF" w14:paraId="7BC52F57" w14:textId="77777777" w:rsidTr="5166F90A">
        <w:trPr>
          <w:cantSplit/>
          <w:trHeight w:val="1539"/>
        </w:trPr>
        <w:tc>
          <w:tcPr>
            <w:tcW w:w="2268" w:type="dxa"/>
          </w:tcPr>
          <w:p w14:paraId="59AAA100" w14:textId="1F37A223" w:rsidR="003254F0" w:rsidRPr="009D01A9" w:rsidRDefault="003254F0" w:rsidP="003254F0">
            <w:pPr>
              <w:spacing w:after="0" w:line="280" w:lineRule="atLeast"/>
              <w:rPr>
                <w:rFonts w:ascii="Arial" w:hAnsi="Arial" w:cs="Arial"/>
                <w:sz w:val="24"/>
                <w:szCs w:val="24"/>
              </w:rPr>
            </w:pPr>
            <w:r w:rsidRPr="009D01A9">
              <w:rPr>
                <w:rFonts w:ascii="Arial" w:hAnsi="Arial" w:cs="Arial"/>
                <w:sz w:val="24"/>
                <w:szCs w:val="24"/>
              </w:rPr>
              <w:t>Section 19</w:t>
            </w:r>
            <w:r w:rsidR="00EF31DF">
              <w:rPr>
                <w:rFonts w:ascii="Arial" w:hAnsi="Arial" w:cs="Arial"/>
                <w:sz w:val="24"/>
                <w:szCs w:val="24"/>
              </w:rPr>
              <w:t>O</w:t>
            </w:r>
          </w:p>
          <w:p w14:paraId="01EF653B" w14:textId="77777777" w:rsidR="003254F0" w:rsidRPr="009D01A9" w:rsidRDefault="003254F0" w:rsidP="003254F0">
            <w:pPr>
              <w:spacing w:after="0" w:line="280" w:lineRule="atLeast"/>
              <w:rPr>
                <w:rFonts w:ascii="Arial" w:hAnsi="Arial" w:cs="Arial"/>
                <w:sz w:val="24"/>
                <w:szCs w:val="24"/>
              </w:rPr>
            </w:pPr>
          </w:p>
          <w:p w14:paraId="455B657F" w14:textId="33F2DDBC" w:rsidR="003254F0" w:rsidRPr="009D01A9" w:rsidRDefault="003254F0" w:rsidP="003254F0">
            <w:pPr>
              <w:spacing w:after="0" w:line="280" w:lineRule="atLeast"/>
              <w:rPr>
                <w:rFonts w:ascii="Arial" w:hAnsi="Arial" w:cs="Arial"/>
                <w:sz w:val="24"/>
                <w:szCs w:val="24"/>
              </w:rPr>
            </w:pPr>
            <w:r w:rsidRPr="009D01A9">
              <w:rPr>
                <w:rFonts w:ascii="Arial" w:hAnsi="Arial" w:cs="Arial"/>
                <w:sz w:val="24"/>
                <w:szCs w:val="24"/>
              </w:rPr>
              <w:t xml:space="preserve">Exclusion of people </w:t>
            </w:r>
            <w:r w:rsidR="008D555D">
              <w:rPr>
                <w:rFonts w:ascii="Arial" w:hAnsi="Arial" w:cs="Arial"/>
                <w:sz w:val="24"/>
                <w:szCs w:val="24"/>
              </w:rPr>
              <w:t xml:space="preserve">named in </w:t>
            </w:r>
            <w:r w:rsidRPr="009D01A9">
              <w:rPr>
                <w:rFonts w:ascii="Arial" w:hAnsi="Arial" w:cs="Arial"/>
                <w:sz w:val="24"/>
                <w:szCs w:val="24"/>
              </w:rPr>
              <w:t>gambling exclusion notice</w:t>
            </w:r>
            <w:r w:rsidR="008D555D">
              <w:rPr>
                <w:rFonts w:ascii="Arial" w:hAnsi="Arial" w:cs="Arial"/>
                <w:sz w:val="24"/>
                <w:szCs w:val="24"/>
              </w:rPr>
              <w:t xml:space="preserve"> or gambling exclusion determination</w:t>
            </w:r>
          </w:p>
        </w:tc>
        <w:tc>
          <w:tcPr>
            <w:tcW w:w="6946" w:type="dxa"/>
          </w:tcPr>
          <w:p w14:paraId="556F937D" w14:textId="711C8633" w:rsidR="003254F0" w:rsidRDefault="003254F0" w:rsidP="00EC4175">
            <w:pPr>
              <w:spacing w:after="0" w:line="280" w:lineRule="atLeast"/>
              <w:rPr>
                <w:rFonts w:ascii="Arial" w:hAnsi="Arial" w:cs="Arial"/>
                <w:sz w:val="24"/>
                <w:szCs w:val="24"/>
              </w:rPr>
            </w:pPr>
            <w:r>
              <w:rPr>
                <w:rFonts w:ascii="Arial" w:hAnsi="Arial" w:cs="Arial"/>
                <w:sz w:val="24"/>
                <w:szCs w:val="24"/>
              </w:rPr>
              <w:t>Provides for an offence if the licensee fails to stop a person from gambling within the exclusion period if they have given notice of their self-exclusion or they have been excluded by the licensee.</w:t>
            </w:r>
          </w:p>
          <w:p w14:paraId="48CE9DE7" w14:textId="77777777" w:rsidR="003254F0" w:rsidRDefault="003254F0" w:rsidP="00EC4175">
            <w:pPr>
              <w:spacing w:after="0" w:line="280" w:lineRule="atLeast"/>
              <w:rPr>
                <w:rFonts w:ascii="Arial" w:hAnsi="Arial" w:cs="Arial"/>
                <w:sz w:val="24"/>
                <w:szCs w:val="24"/>
              </w:rPr>
            </w:pPr>
          </w:p>
          <w:p w14:paraId="5E519B71" w14:textId="430B282C" w:rsidR="003254F0" w:rsidRPr="00A81EEA" w:rsidRDefault="00C22D46" w:rsidP="00EC4175">
            <w:pPr>
              <w:spacing w:after="0" w:line="280" w:lineRule="atLeast"/>
              <w:rPr>
                <w:rFonts w:ascii="Arial" w:hAnsi="Arial" w:cs="Arial"/>
                <w:sz w:val="24"/>
                <w:szCs w:val="24"/>
              </w:rPr>
            </w:pPr>
            <w:r>
              <w:rPr>
                <w:rFonts w:ascii="Arial" w:hAnsi="Arial" w:cs="Arial"/>
                <w:sz w:val="24"/>
                <w:szCs w:val="24"/>
              </w:rPr>
              <w:t>The</w:t>
            </w:r>
            <w:r w:rsidR="003C040E">
              <w:rPr>
                <w:rFonts w:ascii="Arial" w:hAnsi="Arial" w:cs="Arial"/>
                <w:sz w:val="24"/>
                <w:szCs w:val="24"/>
              </w:rPr>
              <w:t>re is a defence available if the licensee</w:t>
            </w:r>
            <w:r w:rsidR="003254F0" w:rsidRPr="003254F0">
              <w:rPr>
                <w:rFonts w:ascii="Arial" w:hAnsi="Arial" w:cs="Arial"/>
                <w:sz w:val="24"/>
                <w:szCs w:val="24"/>
              </w:rPr>
              <w:t xml:space="preserve"> takes all reasonable steps to stop the person from engaging in the gambling activity.</w:t>
            </w:r>
            <w:r w:rsidR="003C040E">
              <w:rPr>
                <w:rFonts w:ascii="Arial" w:hAnsi="Arial" w:cs="Arial"/>
                <w:sz w:val="24"/>
                <w:szCs w:val="24"/>
              </w:rPr>
              <w:t xml:space="preserve"> The defendant will have a</w:t>
            </w:r>
            <w:r w:rsidR="00C50A49">
              <w:rPr>
                <w:rFonts w:ascii="Arial" w:hAnsi="Arial" w:cs="Arial"/>
                <w:sz w:val="24"/>
                <w:szCs w:val="24"/>
              </w:rPr>
              <w:t xml:space="preserve"> legal </w:t>
            </w:r>
            <w:r w:rsidR="003C040E">
              <w:rPr>
                <w:rFonts w:ascii="Arial" w:hAnsi="Arial" w:cs="Arial"/>
                <w:sz w:val="24"/>
                <w:szCs w:val="24"/>
              </w:rPr>
              <w:t xml:space="preserve">burden in relation to this defence. Shifting the </w:t>
            </w:r>
            <w:r w:rsidR="00C50A49">
              <w:rPr>
                <w:rFonts w:ascii="Arial" w:hAnsi="Arial" w:cs="Arial"/>
                <w:sz w:val="24"/>
                <w:szCs w:val="24"/>
              </w:rPr>
              <w:t>legal</w:t>
            </w:r>
            <w:r w:rsidR="00912131">
              <w:rPr>
                <w:rFonts w:ascii="Arial" w:hAnsi="Arial" w:cs="Arial"/>
                <w:sz w:val="24"/>
                <w:szCs w:val="24"/>
              </w:rPr>
              <w:t xml:space="preserve"> burden</w:t>
            </w:r>
            <w:r w:rsidR="003C040E">
              <w:rPr>
                <w:rFonts w:ascii="Arial" w:hAnsi="Arial" w:cs="Arial"/>
                <w:sz w:val="24"/>
                <w:szCs w:val="24"/>
              </w:rPr>
              <w:t xml:space="preserve"> to the defendant limits the right to be presumed innocent.</w:t>
            </w:r>
            <w:r w:rsidR="00C50A49">
              <w:rPr>
                <w:rFonts w:ascii="Arial" w:hAnsi="Arial" w:cs="Arial"/>
                <w:sz w:val="24"/>
                <w:szCs w:val="24"/>
              </w:rPr>
              <w:t xml:space="preserve"> Strict liability also applies to elements of this offence so the prosecution will not be required to prove fault elements for these issues. Therefore, this limits the right to be presumed innocent.</w:t>
            </w:r>
          </w:p>
        </w:tc>
      </w:tr>
      <w:tr w:rsidR="00AD7F9C" w:rsidRPr="00913ABF" w14:paraId="00FE7D59" w14:textId="77777777" w:rsidTr="5166F90A">
        <w:trPr>
          <w:cantSplit/>
          <w:trHeight w:val="20"/>
        </w:trPr>
        <w:tc>
          <w:tcPr>
            <w:tcW w:w="2268" w:type="dxa"/>
          </w:tcPr>
          <w:p w14:paraId="75EB0BCD" w14:textId="1E10F448" w:rsidR="00AD7F9C" w:rsidRDefault="00425798" w:rsidP="00EC4175">
            <w:pPr>
              <w:spacing w:after="0" w:line="280" w:lineRule="atLeast"/>
              <w:rPr>
                <w:rFonts w:ascii="Arial" w:hAnsi="Arial" w:cs="Arial"/>
                <w:sz w:val="24"/>
                <w:szCs w:val="24"/>
              </w:rPr>
            </w:pPr>
            <w:r>
              <w:rPr>
                <w:rFonts w:ascii="Arial" w:hAnsi="Arial" w:cs="Arial"/>
                <w:sz w:val="24"/>
                <w:szCs w:val="24"/>
              </w:rPr>
              <w:t>Section 19</w:t>
            </w:r>
            <w:r w:rsidR="00EB2630">
              <w:rPr>
                <w:rFonts w:ascii="Arial" w:hAnsi="Arial" w:cs="Arial"/>
                <w:sz w:val="24"/>
                <w:szCs w:val="24"/>
              </w:rPr>
              <w:t>K</w:t>
            </w:r>
          </w:p>
          <w:p w14:paraId="45B90AF3" w14:textId="77777777" w:rsidR="00425798" w:rsidRDefault="00425798" w:rsidP="00EC4175">
            <w:pPr>
              <w:spacing w:after="0" w:line="280" w:lineRule="atLeast"/>
              <w:rPr>
                <w:rFonts w:ascii="Arial" w:hAnsi="Arial" w:cs="Arial"/>
                <w:sz w:val="24"/>
                <w:szCs w:val="24"/>
              </w:rPr>
            </w:pPr>
          </w:p>
          <w:p w14:paraId="3B1A21FF" w14:textId="6A1145FC" w:rsidR="00425798" w:rsidRPr="00A81EEA" w:rsidRDefault="00364474" w:rsidP="00EC4175">
            <w:pPr>
              <w:spacing w:after="0" w:line="280" w:lineRule="atLeast"/>
              <w:rPr>
                <w:rFonts w:ascii="Arial" w:hAnsi="Arial" w:cs="Arial"/>
                <w:sz w:val="24"/>
                <w:szCs w:val="24"/>
              </w:rPr>
            </w:pPr>
            <w:r>
              <w:rPr>
                <w:rFonts w:ascii="Arial" w:hAnsi="Arial" w:cs="Arial"/>
                <w:sz w:val="24"/>
                <w:szCs w:val="24"/>
              </w:rPr>
              <w:t>L</w:t>
            </w:r>
            <w:r w:rsidR="00425798" w:rsidRPr="00425798">
              <w:rPr>
                <w:rFonts w:ascii="Arial" w:hAnsi="Arial" w:cs="Arial"/>
                <w:sz w:val="24"/>
                <w:szCs w:val="24"/>
              </w:rPr>
              <w:t>icensee</w:t>
            </w:r>
            <w:r>
              <w:rPr>
                <w:rFonts w:ascii="Arial" w:hAnsi="Arial" w:cs="Arial"/>
                <w:sz w:val="24"/>
                <w:szCs w:val="24"/>
              </w:rPr>
              <w:t>s must tell commission about</w:t>
            </w:r>
            <w:r w:rsidR="00425798" w:rsidRPr="00425798">
              <w:rPr>
                <w:rFonts w:ascii="Arial" w:hAnsi="Arial" w:cs="Arial"/>
                <w:sz w:val="24"/>
                <w:szCs w:val="24"/>
              </w:rPr>
              <w:t xml:space="preserve"> gambling exclusion notice</w:t>
            </w:r>
            <w:r>
              <w:rPr>
                <w:rFonts w:ascii="Arial" w:hAnsi="Arial" w:cs="Arial"/>
                <w:sz w:val="24"/>
                <w:szCs w:val="24"/>
              </w:rPr>
              <w:t>s</w:t>
            </w:r>
          </w:p>
        </w:tc>
        <w:tc>
          <w:tcPr>
            <w:tcW w:w="6946" w:type="dxa"/>
          </w:tcPr>
          <w:p w14:paraId="749702E8" w14:textId="1CABDEA3" w:rsidR="00AD7F9C" w:rsidRDefault="00425798" w:rsidP="00EC4175">
            <w:pPr>
              <w:spacing w:after="0" w:line="280" w:lineRule="atLeast"/>
              <w:rPr>
                <w:rFonts w:ascii="Arial" w:hAnsi="Arial" w:cs="Arial"/>
                <w:sz w:val="24"/>
                <w:szCs w:val="24"/>
              </w:rPr>
            </w:pPr>
            <w:r>
              <w:rPr>
                <w:rFonts w:ascii="Arial" w:hAnsi="Arial" w:cs="Arial"/>
                <w:sz w:val="24"/>
                <w:szCs w:val="24"/>
              </w:rPr>
              <w:t xml:space="preserve">Provides for an offence if the licensee fails to tell the Commission with 3 trading days that </w:t>
            </w:r>
            <w:r w:rsidR="00EE7E7E">
              <w:rPr>
                <w:rFonts w:ascii="Arial" w:hAnsi="Arial" w:cs="Arial"/>
                <w:sz w:val="24"/>
                <w:szCs w:val="24"/>
              </w:rPr>
              <w:t>the licensee has given a person a licensee exclusion notice</w:t>
            </w:r>
            <w:r>
              <w:rPr>
                <w:rFonts w:ascii="Arial" w:hAnsi="Arial" w:cs="Arial"/>
                <w:sz w:val="24"/>
                <w:szCs w:val="24"/>
              </w:rPr>
              <w:t>.</w:t>
            </w:r>
          </w:p>
          <w:p w14:paraId="1738EA8B" w14:textId="77777777" w:rsidR="00E07003" w:rsidRDefault="00E07003" w:rsidP="00EC4175">
            <w:pPr>
              <w:spacing w:after="0" w:line="280" w:lineRule="atLeast"/>
              <w:rPr>
                <w:rFonts w:ascii="Arial" w:hAnsi="Arial" w:cs="Arial"/>
                <w:sz w:val="24"/>
                <w:szCs w:val="24"/>
              </w:rPr>
            </w:pPr>
          </w:p>
          <w:p w14:paraId="2CFF78C3" w14:textId="172C396B" w:rsidR="00E07003" w:rsidRPr="00A81EEA" w:rsidRDefault="00E07003" w:rsidP="00EC4175">
            <w:pPr>
              <w:spacing w:after="0" w:line="280" w:lineRule="atLeast"/>
              <w:rPr>
                <w:rFonts w:ascii="Arial" w:hAnsi="Arial" w:cs="Arial"/>
                <w:sz w:val="24"/>
                <w:szCs w:val="24"/>
              </w:rPr>
            </w:pPr>
            <w:r>
              <w:rPr>
                <w:rFonts w:ascii="Arial" w:hAnsi="Arial" w:cs="Arial"/>
                <w:sz w:val="24"/>
                <w:szCs w:val="24"/>
              </w:rPr>
              <w:t xml:space="preserve">This offence is strict liability </w:t>
            </w:r>
            <w:r>
              <w:rPr>
                <w:rFonts w:ascii="Arial" w:hAnsi="Arial" w:cs="Arial"/>
                <w:iCs/>
                <w:sz w:val="24"/>
                <w:szCs w:val="24"/>
              </w:rPr>
              <w:t>so the prosecution will not be required to prove fault elements. Therefore, this limits the right to be presumed innocent.</w:t>
            </w:r>
          </w:p>
          <w:p w14:paraId="6057853A" w14:textId="77777777" w:rsidR="00AD7F9C" w:rsidRDefault="00AD7F9C" w:rsidP="00EC4175">
            <w:pPr>
              <w:spacing w:after="0" w:line="280" w:lineRule="atLeast"/>
              <w:rPr>
                <w:rFonts w:ascii="Arial" w:hAnsi="Arial" w:cs="Arial"/>
                <w:sz w:val="24"/>
                <w:szCs w:val="24"/>
              </w:rPr>
            </w:pPr>
          </w:p>
          <w:p w14:paraId="3A02302A" w14:textId="06824B7C" w:rsidR="00841297" w:rsidRPr="00A81EEA" w:rsidRDefault="00E07003" w:rsidP="00EC4175">
            <w:pPr>
              <w:spacing w:after="0" w:line="280" w:lineRule="atLeast"/>
              <w:rPr>
                <w:rFonts w:ascii="Arial" w:hAnsi="Arial" w:cs="Arial"/>
                <w:sz w:val="24"/>
                <w:szCs w:val="24"/>
              </w:rPr>
            </w:pPr>
            <w:r w:rsidRPr="5166F90A">
              <w:rPr>
                <w:rFonts w:ascii="Arial" w:hAnsi="Arial" w:cs="Arial"/>
                <w:sz w:val="24"/>
                <w:szCs w:val="24"/>
              </w:rPr>
              <w:t>There is a defence available if the licensee does not accept a person’s self-exclusion notice under section 19</w:t>
            </w:r>
            <w:r w:rsidR="004B62BE" w:rsidRPr="5166F90A">
              <w:rPr>
                <w:rFonts w:ascii="Arial" w:hAnsi="Arial" w:cs="Arial"/>
                <w:sz w:val="24"/>
                <w:szCs w:val="24"/>
              </w:rPr>
              <w:t>I</w:t>
            </w:r>
            <w:r w:rsidRPr="5166F90A">
              <w:rPr>
                <w:rFonts w:ascii="Arial" w:hAnsi="Arial" w:cs="Arial"/>
                <w:sz w:val="24"/>
                <w:szCs w:val="24"/>
              </w:rPr>
              <w:t>(3), for example because it is incomplete. The defendant will have an evidential burden in relation to this defence. Shifting the</w:t>
            </w:r>
            <w:r w:rsidR="00912131" w:rsidRPr="5166F90A">
              <w:rPr>
                <w:rFonts w:ascii="Arial" w:hAnsi="Arial" w:cs="Arial"/>
                <w:sz w:val="24"/>
                <w:szCs w:val="24"/>
              </w:rPr>
              <w:t xml:space="preserve"> evidential</w:t>
            </w:r>
            <w:r w:rsidRPr="5166F90A">
              <w:rPr>
                <w:rFonts w:ascii="Arial" w:hAnsi="Arial" w:cs="Arial"/>
                <w:sz w:val="24"/>
                <w:szCs w:val="24"/>
              </w:rPr>
              <w:t xml:space="preserve"> burden to the defendant limits the right to be presumed innocent.</w:t>
            </w:r>
          </w:p>
        </w:tc>
      </w:tr>
      <w:tr w:rsidR="00AD7F9C" w:rsidRPr="00913ABF" w14:paraId="43F43EB2" w14:textId="77777777" w:rsidTr="5166F90A">
        <w:trPr>
          <w:cantSplit/>
          <w:trHeight w:val="20"/>
        </w:trPr>
        <w:tc>
          <w:tcPr>
            <w:tcW w:w="2268" w:type="dxa"/>
          </w:tcPr>
          <w:p w14:paraId="4749490E" w14:textId="0215E7A8" w:rsidR="00AD7F9C" w:rsidRPr="00A81EEA" w:rsidRDefault="00AD7F9C" w:rsidP="00EC4175">
            <w:pPr>
              <w:tabs>
                <w:tab w:val="left" w:pos="284"/>
              </w:tabs>
              <w:spacing w:after="0" w:line="280" w:lineRule="atLeast"/>
              <w:ind w:left="284" w:hanging="284"/>
              <w:rPr>
                <w:rFonts w:ascii="Arial" w:hAnsi="Arial" w:cs="Arial"/>
                <w:sz w:val="24"/>
                <w:szCs w:val="24"/>
              </w:rPr>
            </w:pPr>
            <w:r w:rsidRPr="00A81EEA">
              <w:rPr>
                <w:rFonts w:ascii="Arial" w:hAnsi="Arial" w:cs="Arial"/>
                <w:sz w:val="24"/>
                <w:szCs w:val="24"/>
              </w:rPr>
              <w:t>Sectio</w:t>
            </w:r>
            <w:r w:rsidR="008F464B">
              <w:rPr>
                <w:rFonts w:ascii="Arial" w:hAnsi="Arial" w:cs="Arial"/>
                <w:sz w:val="24"/>
                <w:szCs w:val="24"/>
              </w:rPr>
              <w:t>n 19</w:t>
            </w:r>
            <w:r w:rsidR="000C33FA">
              <w:rPr>
                <w:rFonts w:ascii="Arial" w:hAnsi="Arial" w:cs="Arial"/>
                <w:sz w:val="24"/>
                <w:szCs w:val="24"/>
              </w:rPr>
              <w:t>U</w:t>
            </w:r>
            <w:r w:rsidRPr="00A81EEA">
              <w:rPr>
                <w:rFonts w:ascii="Arial" w:hAnsi="Arial" w:cs="Arial"/>
                <w:sz w:val="24"/>
                <w:szCs w:val="24"/>
              </w:rPr>
              <w:t xml:space="preserve"> </w:t>
            </w:r>
          </w:p>
          <w:p w14:paraId="618477B3" w14:textId="77777777" w:rsidR="00AD7F9C" w:rsidRPr="00A81EEA" w:rsidRDefault="00AD7F9C" w:rsidP="00EC4175">
            <w:pPr>
              <w:tabs>
                <w:tab w:val="left" w:pos="284"/>
              </w:tabs>
              <w:spacing w:after="0" w:line="280" w:lineRule="atLeast"/>
              <w:ind w:left="284" w:hanging="284"/>
              <w:rPr>
                <w:rFonts w:ascii="Arial" w:hAnsi="Arial" w:cs="Arial"/>
                <w:sz w:val="24"/>
                <w:szCs w:val="24"/>
              </w:rPr>
            </w:pPr>
          </w:p>
          <w:p w14:paraId="31F0F129" w14:textId="28011C99" w:rsidR="00AD7F9C" w:rsidRPr="00A81EEA" w:rsidRDefault="00EE7E7E" w:rsidP="00EC4175">
            <w:pPr>
              <w:spacing w:after="0" w:line="280" w:lineRule="atLeast"/>
              <w:rPr>
                <w:rFonts w:ascii="Arial" w:hAnsi="Arial" w:cs="Arial"/>
                <w:sz w:val="24"/>
                <w:szCs w:val="24"/>
              </w:rPr>
            </w:pPr>
            <w:r w:rsidRPr="00EE7E7E">
              <w:rPr>
                <w:rFonts w:ascii="Arial" w:hAnsi="Arial" w:cs="Arial"/>
                <w:sz w:val="24"/>
                <w:szCs w:val="24"/>
              </w:rPr>
              <w:t>Licensees must comply with decision to revoke or amend gambling exclusion determination</w:t>
            </w:r>
            <w:r w:rsidR="000C33FA">
              <w:rPr>
                <w:rFonts w:ascii="Arial" w:hAnsi="Arial" w:cs="Arial"/>
                <w:sz w:val="24"/>
                <w:szCs w:val="24"/>
              </w:rPr>
              <w:t xml:space="preserve"> based on licensee exclusion notice</w:t>
            </w:r>
          </w:p>
        </w:tc>
        <w:tc>
          <w:tcPr>
            <w:tcW w:w="6946" w:type="dxa"/>
          </w:tcPr>
          <w:p w14:paraId="0360714A" w14:textId="4F967876" w:rsidR="00AD7F9C" w:rsidRPr="00A81EEA" w:rsidRDefault="00AD7F9C" w:rsidP="00EC4175">
            <w:pPr>
              <w:spacing w:after="0" w:line="280" w:lineRule="atLeast"/>
              <w:rPr>
                <w:rFonts w:ascii="Arial" w:hAnsi="Arial" w:cs="Arial"/>
                <w:sz w:val="24"/>
                <w:szCs w:val="24"/>
              </w:rPr>
            </w:pPr>
            <w:r w:rsidRPr="00A81EEA">
              <w:rPr>
                <w:rFonts w:ascii="Arial" w:hAnsi="Arial" w:cs="Arial"/>
                <w:sz w:val="24"/>
                <w:szCs w:val="24"/>
              </w:rPr>
              <w:t xml:space="preserve">Provides an offence </w:t>
            </w:r>
            <w:r w:rsidR="008F464B">
              <w:rPr>
                <w:rFonts w:ascii="Arial" w:hAnsi="Arial" w:cs="Arial"/>
                <w:sz w:val="24"/>
                <w:szCs w:val="24"/>
              </w:rPr>
              <w:t xml:space="preserve">for the licensee failing to give effect to the Commission’s </w:t>
            </w:r>
            <w:r w:rsidR="0041305D">
              <w:rPr>
                <w:rFonts w:ascii="Arial" w:hAnsi="Arial" w:cs="Arial"/>
                <w:sz w:val="24"/>
                <w:szCs w:val="24"/>
              </w:rPr>
              <w:t xml:space="preserve">or ACAT’s </w:t>
            </w:r>
            <w:r w:rsidR="008F464B">
              <w:rPr>
                <w:rFonts w:ascii="Arial" w:hAnsi="Arial" w:cs="Arial"/>
                <w:sz w:val="24"/>
                <w:szCs w:val="24"/>
              </w:rPr>
              <w:t xml:space="preserve">decision to revoke or amend a licensee exclusion </w:t>
            </w:r>
            <w:r w:rsidR="0041305D">
              <w:rPr>
                <w:rFonts w:ascii="Arial" w:hAnsi="Arial" w:cs="Arial"/>
                <w:sz w:val="24"/>
                <w:szCs w:val="24"/>
              </w:rPr>
              <w:t>determination</w:t>
            </w:r>
            <w:r w:rsidR="008F464B">
              <w:rPr>
                <w:rFonts w:ascii="Arial" w:hAnsi="Arial" w:cs="Arial"/>
                <w:sz w:val="24"/>
                <w:szCs w:val="24"/>
              </w:rPr>
              <w:t>.</w:t>
            </w:r>
          </w:p>
          <w:p w14:paraId="25E6CA9F" w14:textId="77777777" w:rsidR="00AD7F9C" w:rsidRPr="00A81EEA" w:rsidRDefault="00AD7F9C" w:rsidP="00EC4175">
            <w:pPr>
              <w:spacing w:after="0" w:line="280" w:lineRule="atLeast"/>
              <w:rPr>
                <w:rFonts w:ascii="Arial" w:hAnsi="Arial" w:cs="Arial"/>
                <w:sz w:val="24"/>
                <w:szCs w:val="24"/>
              </w:rPr>
            </w:pPr>
          </w:p>
          <w:p w14:paraId="21F80C15" w14:textId="0A4B37E3" w:rsidR="00AD7F9C" w:rsidRPr="00A81EEA" w:rsidRDefault="00AD7F9C" w:rsidP="00EC4175">
            <w:pPr>
              <w:spacing w:after="0" w:line="280" w:lineRule="atLeast"/>
              <w:rPr>
                <w:rFonts w:ascii="Arial" w:hAnsi="Arial" w:cs="Arial"/>
                <w:sz w:val="24"/>
                <w:szCs w:val="24"/>
              </w:rPr>
            </w:pPr>
            <w:r w:rsidRPr="00A81EEA">
              <w:rPr>
                <w:rFonts w:ascii="Arial" w:hAnsi="Arial" w:cs="Arial"/>
                <w:iCs/>
                <w:sz w:val="24"/>
                <w:szCs w:val="24"/>
              </w:rPr>
              <w:t>This offence is a strict liability offence</w:t>
            </w:r>
            <w:r w:rsidR="00957EE5">
              <w:rPr>
                <w:rFonts w:ascii="Arial" w:hAnsi="Arial" w:cs="Arial"/>
                <w:iCs/>
                <w:sz w:val="24"/>
                <w:szCs w:val="24"/>
              </w:rPr>
              <w:t xml:space="preserve"> so the prosecution will not be required to prove fault elements. Therefore, this limits the right to be presumed innocent</w:t>
            </w:r>
            <w:r w:rsidRPr="00A81EEA">
              <w:rPr>
                <w:rFonts w:ascii="Arial" w:hAnsi="Arial" w:cs="Arial"/>
                <w:iCs/>
                <w:sz w:val="24"/>
                <w:szCs w:val="24"/>
              </w:rPr>
              <w:t>.</w:t>
            </w:r>
          </w:p>
        </w:tc>
      </w:tr>
      <w:tr w:rsidR="00AD7F9C" w:rsidRPr="00913ABF" w14:paraId="31B253C7" w14:textId="77777777" w:rsidTr="5166F90A">
        <w:trPr>
          <w:cantSplit/>
          <w:trHeight w:val="2248"/>
        </w:trPr>
        <w:tc>
          <w:tcPr>
            <w:tcW w:w="2268" w:type="dxa"/>
          </w:tcPr>
          <w:p w14:paraId="0C160DEE" w14:textId="1064E369" w:rsidR="00AD7F9C" w:rsidRPr="00A81EEA" w:rsidRDefault="00AD7F9C" w:rsidP="00EC4175">
            <w:pPr>
              <w:tabs>
                <w:tab w:val="left" w:pos="284"/>
              </w:tabs>
              <w:spacing w:after="0" w:line="280" w:lineRule="atLeast"/>
              <w:rPr>
                <w:rFonts w:ascii="Arial" w:hAnsi="Arial" w:cs="Arial"/>
                <w:sz w:val="24"/>
                <w:szCs w:val="24"/>
              </w:rPr>
            </w:pPr>
            <w:r w:rsidRPr="00A81EEA">
              <w:rPr>
                <w:rFonts w:ascii="Arial" w:hAnsi="Arial" w:cs="Arial"/>
                <w:sz w:val="24"/>
                <w:szCs w:val="24"/>
              </w:rPr>
              <w:lastRenderedPageBreak/>
              <w:t>Section 1</w:t>
            </w:r>
            <w:r w:rsidR="008F464B">
              <w:rPr>
                <w:rFonts w:ascii="Arial" w:hAnsi="Arial" w:cs="Arial"/>
                <w:sz w:val="24"/>
                <w:szCs w:val="24"/>
              </w:rPr>
              <w:t>9</w:t>
            </w:r>
            <w:r w:rsidR="0047331B">
              <w:rPr>
                <w:rFonts w:ascii="Arial" w:hAnsi="Arial" w:cs="Arial"/>
                <w:sz w:val="24"/>
                <w:szCs w:val="24"/>
              </w:rPr>
              <w:t>P</w:t>
            </w:r>
          </w:p>
          <w:p w14:paraId="45212014" w14:textId="77777777" w:rsidR="00AD7F9C" w:rsidRPr="00A81EEA" w:rsidRDefault="00AD7F9C" w:rsidP="00EC4175">
            <w:pPr>
              <w:tabs>
                <w:tab w:val="left" w:pos="284"/>
              </w:tabs>
              <w:spacing w:after="0" w:line="280" w:lineRule="atLeast"/>
              <w:rPr>
                <w:rFonts w:ascii="Arial" w:hAnsi="Arial" w:cs="Arial"/>
                <w:sz w:val="24"/>
                <w:szCs w:val="24"/>
              </w:rPr>
            </w:pPr>
          </w:p>
          <w:p w14:paraId="22D87715" w14:textId="232DC432" w:rsidR="00AD7F9C" w:rsidRPr="00A81EEA" w:rsidRDefault="008F464B" w:rsidP="00EC4175">
            <w:pPr>
              <w:spacing w:after="0" w:line="280" w:lineRule="atLeast"/>
              <w:rPr>
                <w:rFonts w:ascii="Arial" w:hAnsi="Arial" w:cs="Arial"/>
                <w:sz w:val="24"/>
                <w:szCs w:val="24"/>
              </w:rPr>
            </w:pPr>
            <w:r>
              <w:rPr>
                <w:rFonts w:ascii="Arial" w:hAnsi="Arial" w:cs="Arial"/>
                <w:sz w:val="24"/>
                <w:szCs w:val="24"/>
              </w:rPr>
              <w:t>Exclusion procedures</w:t>
            </w:r>
          </w:p>
        </w:tc>
        <w:tc>
          <w:tcPr>
            <w:tcW w:w="6946" w:type="dxa"/>
          </w:tcPr>
          <w:p w14:paraId="655D35F8" w14:textId="2C23394D" w:rsidR="00AD7F9C" w:rsidRPr="00A81EEA" w:rsidRDefault="00AD7F9C" w:rsidP="00EC4175">
            <w:pPr>
              <w:spacing w:after="0" w:line="280" w:lineRule="atLeast"/>
              <w:rPr>
                <w:rFonts w:ascii="Arial" w:hAnsi="Arial" w:cs="Arial"/>
                <w:sz w:val="24"/>
                <w:szCs w:val="24"/>
              </w:rPr>
            </w:pPr>
            <w:r w:rsidRPr="00A81EEA">
              <w:rPr>
                <w:rFonts w:ascii="Arial" w:hAnsi="Arial" w:cs="Arial"/>
                <w:sz w:val="24"/>
                <w:szCs w:val="24"/>
              </w:rPr>
              <w:t xml:space="preserve">Provides an offence </w:t>
            </w:r>
            <w:r w:rsidR="008F464B">
              <w:rPr>
                <w:rFonts w:ascii="Arial" w:hAnsi="Arial" w:cs="Arial"/>
                <w:sz w:val="24"/>
                <w:szCs w:val="24"/>
              </w:rPr>
              <w:t>for a licensee failing to prepare written procedures about how a person subject to a exclusion notice or determination is to be excluded from the activity.</w:t>
            </w:r>
          </w:p>
          <w:p w14:paraId="5732043F" w14:textId="77777777" w:rsidR="008F74FC" w:rsidRDefault="008F74FC" w:rsidP="00EC4175">
            <w:pPr>
              <w:spacing w:after="0" w:line="280" w:lineRule="atLeast"/>
              <w:rPr>
                <w:rFonts w:ascii="Arial" w:hAnsi="Arial" w:cs="Arial"/>
                <w:sz w:val="24"/>
                <w:szCs w:val="24"/>
              </w:rPr>
            </w:pPr>
          </w:p>
          <w:p w14:paraId="4666C9EF" w14:textId="188C2804" w:rsidR="008F74FC" w:rsidRDefault="008F74FC" w:rsidP="008F74FC">
            <w:pPr>
              <w:spacing w:after="0" w:line="280" w:lineRule="atLeast"/>
              <w:rPr>
                <w:rFonts w:ascii="Arial" w:hAnsi="Arial" w:cs="Arial"/>
                <w:sz w:val="24"/>
                <w:szCs w:val="24"/>
              </w:rPr>
            </w:pPr>
            <w:r>
              <w:rPr>
                <w:rFonts w:ascii="Arial" w:hAnsi="Arial" w:cs="Arial"/>
                <w:sz w:val="24"/>
                <w:szCs w:val="24"/>
              </w:rPr>
              <w:t>Also provides an offence for a person failing to comply with a written directions from the Commission about exclusion procedures to ensure compliance with the procedures.</w:t>
            </w:r>
          </w:p>
          <w:p w14:paraId="71F94143" w14:textId="77777777" w:rsidR="008F74FC" w:rsidRPr="00A81EEA" w:rsidRDefault="008F74FC" w:rsidP="00EC4175">
            <w:pPr>
              <w:spacing w:after="0" w:line="280" w:lineRule="atLeast"/>
              <w:rPr>
                <w:rFonts w:ascii="Arial" w:hAnsi="Arial" w:cs="Arial"/>
                <w:sz w:val="24"/>
                <w:szCs w:val="24"/>
              </w:rPr>
            </w:pPr>
          </w:p>
          <w:p w14:paraId="5F393BA7" w14:textId="2A116B11" w:rsidR="00307123" w:rsidRPr="00A81EEA" w:rsidRDefault="008F464B" w:rsidP="00EC4175">
            <w:pPr>
              <w:spacing w:after="0" w:line="280" w:lineRule="atLeast"/>
              <w:rPr>
                <w:rFonts w:ascii="Arial" w:hAnsi="Arial" w:cs="Arial"/>
                <w:sz w:val="24"/>
                <w:szCs w:val="24"/>
              </w:rPr>
            </w:pPr>
            <w:r w:rsidRPr="00A81EEA">
              <w:rPr>
                <w:rFonts w:ascii="Arial" w:hAnsi="Arial" w:cs="Arial"/>
                <w:iCs/>
                <w:sz w:val="24"/>
                <w:szCs w:val="24"/>
              </w:rPr>
              <w:t>This offence is a strict liability offence</w:t>
            </w:r>
            <w:r w:rsidR="006D293B">
              <w:rPr>
                <w:rFonts w:ascii="Arial" w:hAnsi="Arial" w:cs="Arial"/>
                <w:iCs/>
                <w:sz w:val="24"/>
                <w:szCs w:val="24"/>
              </w:rPr>
              <w:t xml:space="preserve"> so the prosecution will not be required to prove fault elements. Therefore, this limits the right to be presumed innocent</w:t>
            </w:r>
            <w:r>
              <w:rPr>
                <w:rFonts w:ascii="Arial" w:hAnsi="Arial" w:cs="Arial"/>
                <w:iCs/>
                <w:sz w:val="24"/>
                <w:szCs w:val="24"/>
              </w:rPr>
              <w:t>.</w:t>
            </w:r>
          </w:p>
        </w:tc>
      </w:tr>
      <w:tr w:rsidR="00A325ED" w:rsidRPr="00913ABF" w14:paraId="157FFF41" w14:textId="77777777" w:rsidTr="5166F90A">
        <w:trPr>
          <w:cantSplit/>
          <w:trHeight w:val="2248"/>
        </w:trPr>
        <w:tc>
          <w:tcPr>
            <w:tcW w:w="2268" w:type="dxa"/>
          </w:tcPr>
          <w:p w14:paraId="273A195B" w14:textId="3EE546F6" w:rsidR="00A325ED" w:rsidRDefault="00A325ED" w:rsidP="007374DE">
            <w:pPr>
              <w:tabs>
                <w:tab w:val="left" w:pos="284"/>
              </w:tabs>
              <w:spacing w:after="0" w:line="280" w:lineRule="atLeast"/>
              <w:rPr>
                <w:rFonts w:ascii="Arial" w:hAnsi="Arial" w:cs="Arial"/>
                <w:sz w:val="24"/>
                <w:szCs w:val="24"/>
              </w:rPr>
            </w:pPr>
            <w:r>
              <w:rPr>
                <w:rFonts w:ascii="Arial" w:hAnsi="Arial" w:cs="Arial"/>
                <w:sz w:val="24"/>
                <w:szCs w:val="24"/>
              </w:rPr>
              <w:t>Section 19</w:t>
            </w:r>
            <w:r w:rsidR="00307B33">
              <w:rPr>
                <w:rFonts w:ascii="Arial" w:hAnsi="Arial" w:cs="Arial"/>
                <w:sz w:val="24"/>
                <w:szCs w:val="24"/>
              </w:rPr>
              <w:t>V</w:t>
            </w:r>
            <w:r>
              <w:rPr>
                <w:rFonts w:ascii="Arial" w:hAnsi="Arial" w:cs="Arial"/>
                <w:sz w:val="24"/>
                <w:szCs w:val="24"/>
              </w:rPr>
              <w:t xml:space="preserve"> </w:t>
            </w:r>
          </w:p>
          <w:p w14:paraId="387A2B0C" w14:textId="77777777" w:rsidR="00A325ED" w:rsidRDefault="00A325ED" w:rsidP="007374DE">
            <w:pPr>
              <w:tabs>
                <w:tab w:val="left" w:pos="284"/>
              </w:tabs>
              <w:spacing w:after="0" w:line="280" w:lineRule="atLeast"/>
              <w:rPr>
                <w:rFonts w:ascii="Arial" w:hAnsi="Arial" w:cs="Arial"/>
                <w:sz w:val="24"/>
                <w:szCs w:val="24"/>
              </w:rPr>
            </w:pPr>
          </w:p>
          <w:p w14:paraId="177F5AFB" w14:textId="2FABB699" w:rsidR="00A325ED" w:rsidRPr="00A81EEA" w:rsidRDefault="00A325ED" w:rsidP="007374DE">
            <w:pPr>
              <w:tabs>
                <w:tab w:val="left" w:pos="284"/>
              </w:tabs>
              <w:spacing w:after="0" w:line="280" w:lineRule="atLeast"/>
              <w:rPr>
                <w:rFonts w:ascii="Arial" w:hAnsi="Arial" w:cs="Arial"/>
                <w:sz w:val="24"/>
                <w:szCs w:val="24"/>
              </w:rPr>
            </w:pPr>
            <w:r w:rsidRPr="00A325ED">
              <w:rPr>
                <w:rFonts w:ascii="Arial" w:hAnsi="Arial" w:cs="Arial"/>
                <w:sz w:val="24"/>
                <w:szCs w:val="24"/>
              </w:rPr>
              <w:t>Offence—using accounts of excluded people</w:t>
            </w:r>
          </w:p>
        </w:tc>
        <w:tc>
          <w:tcPr>
            <w:tcW w:w="6946" w:type="dxa"/>
          </w:tcPr>
          <w:p w14:paraId="1EA82145" w14:textId="68E8FB48" w:rsidR="00A325ED" w:rsidRDefault="00A325ED" w:rsidP="00EC4175">
            <w:pPr>
              <w:spacing w:after="0" w:line="280" w:lineRule="atLeast"/>
              <w:rPr>
                <w:rFonts w:ascii="Arial" w:hAnsi="Arial" w:cs="Arial"/>
                <w:sz w:val="24"/>
                <w:szCs w:val="24"/>
              </w:rPr>
            </w:pPr>
            <w:r>
              <w:rPr>
                <w:rFonts w:ascii="Arial" w:hAnsi="Arial" w:cs="Arial"/>
                <w:sz w:val="24"/>
                <w:szCs w:val="24"/>
              </w:rPr>
              <w:t>Provides an offence for a licensee allowing someone to use an excluded person’s account to engage in the gambling activity.</w:t>
            </w:r>
          </w:p>
          <w:p w14:paraId="407A8774" w14:textId="77777777" w:rsidR="00A325ED" w:rsidRDefault="00A325ED" w:rsidP="00EC4175">
            <w:pPr>
              <w:spacing w:after="0" w:line="280" w:lineRule="atLeast"/>
              <w:rPr>
                <w:rFonts w:ascii="Arial" w:hAnsi="Arial" w:cs="Arial"/>
                <w:sz w:val="24"/>
                <w:szCs w:val="24"/>
              </w:rPr>
            </w:pPr>
          </w:p>
          <w:p w14:paraId="0BD21518" w14:textId="59272AE7" w:rsidR="00A325ED" w:rsidRDefault="00A325ED" w:rsidP="00EC4175">
            <w:pPr>
              <w:spacing w:after="0" w:line="280" w:lineRule="atLeast"/>
              <w:rPr>
                <w:rFonts w:ascii="Arial" w:hAnsi="Arial" w:cs="Arial"/>
                <w:sz w:val="24"/>
                <w:szCs w:val="24"/>
              </w:rPr>
            </w:pPr>
            <w:r w:rsidRPr="00A81EEA">
              <w:rPr>
                <w:rFonts w:ascii="Arial" w:hAnsi="Arial" w:cs="Arial"/>
                <w:iCs/>
                <w:sz w:val="24"/>
                <w:szCs w:val="24"/>
              </w:rPr>
              <w:t>This offence is a strict liability offence</w:t>
            </w:r>
            <w:r w:rsidR="00802847">
              <w:rPr>
                <w:rFonts w:ascii="Arial" w:hAnsi="Arial" w:cs="Arial"/>
                <w:iCs/>
                <w:sz w:val="24"/>
                <w:szCs w:val="24"/>
              </w:rPr>
              <w:t xml:space="preserve"> so the prosecution will not be required to prove fault elements. Therefore, this limits the right to be presumed innocent</w:t>
            </w:r>
            <w:r>
              <w:rPr>
                <w:rFonts w:ascii="Arial" w:hAnsi="Arial" w:cs="Arial"/>
                <w:iCs/>
                <w:sz w:val="24"/>
                <w:szCs w:val="24"/>
              </w:rPr>
              <w:t>.</w:t>
            </w:r>
          </w:p>
        </w:tc>
      </w:tr>
      <w:tr w:rsidR="00A325ED" w:rsidRPr="00913ABF" w14:paraId="536BEA3F" w14:textId="77777777" w:rsidTr="5166F90A">
        <w:trPr>
          <w:cantSplit/>
          <w:trHeight w:val="2248"/>
        </w:trPr>
        <w:tc>
          <w:tcPr>
            <w:tcW w:w="2268" w:type="dxa"/>
          </w:tcPr>
          <w:p w14:paraId="3D4B608B" w14:textId="7CE00E33" w:rsidR="00A325ED" w:rsidRDefault="00A325ED" w:rsidP="007374DE">
            <w:pPr>
              <w:tabs>
                <w:tab w:val="left" w:pos="284"/>
              </w:tabs>
              <w:spacing w:after="0" w:line="280" w:lineRule="atLeast"/>
              <w:rPr>
                <w:rFonts w:ascii="Arial" w:hAnsi="Arial" w:cs="Arial"/>
                <w:sz w:val="24"/>
                <w:szCs w:val="24"/>
              </w:rPr>
            </w:pPr>
            <w:r>
              <w:rPr>
                <w:rFonts w:ascii="Arial" w:hAnsi="Arial" w:cs="Arial"/>
                <w:sz w:val="24"/>
                <w:szCs w:val="24"/>
              </w:rPr>
              <w:t>Section 19</w:t>
            </w:r>
            <w:r w:rsidR="00EB329A">
              <w:rPr>
                <w:rFonts w:ascii="Arial" w:hAnsi="Arial" w:cs="Arial"/>
                <w:sz w:val="24"/>
                <w:szCs w:val="24"/>
              </w:rPr>
              <w:t>W</w:t>
            </w:r>
          </w:p>
          <w:p w14:paraId="5DC21932" w14:textId="77777777" w:rsidR="00A325ED" w:rsidRDefault="00A325ED" w:rsidP="007374DE">
            <w:pPr>
              <w:tabs>
                <w:tab w:val="left" w:pos="284"/>
              </w:tabs>
              <w:spacing w:after="0" w:line="280" w:lineRule="atLeast"/>
              <w:rPr>
                <w:rFonts w:ascii="Arial" w:hAnsi="Arial" w:cs="Arial"/>
                <w:sz w:val="24"/>
                <w:szCs w:val="24"/>
              </w:rPr>
            </w:pPr>
          </w:p>
          <w:p w14:paraId="30A7ACD0" w14:textId="77207878" w:rsidR="00A325ED" w:rsidRDefault="00A325ED" w:rsidP="007374DE">
            <w:pPr>
              <w:tabs>
                <w:tab w:val="left" w:pos="284"/>
              </w:tabs>
              <w:spacing w:after="0" w:line="280" w:lineRule="atLeast"/>
              <w:rPr>
                <w:rFonts w:ascii="Arial" w:hAnsi="Arial" w:cs="Arial"/>
                <w:sz w:val="24"/>
                <w:szCs w:val="24"/>
              </w:rPr>
            </w:pPr>
            <w:r w:rsidRPr="00A325ED">
              <w:rPr>
                <w:rFonts w:ascii="Arial" w:hAnsi="Arial" w:cs="Arial"/>
                <w:sz w:val="24"/>
                <w:szCs w:val="24"/>
              </w:rPr>
              <w:t>Offence—sending promotional material to excluded people</w:t>
            </w:r>
          </w:p>
        </w:tc>
        <w:tc>
          <w:tcPr>
            <w:tcW w:w="6946" w:type="dxa"/>
          </w:tcPr>
          <w:p w14:paraId="186E97ED" w14:textId="77777777" w:rsidR="00A325ED" w:rsidRDefault="00A325ED" w:rsidP="00EC4175">
            <w:pPr>
              <w:spacing w:after="0" w:line="280" w:lineRule="atLeast"/>
              <w:rPr>
                <w:rFonts w:ascii="Arial" w:hAnsi="Arial" w:cs="Arial"/>
                <w:sz w:val="24"/>
                <w:szCs w:val="24"/>
              </w:rPr>
            </w:pPr>
            <w:r>
              <w:rPr>
                <w:rFonts w:ascii="Arial" w:hAnsi="Arial" w:cs="Arial"/>
                <w:sz w:val="24"/>
                <w:szCs w:val="24"/>
              </w:rPr>
              <w:t>Provides for an offence for a licensee giving information or promotional material in relation to gambling to an excluded person.</w:t>
            </w:r>
          </w:p>
          <w:p w14:paraId="009AFC56" w14:textId="77777777" w:rsidR="00123107" w:rsidRDefault="00123107" w:rsidP="00EC4175">
            <w:pPr>
              <w:spacing w:after="0" w:line="280" w:lineRule="atLeast"/>
              <w:rPr>
                <w:rFonts w:ascii="Arial" w:hAnsi="Arial" w:cs="Arial"/>
                <w:sz w:val="24"/>
                <w:szCs w:val="24"/>
              </w:rPr>
            </w:pPr>
          </w:p>
          <w:p w14:paraId="2B9D7A5C" w14:textId="4787E344" w:rsidR="00A325ED" w:rsidRDefault="00A325ED" w:rsidP="00EC4175">
            <w:pPr>
              <w:spacing w:after="0" w:line="280" w:lineRule="atLeast"/>
              <w:rPr>
                <w:rFonts w:ascii="Arial" w:hAnsi="Arial" w:cs="Arial"/>
                <w:sz w:val="24"/>
                <w:szCs w:val="24"/>
              </w:rPr>
            </w:pPr>
            <w:r w:rsidRPr="00A81EEA">
              <w:rPr>
                <w:rFonts w:ascii="Arial" w:hAnsi="Arial" w:cs="Arial"/>
                <w:iCs/>
                <w:sz w:val="24"/>
                <w:szCs w:val="24"/>
              </w:rPr>
              <w:t>This offence is a strict liability offence</w:t>
            </w:r>
            <w:r w:rsidR="00FA6829">
              <w:rPr>
                <w:rFonts w:ascii="Arial" w:hAnsi="Arial" w:cs="Arial"/>
                <w:iCs/>
                <w:sz w:val="24"/>
                <w:szCs w:val="24"/>
              </w:rPr>
              <w:t xml:space="preserve"> so the prosecution will not be required to prove fault elements. Therefore, this limits the right to be presumed innocent</w:t>
            </w:r>
            <w:r>
              <w:rPr>
                <w:rFonts w:ascii="Arial" w:hAnsi="Arial" w:cs="Arial"/>
                <w:iCs/>
                <w:sz w:val="24"/>
                <w:szCs w:val="24"/>
              </w:rPr>
              <w:t>.</w:t>
            </w:r>
          </w:p>
        </w:tc>
      </w:tr>
    </w:tbl>
    <w:p w14:paraId="3366C82D" w14:textId="77777777" w:rsidR="00A27FA4" w:rsidRPr="00DA1180" w:rsidRDefault="00A27FA4" w:rsidP="00A36C30">
      <w:pPr>
        <w:rPr>
          <w:rFonts w:ascii="Arial" w:hAnsi="Arial" w:cs="Arial"/>
          <w:iCs/>
          <w:sz w:val="24"/>
          <w:szCs w:val="24"/>
        </w:rPr>
      </w:pPr>
    </w:p>
    <w:p w14:paraId="2129DCD3" w14:textId="7212FF35" w:rsidR="00856578" w:rsidRPr="00362096" w:rsidRDefault="00AD7F9C" w:rsidP="00593E49">
      <w:pPr>
        <w:pStyle w:val="ListParagraph"/>
        <w:numPr>
          <w:ilvl w:val="0"/>
          <w:numId w:val="6"/>
        </w:numPr>
        <w:spacing w:after="120"/>
        <w:ind w:left="357" w:hanging="357"/>
        <w:rPr>
          <w:rFonts w:ascii="Arial" w:hAnsi="Arial" w:cs="Arial"/>
          <w:b/>
          <w:i/>
          <w:sz w:val="24"/>
          <w:szCs w:val="24"/>
        </w:rPr>
      </w:pPr>
      <w:r w:rsidRPr="00414921">
        <w:rPr>
          <w:rFonts w:ascii="Arial" w:hAnsi="Arial" w:cs="Arial"/>
          <w:b/>
          <w:bCs/>
          <w:i/>
          <w:sz w:val="24"/>
          <w:szCs w:val="24"/>
        </w:rPr>
        <w:t>Legitimate purpose (s28(b))</w:t>
      </w:r>
    </w:p>
    <w:p w14:paraId="109BDC5B" w14:textId="6B4968E7" w:rsidR="00AD7F9C" w:rsidRPr="00A80BAE" w:rsidRDefault="00856578" w:rsidP="00D978E9">
      <w:pPr>
        <w:rPr>
          <w:rFonts w:ascii="Arial" w:hAnsi="Arial" w:cs="Arial"/>
          <w:sz w:val="24"/>
          <w:szCs w:val="24"/>
        </w:rPr>
      </w:pPr>
      <w:r w:rsidRPr="00A80BAE">
        <w:rPr>
          <w:rFonts w:ascii="Arial" w:hAnsi="Arial" w:cs="Arial"/>
          <w:sz w:val="24"/>
          <w:szCs w:val="24"/>
        </w:rPr>
        <w:t xml:space="preserve">Each of the offence provisions will play an important role in </w:t>
      </w:r>
      <w:r w:rsidR="00250228" w:rsidRPr="00A80BAE">
        <w:rPr>
          <w:rFonts w:ascii="Arial" w:hAnsi="Arial" w:cs="Arial"/>
          <w:sz w:val="24"/>
          <w:szCs w:val="24"/>
        </w:rPr>
        <w:t>ensuring effective administration of the ACT’s gambling exclusion scheme and ensuring licensees’ compliance with their obligations. These contribute to the scheme’s overall intent to prevent and reduce gambling harm and the risk of this harm.</w:t>
      </w:r>
    </w:p>
    <w:tbl>
      <w:tblPr>
        <w:tblStyle w:val="TableGrid"/>
        <w:tblW w:w="9214" w:type="dxa"/>
        <w:tblInd w:w="-5" w:type="dxa"/>
        <w:tblLook w:val="04A0" w:firstRow="1" w:lastRow="0" w:firstColumn="1" w:lastColumn="0" w:noHBand="0" w:noVBand="1"/>
      </w:tblPr>
      <w:tblGrid>
        <w:gridCol w:w="2268"/>
        <w:gridCol w:w="6946"/>
      </w:tblGrid>
      <w:tr w:rsidR="00AD7F9C" w:rsidRPr="00A81EEA" w14:paraId="2FE3BDC1" w14:textId="77777777" w:rsidTr="00F37EB9">
        <w:trPr>
          <w:cantSplit/>
          <w:trHeight w:val="20"/>
          <w:tblHeader/>
        </w:trPr>
        <w:tc>
          <w:tcPr>
            <w:tcW w:w="2268" w:type="dxa"/>
          </w:tcPr>
          <w:p w14:paraId="7C0D7866" w14:textId="77777777" w:rsidR="00AD7F9C" w:rsidRPr="00A81EEA" w:rsidRDefault="00AD7F9C" w:rsidP="00EC4175">
            <w:pPr>
              <w:spacing w:after="0" w:line="280" w:lineRule="atLeast"/>
              <w:rPr>
                <w:rFonts w:ascii="Arial" w:hAnsi="Arial" w:cs="Arial"/>
                <w:b/>
                <w:bCs/>
                <w:sz w:val="24"/>
                <w:szCs w:val="24"/>
              </w:rPr>
            </w:pPr>
            <w:r w:rsidRPr="00A81EEA">
              <w:rPr>
                <w:rFonts w:ascii="Arial" w:hAnsi="Arial" w:cs="Arial"/>
                <w:b/>
                <w:bCs/>
                <w:sz w:val="24"/>
                <w:szCs w:val="24"/>
              </w:rPr>
              <w:t>Section</w:t>
            </w:r>
          </w:p>
          <w:p w14:paraId="2BD0DFC3" w14:textId="77777777" w:rsidR="00AD7F9C" w:rsidRPr="00A81EEA" w:rsidRDefault="00AD7F9C" w:rsidP="00EC4175">
            <w:pPr>
              <w:spacing w:after="0" w:line="280" w:lineRule="atLeast"/>
              <w:rPr>
                <w:rFonts w:ascii="Arial" w:hAnsi="Arial" w:cs="Arial"/>
                <w:b/>
                <w:bCs/>
                <w:sz w:val="24"/>
                <w:szCs w:val="24"/>
              </w:rPr>
            </w:pPr>
          </w:p>
        </w:tc>
        <w:tc>
          <w:tcPr>
            <w:tcW w:w="6946" w:type="dxa"/>
          </w:tcPr>
          <w:p w14:paraId="0724F550" w14:textId="7E3F292C" w:rsidR="00AD7F9C" w:rsidRPr="00A81EEA" w:rsidRDefault="00AD7F9C" w:rsidP="00EC4175">
            <w:pPr>
              <w:spacing w:after="0" w:line="280" w:lineRule="atLeast"/>
              <w:rPr>
                <w:rFonts w:ascii="Arial" w:hAnsi="Arial" w:cs="Arial"/>
                <w:b/>
                <w:bCs/>
                <w:sz w:val="24"/>
                <w:szCs w:val="24"/>
              </w:rPr>
            </w:pPr>
            <w:r>
              <w:rPr>
                <w:rFonts w:ascii="Arial" w:hAnsi="Arial" w:cs="Arial"/>
                <w:b/>
                <w:bCs/>
                <w:sz w:val="24"/>
                <w:szCs w:val="24"/>
              </w:rPr>
              <w:t>Legitimate purpose</w:t>
            </w:r>
          </w:p>
        </w:tc>
      </w:tr>
      <w:tr w:rsidR="00746869" w:rsidRPr="00A81EEA" w14:paraId="257B8E03" w14:textId="77777777" w:rsidTr="00F37EB9">
        <w:trPr>
          <w:cantSplit/>
          <w:trHeight w:val="20"/>
        </w:trPr>
        <w:tc>
          <w:tcPr>
            <w:tcW w:w="2268" w:type="dxa"/>
          </w:tcPr>
          <w:p w14:paraId="21552517" w14:textId="77777777" w:rsidR="00746869" w:rsidRDefault="00746869" w:rsidP="00746869">
            <w:pPr>
              <w:tabs>
                <w:tab w:val="left" w:pos="284"/>
              </w:tabs>
              <w:spacing w:after="0" w:line="280" w:lineRule="atLeast"/>
              <w:ind w:left="284" w:hanging="284"/>
              <w:rPr>
                <w:rFonts w:ascii="Arial" w:hAnsi="Arial" w:cs="Arial"/>
                <w:sz w:val="24"/>
                <w:szCs w:val="24"/>
              </w:rPr>
            </w:pPr>
            <w:r>
              <w:rPr>
                <w:rFonts w:ascii="Arial" w:hAnsi="Arial" w:cs="Arial"/>
                <w:sz w:val="24"/>
                <w:szCs w:val="24"/>
              </w:rPr>
              <w:t xml:space="preserve">Section 19A </w:t>
            </w:r>
          </w:p>
          <w:p w14:paraId="5A7CB314" w14:textId="77777777" w:rsidR="00746869" w:rsidRDefault="00746869" w:rsidP="00746869">
            <w:pPr>
              <w:tabs>
                <w:tab w:val="left" w:pos="284"/>
              </w:tabs>
              <w:spacing w:after="0" w:line="280" w:lineRule="atLeast"/>
              <w:ind w:left="284" w:hanging="284"/>
              <w:rPr>
                <w:rFonts w:ascii="Arial" w:hAnsi="Arial" w:cs="Arial"/>
                <w:sz w:val="24"/>
                <w:szCs w:val="24"/>
              </w:rPr>
            </w:pPr>
          </w:p>
          <w:p w14:paraId="29ED91C0" w14:textId="7CEEEA4B" w:rsidR="00746869" w:rsidRPr="00A81EEA" w:rsidRDefault="00746869" w:rsidP="00746869">
            <w:pPr>
              <w:tabs>
                <w:tab w:val="left" w:pos="284"/>
              </w:tabs>
              <w:spacing w:after="0" w:line="280" w:lineRule="atLeast"/>
              <w:ind w:left="284" w:hanging="284"/>
              <w:rPr>
                <w:rFonts w:ascii="Arial" w:hAnsi="Arial" w:cs="Arial"/>
                <w:sz w:val="24"/>
                <w:szCs w:val="24"/>
              </w:rPr>
            </w:pPr>
            <w:r>
              <w:rPr>
                <w:rFonts w:ascii="Arial" w:hAnsi="Arial" w:cs="Arial"/>
                <w:sz w:val="24"/>
                <w:szCs w:val="24"/>
              </w:rPr>
              <w:t>Licensees must monitor risk of gambling harm</w:t>
            </w:r>
          </w:p>
        </w:tc>
        <w:tc>
          <w:tcPr>
            <w:tcW w:w="6946" w:type="dxa"/>
          </w:tcPr>
          <w:p w14:paraId="19FD4CE4" w14:textId="7B8239F0" w:rsidR="00746869" w:rsidRDefault="00DA77C3" w:rsidP="00746869">
            <w:pPr>
              <w:spacing w:after="0" w:line="280" w:lineRule="atLeast"/>
              <w:rPr>
                <w:rFonts w:ascii="Arial" w:hAnsi="Arial" w:cs="Arial"/>
                <w:sz w:val="24"/>
                <w:szCs w:val="24"/>
              </w:rPr>
            </w:pPr>
            <w:r>
              <w:rPr>
                <w:rFonts w:ascii="Arial" w:hAnsi="Arial" w:cs="Arial"/>
                <w:sz w:val="24"/>
                <w:szCs w:val="24"/>
              </w:rPr>
              <w:t>To ensure licensees are proactive in monitoring for the risk of gambling harm, to facilitate a risk-responsive early intervention ethos to harm minimisation measures</w:t>
            </w:r>
            <w:r w:rsidR="004A19DD">
              <w:rPr>
                <w:rFonts w:ascii="Arial" w:hAnsi="Arial" w:cs="Arial"/>
                <w:sz w:val="24"/>
                <w:szCs w:val="24"/>
              </w:rPr>
              <w:t xml:space="preserve"> and support effective delivery of</w:t>
            </w:r>
            <w:r>
              <w:rPr>
                <w:rFonts w:ascii="Arial" w:hAnsi="Arial" w:cs="Arial"/>
                <w:sz w:val="24"/>
                <w:szCs w:val="24"/>
              </w:rPr>
              <w:t xml:space="preserve"> </w:t>
            </w:r>
            <w:r w:rsidR="0003699C">
              <w:rPr>
                <w:rFonts w:ascii="Arial" w:hAnsi="Arial" w:cs="Arial"/>
                <w:sz w:val="24"/>
                <w:szCs w:val="24"/>
              </w:rPr>
              <w:t xml:space="preserve">licensees’ obligations to record gambling harm risk. </w:t>
            </w:r>
            <w:r w:rsidR="00050A31">
              <w:rPr>
                <w:rFonts w:ascii="Arial" w:hAnsi="Arial" w:cs="Arial"/>
                <w:sz w:val="24"/>
                <w:szCs w:val="24"/>
              </w:rPr>
              <w:t>The reverse legal burden is necessary to ensure this offence can be effectively prosecuted</w:t>
            </w:r>
            <w:r w:rsidR="002145FB">
              <w:rPr>
                <w:rFonts w:ascii="Arial" w:hAnsi="Arial" w:cs="Arial"/>
                <w:sz w:val="24"/>
                <w:szCs w:val="24"/>
              </w:rPr>
              <w:t>.</w:t>
            </w:r>
            <w:r w:rsidR="00050A31">
              <w:rPr>
                <w:rFonts w:ascii="Arial" w:hAnsi="Arial" w:cs="Arial"/>
                <w:sz w:val="24"/>
                <w:szCs w:val="24"/>
              </w:rPr>
              <w:t xml:space="preserve"> </w:t>
            </w:r>
          </w:p>
        </w:tc>
      </w:tr>
      <w:tr w:rsidR="00746869" w:rsidRPr="00A81EEA" w14:paraId="51E73828" w14:textId="77777777" w:rsidTr="00F37EB9">
        <w:trPr>
          <w:cantSplit/>
          <w:trHeight w:val="20"/>
        </w:trPr>
        <w:tc>
          <w:tcPr>
            <w:tcW w:w="2268" w:type="dxa"/>
          </w:tcPr>
          <w:p w14:paraId="20BE0F86" w14:textId="77777777" w:rsidR="00746869" w:rsidRDefault="00746869" w:rsidP="00746869">
            <w:pPr>
              <w:tabs>
                <w:tab w:val="left" w:pos="284"/>
              </w:tabs>
              <w:spacing w:after="0" w:line="280" w:lineRule="atLeast"/>
              <w:ind w:left="284" w:hanging="284"/>
              <w:rPr>
                <w:rFonts w:ascii="Arial" w:hAnsi="Arial" w:cs="Arial"/>
                <w:sz w:val="24"/>
                <w:szCs w:val="24"/>
              </w:rPr>
            </w:pPr>
            <w:r>
              <w:rPr>
                <w:rFonts w:ascii="Arial" w:hAnsi="Arial" w:cs="Arial"/>
                <w:sz w:val="24"/>
                <w:szCs w:val="24"/>
              </w:rPr>
              <w:lastRenderedPageBreak/>
              <w:t>Section 19B</w:t>
            </w:r>
          </w:p>
          <w:p w14:paraId="36663F94" w14:textId="77777777" w:rsidR="00746869" w:rsidRDefault="00746869" w:rsidP="00746869">
            <w:pPr>
              <w:tabs>
                <w:tab w:val="left" w:pos="284"/>
              </w:tabs>
              <w:spacing w:after="0" w:line="280" w:lineRule="atLeast"/>
              <w:ind w:left="284" w:hanging="284"/>
              <w:rPr>
                <w:rFonts w:ascii="Arial" w:hAnsi="Arial" w:cs="Arial"/>
                <w:sz w:val="24"/>
                <w:szCs w:val="24"/>
              </w:rPr>
            </w:pPr>
          </w:p>
          <w:p w14:paraId="47A47F18" w14:textId="0BA1D794" w:rsidR="00746869" w:rsidRPr="00A81EEA" w:rsidRDefault="00746869" w:rsidP="00746869">
            <w:pPr>
              <w:tabs>
                <w:tab w:val="left" w:pos="284"/>
              </w:tabs>
              <w:spacing w:after="0" w:line="280" w:lineRule="atLeast"/>
              <w:ind w:left="284" w:hanging="284"/>
              <w:rPr>
                <w:rFonts w:ascii="Arial" w:hAnsi="Arial" w:cs="Arial"/>
                <w:sz w:val="24"/>
                <w:szCs w:val="24"/>
              </w:rPr>
            </w:pPr>
            <w:r>
              <w:rPr>
                <w:rFonts w:ascii="Arial" w:hAnsi="Arial" w:cs="Arial"/>
                <w:sz w:val="24"/>
                <w:szCs w:val="24"/>
              </w:rPr>
              <w:t>Licensees must take action to reduce risk of gambling harm</w:t>
            </w:r>
          </w:p>
        </w:tc>
        <w:tc>
          <w:tcPr>
            <w:tcW w:w="6946" w:type="dxa"/>
          </w:tcPr>
          <w:p w14:paraId="0CAC87ED" w14:textId="50D23BC0" w:rsidR="00746869" w:rsidRDefault="0003699C" w:rsidP="00746869">
            <w:pPr>
              <w:spacing w:after="0" w:line="280" w:lineRule="atLeast"/>
              <w:rPr>
                <w:rFonts w:ascii="Arial" w:hAnsi="Arial" w:cs="Arial"/>
                <w:sz w:val="24"/>
                <w:szCs w:val="24"/>
              </w:rPr>
            </w:pPr>
            <w:r>
              <w:rPr>
                <w:rFonts w:ascii="Arial" w:hAnsi="Arial" w:cs="Arial"/>
                <w:sz w:val="24"/>
                <w:szCs w:val="24"/>
              </w:rPr>
              <w:t xml:space="preserve">To ensure licensees are proactive in reducing the risk of gambling harm, to facilitate a risk-responsive early intervention ethos to harm minimisation measures. This moves away from responsive approaches </w:t>
            </w:r>
            <w:r w:rsidR="000A375F">
              <w:rPr>
                <w:rFonts w:ascii="Arial" w:hAnsi="Arial" w:cs="Arial"/>
                <w:sz w:val="24"/>
                <w:szCs w:val="24"/>
              </w:rPr>
              <w:t xml:space="preserve">aimed at addressing problems when they arise, </w:t>
            </w:r>
            <w:r>
              <w:rPr>
                <w:rFonts w:ascii="Arial" w:hAnsi="Arial" w:cs="Arial"/>
                <w:sz w:val="24"/>
                <w:szCs w:val="24"/>
              </w:rPr>
              <w:t>towards</w:t>
            </w:r>
            <w:r w:rsidR="000A375F">
              <w:rPr>
                <w:rFonts w:ascii="Arial" w:hAnsi="Arial" w:cs="Arial"/>
                <w:sz w:val="24"/>
                <w:szCs w:val="24"/>
              </w:rPr>
              <w:t xml:space="preserve"> embedding safety </w:t>
            </w:r>
            <w:r w:rsidR="002C11A4">
              <w:rPr>
                <w:rFonts w:ascii="Arial" w:hAnsi="Arial" w:cs="Arial"/>
                <w:sz w:val="24"/>
                <w:szCs w:val="24"/>
              </w:rPr>
              <w:t>through gambling operations</w:t>
            </w:r>
            <w:r w:rsidR="000A375F">
              <w:rPr>
                <w:rFonts w:ascii="Arial" w:hAnsi="Arial" w:cs="Arial"/>
                <w:sz w:val="24"/>
                <w:szCs w:val="24"/>
              </w:rPr>
              <w:t xml:space="preserve">. </w:t>
            </w:r>
            <w:r w:rsidR="002145FB">
              <w:rPr>
                <w:rFonts w:ascii="Arial" w:hAnsi="Arial" w:cs="Arial"/>
                <w:sz w:val="24"/>
                <w:szCs w:val="24"/>
              </w:rPr>
              <w:t xml:space="preserve">The reverse legal burden is necessary to ensure this offences can be effectively prosecuted. </w:t>
            </w:r>
          </w:p>
        </w:tc>
      </w:tr>
      <w:tr w:rsidR="00835A80" w:rsidRPr="00A81EEA" w14:paraId="35654E10" w14:textId="77777777" w:rsidTr="00F37EB9">
        <w:trPr>
          <w:cantSplit/>
          <w:trHeight w:val="20"/>
        </w:trPr>
        <w:tc>
          <w:tcPr>
            <w:tcW w:w="2268" w:type="dxa"/>
          </w:tcPr>
          <w:p w14:paraId="1EC8150F" w14:textId="7939225E" w:rsidR="00746869" w:rsidRPr="00A81EEA" w:rsidRDefault="00746869" w:rsidP="00746869">
            <w:pPr>
              <w:tabs>
                <w:tab w:val="left" w:pos="284"/>
              </w:tabs>
              <w:spacing w:after="0" w:line="280" w:lineRule="atLeast"/>
              <w:ind w:left="284" w:hanging="284"/>
              <w:rPr>
                <w:rFonts w:ascii="Arial" w:hAnsi="Arial" w:cs="Arial"/>
                <w:sz w:val="24"/>
                <w:szCs w:val="24"/>
              </w:rPr>
            </w:pPr>
            <w:r w:rsidRPr="00A81EEA">
              <w:rPr>
                <w:rFonts w:ascii="Arial" w:hAnsi="Arial" w:cs="Arial"/>
                <w:sz w:val="24"/>
                <w:szCs w:val="24"/>
              </w:rPr>
              <w:t xml:space="preserve"> Section 1</w:t>
            </w:r>
            <w:r>
              <w:rPr>
                <w:rFonts w:ascii="Arial" w:hAnsi="Arial" w:cs="Arial"/>
                <w:sz w:val="24"/>
                <w:szCs w:val="24"/>
              </w:rPr>
              <w:t>9D</w:t>
            </w:r>
          </w:p>
          <w:p w14:paraId="7CDC91E6" w14:textId="77777777" w:rsidR="00746869" w:rsidRPr="00A81EEA" w:rsidRDefault="00746869" w:rsidP="00746869">
            <w:pPr>
              <w:tabs>
                <w:tab w:val="left" w:pos="284"/>
              </w:tabs>
              <w:spacing w:after="0" w:line="280" w:lineRule="atLeast"/>
              <w:ind w:left="284" w:hanging="284"/>
              <w:rPr>
                <w:rFonts w:ascii="Arial" w:hAnsi="Arial" w:cs="Arial"/>
                <w:sz w:val="24"/>
                <w:szCs w:val="24"/>
              </w:rPr>
            </w:pPr>
          </w:p>
          <w:p w14:paraId="34D62043" w14:textId="77777777" w:rsidR="00746869" w:rsidRPr="00A81EEA" w:rsidRDefault="00746869" w:rsidP="00746869">
            <w:pPr>
              <w:spacing w:after="0" w:line="280" w:lineRule="atLeast"/>
              <w:rPr>
                <w:rFonts w:ascii="Arial" w:hAnsi="Arial" w:cs="Arial"/>
                <w:sz w:val="24"/>
                <w:szCs w:val="24"/>
              </w:rPr>
            </w:pPr>
            <w:r>
              <w:rPr>
                <w:rFonts w:ascii="Arial" w:hAnsi="Arial" w:cs="Arial"/>
                <w:sz w:val="24"/>
                <w:szCs w:val="24"/>
              </w:rPr>
              <w:t>Offences – licensees not entering records in gambling harm risk register</w:t>
            </w:r>
          </w:p>
          <w:p w14:paraId="0EA8945A" w14:textId="15A07FFC" w:rsidR="00835A80" w:rsidRPr="00A81EEA" w:rsidRDefault="00835A80" w:rsidP="00835A80">
            <w:pPr>
              <w:spacing w:after="0" w:line="280" w:lineRule="atLeast"/>
              <w:rPr>
                <w:rFonts w:ascii="Arial" w:hAnsi="Arial" w:cs="Arial"/>
                <w:sz w:val="24"/>
                <w:szCs w:val="24"/>
              </w:rPr>
            </w:pPr>
          </w:p>
        </w:tc>
        <w:tc>
          <w:tcPr>
            <w:tcW w:w="6946" w:type="dxa"/>
          </w:tcPr>
          <w:p w14:paraId="6C37D7F9" w14:textId="186F7485" w:rsidR="00835A80" w:rsidRPr="00A81EEA" w:rsidRDefault="00D37D8D" w:rsidP="00835A80">
            <w:pPr>
              <w:spacing w:after="0" w:line="280" w:lineRule="atLeast"/>
              <w:rPr>
                <w:rFonts w:ascii="Arial" w:hAnsi="Arial" w:cs="Arial"/>
                <w:sz w:val="24"/>
                <w:szCs w:val="24"/>
              </w:rPr>
            </w:pPr>
            <w:r>
              <w:rPr>
                <w:rFonts w:ascii="Arial" w:hAnsi="Arial" w:cs="Arial"/>
                <w:sz w:val="24"/>
                <w:szCs w:val="24"/>
              </w:rPr>
              <w:t>To ensure licensees monitor the risk of gambling harm and ensure relevant information observed about the risk of gambling harm is recorded in a timely manner, to prevent harm.</w:t>
            </w:r>
          </w:p>
        </w:tc>
      </w:tr>
      <w:tr w:rsidR="00835A80" w:rsidRPr="00A81EEA" w14:paraId="354532BA" w14:textId="77777777" w:rsidTr="00F37EB9">
        <w:trPr>
          <w:cantSplit/>
          <w:trHeight w:val="20"/>
        </w:trPr>
        <w:tc>
          <w:tcPr>
            <w:tcW w:w="2268" w:type="dxa"/>
          </w:tcPr>
          <w:p w14:paraId="0099CC7D" w14:textId="34810F21" w:rsidR="00835A80" w:rsidRDefault="00835A80" w:rsidP="00835A80">
            <w:pPr>
              <w:tabs>
                <w:tab w:val="left" w:pos="284"/>
              </w:tabs>
              <w:spacing w:after="0" w:line="280" w:lineRule="atLeast"/>
              <w:rPr>
                <w:rFonts w:ascii="Arial" w:hAnsi="Arial" w:cs="Arial"/>
                <w:sz w:val="24"/>
                <w:szCs w:val="24"/>
              </w:rPr>
            </w:pPr>
            <w:r w:rsidRPr="00A81EEA">
              <w:rPr>
                <w:rFonts w:ascii="Arial" w:hAnsi="Arial" w:cs="Arial"/>
                <w:sz w:val="24"/>
                <w:szCs w:val="24"/>
              </w:rPr>
              <w:t xml:space="preserve">Section </w:t>
            </w:r>
            <w:r w:rsidR="00746869" w:rsidRPr="00A81EEA">
              <w:rPr>
                <w:rFonts w:ascii="Arial" w:hAnsi="Arial" w:cs="Arial"/>
                <w:sz w:val="24"/>
                <w:szCs w:val="24"/>
              </w:rPr>
              <w:t>1</w:t>
            </w:r>
            <w:r w:rsidR="00746869">
              <w:rPr>
                <w:rFonts w:ascii="Arial" w:hAnsi="Arial" w:cs="Arial"/>
                <w:sz w:val="24"/>
                <w:szCs w:val="24"/>
              </w:rPr>
              <w:t>9E</w:t>
            </w:r>
          </w:p>
          <w:p w14:paraId="274676BB" w14:textId="77777777" w:rsidR="00835A80" w:rsidRDefault="00835A80" w:rsidP="00835A80">
            <w:pPr>
              <w:tabs>
                <w:tab w:val="left" w:pos="284"/>
              </w:tabs>
              <w:spacing w:after="0" w:line="280" w:lineRule="atLeast"/>
              <w:rPr>
                <w:rFonts w:ascii="Arial" w:hAnsi="Arial" w:cs="Arial"/>
                <w:sz w:val="24"/>
                <w:szCs w:val="24"/>
              </w:rPr>
            </w:pPr>
          </w:p>
          <w:p w14:paraId="5545BAED" w14:textId="77777777" w:rsidR="00835A80" w:rsidRPr="00A81EEA" w:rsidRDefault="00835A80" w:rsidP="00835A80">
            <w:pPr>
              <w:tabs>
                <w:tab w:val="left" w:pos="284"/>
              </w:tabs>
              <w:spacing w:after="0" w:line="280" w:lineRule="atLeast"/>
              <w:rPr>
                <w:rFonts w:ascii="Arial" w:hAnsi="Arial" w:cs="Arial"/>
                <w:sz w:val="24"/>
                <w:szCs w:val="24"/>
              </w:rPr>
            </w:pPr>
            <w:r w:rsidRPr="006F2DC5">
              <w:rPr>
                <w:rFonts w:ascii="Arial" w:hAnsi="Arial" w:cs="Arial"/>
                <w:sz w:val="24"/>
                <w:szCs w:val="24"/>
              </w:rPr>
              <w:t>Accessing etc the gambling harm risk register</w:t>
            </w:r>
          </w:p>
          <w:p w14:paraId="515AE99B" w14:textId="252B138D" w:rsidR="00835A80" w:rsidRPr="00A81EEA" w:rsidRDefault="00835A80" w:rsidP="00835A80">
            <w:pPr>
              <w:spacing w:after="0" w:line="280" w:lineRule="atLeast"/>
              <w:rPr>
                <w:rFonts w:ascii="Arial" w:hAnsi="Arial" w:cs="Arial"/>
                <w:sz w:val="24"/>
                <w:szCs w:val="24"/>
              </w:rPr>
            </w:pPr>
          </w:p>
        </w:tc>
        <w:tc>
          <w:tcPr>
            <w:tcW w:w="6946" w:type="dxa"/>
          </w:tcPr>
          <w:p w14:paraId="1E0808C5" w14:textId="2AFF10A2" w:rsidR="00835A80" w:rsidRPr="00A81EEA" w:rsidRDefault="00784D60" w:rsidP="00835A80">
            <w:pPr>
              <w:spacing w:after="0" w:line="280" w:lineRule="atLeast"/>
              <w:rPr>
                <w:rFonts w:ascii="Arial" w:hAnsi="Arial" w:cs="Arial"/>
                <w:sz w:val="24"/>
                <w:szCs w:val="24"/>
              </w:rPr>
            </w:pPr>
            <w:r>
              <w:rPr>
                <w:rFonts w:ascii="Arial" w:hAnsi="Arial" w:cs="Arial"/>
                <w:sz w:val="24"/>
                <w:szCs w:val="24"/>
              </w:rPr>
              <w:t>To</w:t>
            </w:r>
            <w:r w:rsidR="00B7343B">
              <w:rPr>
                <w:rFonts w:ascii="Arial" w:hAnsi="Arial" w:cs="Arial"/>
                <w:sz w:val="24"/>
                <w:szCs w:val="24"/>
              </w:rPr>
              <w:t xml:space="preserve"> safeguard individuals’ personal information by ensuring</w:t>
            </w:r>
            <w:r>
              <w:rPr>
                <w:rFonts w:ascii="Arial" w:hAnsi="Arial" w:cs="Arial"/>
                <w:sz w:val="24"/>
                <w:szCs w:val="24"/>
              </w:rPr>
              <w:t xml:space="preserve"> </w:t>
            </w:r>
            <w:r w:rsidR="00CE1E2D">
              <w:rPr>
                <w:rFonts w:ascii="Arial" w:hAnsi="Arial" w:cs="Arial"/>
                <w:sz w:val="24"/>
                <w:szCs w:val="24"/>
              </w:rPr>
              <w:t>only authorised people with a need to know can access the register for the purposes of monitoring</w:t>
            </w:r>
            <w:r w:rsidR="00B7343B">
              <w:rPr>
                <w:rFonts w:ascii="Arial" w:hAnsi="Arial" w:cs="Arial"/>
                <w:sz w:val="24"/>
                <w:szCs w:val="24"/>
              </w:rPr>
              <w:t xml:space="preserve"> and preventing</w:t>
            </w:r>
            <w:r w:rsidR="00CE1E2D">
              <w:rPr>
                <w:rFonts w:ascii="Arial" w:hAnsi="Arial" w:cs="Arial"/>
                <w:sz w:val="24"/>
                <w:szCs w:val="24"/>
              </w:rPr>
              <w:t xml:space="preserve"> gambling harm risk</w:t>
            </w:r>
            <w:r w:rsidR="00B7343B">
              <w:rPr>
                <w:rFonts w:ascii="Arial" w:hAnsi="Arial" w:cs="Arial"/>
                <w:sz w:val="24"/>
                <w:szCs w:val="24"/>
              </w:rPr>
              <w:t>.</w:t>
            </w:r>
          </w:p>
        </w:tc>
      </w:tr>
      <w:tr w:rsidR="00835A80" w:rsidRPr="00A81EEA" w14:paraId="2B7FB7B7" w14:textId="77777777" w:rsidTr="00F37EB9">
        <w:trPr>
          <w:cantSplit/>
          <w:trHeight w:val="1411"/>
        </w:trPr>
        <w:tc>
          <w:tcPr>
            <w:tcW w:w="2268" w:type="dxa"/>
          </w:tcPr>
          <w:p w14:paraId="5C06B810" w14:textId="44B1D945" w:rsidR="00835A80" w:rsidRDefault="00835A80" w:rsidP="00835A80">
            <w:pPr>
              <w:spacing w:after="0" w:line="280" w:lineRule="atLeast"/>
              <w:rPr>
                <w:rFonts w:ascii="Arial" w:hAnsi="Arial" w:cs="Arial"/>
                <w:sz w:val="24"/>
                <w:szCs w:val="24"/>
              </w:rPr>
            </w:pPr>
            <w:r>
              <w:rPr>
                <w:rFonts w:ascii="Arial" w:hAnsi="Arial" w:cs="Arial"/>
                <w:sz w:val="24"/>
                <w:szCs w:val="24"/>
              </w:rPr>
              <w:t xml:space="preserve">Section </w:t>
            </w:r>
            <w:r w:rsidR="00746869">
              <w:rPr>
                <w:rFonts w:ascii="Arial" w:hAnsi="Arial" w:cs="Arial"/>
                <w:sz w:val="24"/>
                <w:szCs w:val="24"/>
              </w:rPr>
              <w:t>19</w:t>
            </w:r>
            <w:r w:rsidR="003739BC">
              <w:rPr>
                <w:rFonts w:ascii="Arial" w:hAnsi="Arial" w:cs="Arial"/>
                <w:sz w:val="24"/>
                <w:szCs w:val="24"/>
              </w:rPr>
              <w:t>J</w:t>
            </w:r>
          </w:p>
          <w:p w14:paraId="08D01901" w14:textId="77777777" w:rsidR="00835A80" w:rsidRDefault="00835A80" w:rsidP="00835A80">
            <w:pPr>
              <w:spacing w:after="0" w:line="280" w:lineRule="atLeast"/>
              <w:rPr>
                <w:rFonts w:ascii="Arial" w:hAnsi="Arial" w:cs="Arial"/>
                <w:sz w:val="24"/>
                <w:szCs w:val="24"/>
              </w:rPr>
            </w:pPr>
          </w:p>
          <w:p w14:paraId="64CC10E4" w14:textId="325BF103" w:rsidR="00835A80" w:rsidRPr="00A81EEA" w:rsidRDefault="00835A80" w:rsidP="00835A80">
            <w:pPr>
              <w:spacing w:after="0" w:line="280" w:lineRule="atLeast"/>
              <w:rPr>
                <w:rFonts w:ascii="Arial" w:hAnsi="Arial" w:cs="Arial"/>
                <w:sz w:val="24"/>
                <w:szCs w:val="24"/>
              </w:rPr>
            </w:pPr>
            <w:r w:rsidRPr="003254F0">
              <w:rPr>
                <w:rFonts w:ascii="Arial" w:hAnsi="Arial" w:cs="Arial"/>
                <w:sz w:val="24"/>
                <w:szCs w:val="24"/>
              </w:rPr>
              <w:t>Licensees giving people notice of gambling exclusion</w:t>
            </w:r>
          </w:p>
        </w:tc>
        <w:tc>
          <w:tcPr>
            <w:tcW w:w="6946" w:type="dxa"/>
          </w:tcPr>
          <w:p w14:paraId="6E96D53F" w14:textId="09A90AA8" w:rsidR="00835A80" w:rsidRPr="00A81EEA" w:rsidRDefault="00244841" w:rsidP="00835A80">
            <w:pPr>
              <w:spacing w:after="0" w:line="280" w:lineRule="atLeast"/>
              <w:rPr>
                <w:rFonts w:ascii="Arial" w:hAnsi="Arial" w:cs="Arial"/>
                <w:sz w:val="24"/>
                <w:szCs w:val="24"/>
              </w:rPr>
            </w:pPr>
            <w:r>
              <w:rPr>
                <w:rFonts w:ascii="Arial" w:hAnsi="Arial" w:cs="Arial"/>
                <w:sz w:val="24"/>
                <w:szCs w:val="24"/>
              </w:rPr>
              <w:t xml:space="preserve">To </w:t>
            </w:r>
            <w:r w:rsidR="004609BE">
              <w:rPr>
                <w:rFonts w:ascii="Arial" w:hAnsi="Arial" w:cs="Arial"/>
                <w:sz w:val="24"/>
                <w:szCs w:val="24"/>
              </w:rPr>
              <w:t>prevent gambling harm by ensuring</w:t>
            </w:r>
            <w:r w:rsidR="00D37D8D">
              <w:rPr>
                <w:rFonts w:ascii="Arial" w:hAnsi="Arial" w:cs="Arial"/>
                <w:sz w:val="24"/>
                <w:szCs w:val="24"/>
              </w:rPr>
              <w:t xml:space="preserve"> the</w:t>
            </w:r>
            <w:r>
              <w:rPr>
                <w:rFonts w:ascii="Arial" w:hAnsi="Arial" w:cs="Arial"/>
                <w:sz w:val="24"/>
                <w:szCs w:val="24"/>
              </w:rPr>
              <w:t xml:space="preserve"> licensee takes appropriate and timely action to exclude a person at risk of gambling harm. </w:t>
            </w:r>
          </w:p>
        </w:tc>
      </w:tr>
      <w:tr w:rsidR="00835A80" w:rsidRPr="00A81EEA" w14:paraId="6094CDB7" w14:textId="77777777" w:rsidTr="00F37EB9">
        <w:trPr>
          <w:cantSplit/>
          <w:trHeight w:val="1702"/>
        </w:trPr>
        <w:tc>
          <w:tcPr>
            <w:tcW w:w="2268" w:type="dxa"/>
          </w:tcPr>
          <w:p w14:paraId="362E5162" w14:textId="77777777" w:rsidR="007E19A4" w:rsidRPr="009D01A9" w:rsidRDefault="007E19A4" w:rsidP="007E19A4">
            <w:pPr>
              <w:spacing w:after="0" w:line="280" w:lineRule="atLeast"/>
              <w:rPr>
                <w:rFonts w:ascii="Arial" w:hAnsi="Arial" w:cs="Arial"/>
                <w:sz w:val="24"/>
                <w:szCs w:val="24"/>
              </w:rPr>
            </w:pPr>
            <w:r w:rsidRPr="009D01A9">
              <w:rPr>
                <w:rFonts w:ascii="Arial" w:hAnsi="Arial" w:cs="Arial"/>
                <w:sz w:val="24"/>
                <w:szCs w:val="24"/>
              </w:rPr>
              <w:t>Section 19</w:t>
            </w:r>
            <w:r>
              <w:rPr>
                <w:rFonts w:ascii="Arial" w:hAnsi="Arial" w:cs="Arial"/>
                <w:sz w:val="24"/>
                <w:szCs w:val="24"/>
              </w:rPr>
              <w:t>O</w:t>
            </w:r>
          </w:p>
          <w:p w14:paraId="29F4F22C" w14:textId="77777777" w:rsidR="007E19A4" w:rsidRPr="009D01A9" w:rsidRDefault="007E19A4" w:rsidP="007E19A4">
            <w:pPr>
              <w:spacing w:after="0" w:line="280" w:lineRule="atLeast"/>
              <w:rPr>
                <w:rFonts w:ascii="Arial" w:hAnsi="Arial" w:cs="Arial"/>
                <w:sz w:val="24"/>
                <w:szCs w:val="24"/>
              </w:rPr>
            </w:pPr>
          </w:p>
          <w:p w14:paraId="2E1B7091" w14:textId="2422ECD2" w:rsidR="00835A80" w:rsidRPr="00A81EEA" w:rsidRDefault="007E19A4" w:rsidP="00835A80">
            <w:pPr>
              <w:spacing w:after="0" w:line="280" w:lineRule="atLeast"/>
              <w:rPr>
                <w:rFonts w:ascii="Arial" w:hAnsi="Arial" w:cs="Arial"/>
                <w:sz w:val="24"/>
                <w:szCs w:val="24"/>
              </w:rPr>
            </w:pPr>
            <w:r w:rsidRPr="009D01A9">
              <w:rPr>
                <w:rFonts w:ascii="Arial" w:hAnsi="Arial" w:cs="Arial"/>
                <w:sz w:val="24"/>
                <w:szCs w:val="24"/>
              </w:rPr>
              <w:t xml:space="preserve">Exclusion of people </w:t>
            </w:r>
            <w:r>
              <w:rPr>
                <w:rFonts w:ascii="Arial" w:hAnsi="Arial" w:cs="Arial"/>
                <w:sz w:val="24"/>
                <w:szCs w:val="24"/>
              </w:rPr>
              <w:t xml:space="preserve">named in </w:t>
            </w:r>
            <w:r w:rsidRPr="009D01A9">
              <w:rPr>
                <w:rFonts w:ascii="Arial" w:hAnsi="Arial" w:cs="Arial"/>
                <w:sz w:val="24"/>
                <w:szCs w:val="24"/>
              </w:rPr>
              <w:t>gambling exclusion notice</w:t>
            </w:r>
            <w:r>
              <w:rPr>
                <w:rFonts w:ascii="Arial" w:hAnsi="Arial" w:cs="Arial"/>
                <w:sz w:val="24"/>
                <w:szCs w:val="24"/>
              </w:rPr>
              <w:t xml:space="preserve"> or gambling exclusion determination</w:t>
            </w:r>
          </w:p>
        </w:tc>
        <w:tc>
          <w:tcPr>
            <w:tcW w:w="6946" w:type="dxa"/>
          </w:tcPr>
          <w:p w14:paraId="3A18B2EC" w14:textId="020AA54F" w:rsidR="00835A80" w:rsidRPr="00A81EEA" w:rsidRDefault="00244841" w:rsidP="00835A80">
            <w:pPr>
              <w:spacing w:after="0" w:line="280" w:lineRule="atLeast"/>
              <w:rPr>
                <w:rFonts w:ascii="Arial" w:hAnsi="Arial" w:cs="Arial"/>
                <w:sz w:val="24"/>
                <w:szCs w:val="24"/>
              </w:rPr>
            </w:pPr>
            <w:r>
              <w:rPr>
                <w:rFonts w:ascii="Arial" w:hAnsi="Arial" w:cs="Arial"/>
                <w:sz w:val="24"/>
                <w:szCs w:val="24"/>
              </w:rPr>
              <w:t>To</w:t>
            </w:r>
            <w:r w:rsidR="00F54328">
              <w:rPr>
                <w:rFonts w:ascii="Arial" w:hAnsi="Arial" w:cs="Arial"/>
                <w:sz w:val="24"/>
                <w:szCs w:val="24"/>
              </w:rPr>
              <w:t xml:space="preserve"> prevent gambling harm by ensuring</w:t>
            </w:r>
            <w:r>
              <w:rPr>
                <w:rFonts w:ascii="Arial" w:hAnsi="Arial" w:cs="Arial"/>
                <w:sz w:val="24"/>
                <w:szCs w:val="24"/>
              </w:rPr>
              <w:t xml:space="preserve"> licensees take appropriate action to prohibit excluded people from the gambling activity. </w:t>
            </w:r>
          </w:p>
        </w:tc>
      </w:tr>
      <w:tr w:rsidR="00835A80" w:rsidRPr="00AD7F9C" w14:paraId="59A63D19" w14:textId="77777777" w:rsidTr="00F37EB9">
        <w:trPr>
          <w:cantSplit/>
          <w:trHeight w:val="1960"/>
        </w:trPr>
        <w:tc>
          <w:tcPr>
            <w:tcW w:w="2268" w:type="dxa"/>
          </w:tcPr>
          <w:p w14:paraId="7CB2B1C3" w14:textId="45E2DFFF" w:rsidR="00835A80" w:rsidRDefault="00835A80" w:rsidP="00835A80">
            <w:pPr>
              <w:spacing w:after="0" w:line="280" w:lineRule="atLeast"/>
              <w:rPr>
                <w:rFonts w:ascii="Arial" w:hAnsi="Arial" w:cs="Arial"/>
                <w:sz w:val="24"/>
                <w:szCs w:val="24"/>
              </w:rPr>
            </w:pPr>
            <w:r>
              <w:rPr>
                <w:rFonts w:ascii="Arial" w:hAnsi="Arial" w:cs="Arial"/>
                <w:sz w:val="24"/>
                <w:szCs w:val="24"/>
              </w:rPr>
              <w:t xml:space="preserve">Section </w:t>
            </w:r>
            <w:r w:rsidR="007E19A4">
              <w:rPr>
                <w:rFonts w:ascii="Arial" w:hAnsi="Arial" w:cs="Arial"/>
                <w:sz w:val="24"/>
                <w:szCs w:val="24"/>
              </w:rPr>
              <w:t>19</w:t>
            </w:r>
            <w:r w:rsidR="00617DE6">
              <w:rPr>
                <w:rFonts w:ascii="Arial" w:hAnsi="Arial" w:cs="Arial"/>
                <w:sz w:val="24"/>
                <w:szCs w:val="24"/>
              </w:rPr>
              <w:t>K</w:t>
            </w:r>
          </w:p>
          <w:p w14:paraId="6E5A9267" w14:textId="77777777" w:rsidR="00835A80" w:rsidRDefault="00835A80" w:rsidP="00835A80">
            <w:pPr>
              <w:spacing w:after="0" w:line="280" w:lineRule="atLeast"/>
              <w:rPr>
                <w:rFonts w:ascii="Arial" w:hAnsi="Arial" w:cs="Arial"/>
                <w:sz w:val="24"/>
                <w:szCs w:val="24"/>
              </w:rPr>
            </w:pPr>
          </w:p>
          <w:p w14:paraId="2F97C088" w14:textId="2BAC7775" w:rsidR="00835A80" w:rsidRPr="00A81EEA" w:rsidRDefault="005974E1" w:rsidP="00835A80">
            <w:pPr>
              <w:spacing w:after="0" w:line="280" w:lineRule="atLeast"/>
              <w:rPr>
                <w:rFonts w:ascii="Arial" w:hAnsi="Arial" w:cs="Arial"/>
                <w:sz w:val="24"/>
                <w:szCs w:val="24"/>
              </w:rPr>
            </w:pPr>
            <w:r>
              <w:rPr>
                <w:rFonts w:ascii="Arial" w:hAnsi="Arial" w:cs="Arial"/>
                <w:sz w:val="24"/>
                <w:szCs w:val="24"/>
              </w:rPr>
              <w:t>L</w:t>
            </w:r>
            <w:r w:rsidRPr="00425798">
              <w:rPr>
                <w:rFonts w:ascii="Arial" w:hAnsi="Arial" w:cs="Arial"/>
                <w:sz w:val="24"/>
                <w:szCs w:val="24"/>
              </w:rPr>
              <w:t>icensee</w:t>
            </w:r>
            <w:r>
              <w:rPr>
                <w:rFonts w:ascii="Arial" w:hAnsi="Arial" w:cs="Arial"/>
                <w:sz w:val="24"/>
                <w:szCs w:val="24"/>
              </w:rPr>
              <w:t>s must tell commission about</w:t>
            </w:r>
            <w:r w:rsidRPr="00425798">
              <w:rPr>
                <w:rFonts w:ascii="Arial" w:hAnsi="Arial" w:cs="Arial"/>
                <w:sz w:val="24"/>
                <w:szCs w:val="24"/>
              </w:rPr>
              <w:t xml:space="preserve"> gambling exclusion notice</w:t>
            </w:r>
            <w:r>
              <w:rPr>
                <w:rFonts w:ascii="Arial" w:hAnsi="Arial" w:cs="Arial"/>
                <w:sz w:val="24"/>
                <w:szCs w:val="24"/>
              </w:rPr>
              <w:t>s</w:t>
            </w:r>
            <w:r w:rsidRPr="00A81EEA">
              <w:rPr>
                <w:rFonts w:ascii="Arial" w:hAnsi="Arial" w:cs="Arial"/>
                <w:sz w:val="24"/>
                <w:szCs w:val="24"/>
              </w:rPr>
              <w:t xml:space="preserve"> </w:t>
            </w:r>
          </w:p>
        </w:tc>
        <w:tc>
          <w:tcPr>
            <w:tcW w:w="6946" w:type="dxa"/>
          </w:tcPr>
          <w:p w14:paraId="424AC02D" w14:textId="53DF13E9" w:rsidR="00835A80" w:rsidRPr="00A81EEA" w:rsidRDefault="00372DD3" w:rsidP="00835A80">
            <w:pPr>
              <w:spacing w:after="0" w:line="280" w:lineRule="atLeast"/>
              <w:rPr>
                <w:rFonts w:ascii="Arial" w:hAnsi="Arial" w:cs="Arial"/>
                <w:sz w:val="24"/>
                <w:szCs w:val="24"/>
              </w:rPr>
            </w:pPr>
            <w:r>
              <w:rPr>
                <w:rFonts w:ascii="Arial" w:hAnsi="Arial" w:cs="Arial"/>
                <w:sz w:val="24"/>
                <w:szCs w:val="24"/>
              </w:rPr>
              <w:t>To</w:t>
            </w:r>
            <w:r w:rsidR="00F54328">
              <w:rPr>
                <w:rFonts w:ascii="Arial" w:hAnsi="Arial" w:cs="Arial"/>
                <w:sz w:val="24"/>
                <w:szCs w:val="24"/>
              </w:rPr>
              <w:t xml:space="preserve"> facilitate effective administration of the gambling exclusion scheme – and thereby prevention of gambling harm – by ensuring</w:t>
            </w:r>
            <w:r>
              <w:rPr>
                <w:rFonts w:ascii="Arial" w:hAnsi="Arial" w:cs="Arial"/>
                <w:sz w:val="24"/>
                <w:szCs w:val="24"/>
              </w:rPr>
              <w:t xml:space="preserve"> licensees provide the Commission with a</w:t>
            </w:r>
            <w:r w:rsidR="005974E1">
              <w:rPr>
                <w:rFonts w:ascii="Arial" w:hAnsi="Arial" w:cs="Arial"/>
                <w:sz w:val="24"/>
                <w:szCs w:val="24"/>
              </w:rPr>
              <w:t xml:space="preserve"> self-exclusion notice or</w:t>
            </w:r>
            <w:r>
              <w:rPr>
                <w:rFonts w:ascii="Arial" w:hAnsi="Arial" w:cs="Arial"/>
                <w:sz w:val="24"/>
                <w:szCs w:val="24"/>
              </w:rPr>
              <w:t xml:space="preserve"> licensee notice in a timely manner to allow</w:t>
            </w:r>
            <w:r w:rsidR="0037446B">
              <w:rPr>
                <w:rFonts w:ascii="Arial" w:hAnsi="Arial" w:cs="Arial"/>
                <w:sz w:val="24"/>
                <w:szCs w:val="24"/>
              </w:rPr>
              <w:t xml:space="preserve"> </w:t>
            </w:r>
            <w:r w:rsidR="0029208A">
              <w:rPr>
                <w:rFonts w:ascii="Arial" w:hAnsi="Arial" w:cs="Arial"/>
                <w:sz w:val="24"/>
                <w:szCs w:val="24"/>
              </w:rPr>
              <w:t>effective information sharing with relevant licensees and</w:t>
            </w:r>
            <w:r>
              <w:rPr>
                <w:rFonts w:ascii="Arial" w:hAnsi="Arial" w:cs="Arial"/>
                <w:sz w:val="24"/>
                <w:szCs w:val="24"/>
              </w:rPr>
              <w:t xml:space="preserve"> a timely determination of the licensee exclusion.</w:t>
            </w:r>
          </w:p>
          <w:p w14:paraId="42553385" w14:textId="1C752A8C" w:rsidR="00835A80" w:rsidRPr="00A81EEA" w:rsidRDefault="00835A80" w:rsidP="00835A80">
            <w:pPr>
              <w:spacing w:after="0" w:line="280" w:lineRule="atLeast"/>
              <w:rPr>
                <w:rFonts w:ascii="Arial" w:hAnsi="Arial" w:cs="Arial"/>
                <w:sz w:val="24"/>
                <w:szCs w:val="24"/>
              </w:rPr>
            </w:pPr>
          </w:p>
        </w:tc>
      </w:tr>
      <w:tr w:rsidR="00835A80" w:rsidRPr="00A81EEA" w14:paraId="2E15A9F3" w14:textId="77777777" w:rsidTr="00F37EB9">
        <w:trPr>
          <w:cantSplit/>
          <w:trHeight w:val="20"/>
        </w:trPr>
        <w:tc>
          <w:tcPr>
            <w:tcW w:w="2268" w:type="dxa"/>
          </w:tcPr>
          <w:p w14:paraId="521D3F87" w14:textId="3C463448" w:rsidR="0041305D" w:rsidRPr="00A81EEA" w:rsidRDefault="0041305D" w:rsidP="0041305D">
            <w:pPr>
              <w:tabs>
                <w:tab w:val="left" w:pos="284"/>
              </w:tabs>
              <w:spacing w:after="0" w:line="280" w:lineRule="atLeast"/>
              <w:ind w:left="284" w:hanging="284"/>
              <w:rPr>
                <w:rFonts w:ascii="Arial" w:hAnsi="Arial" w:cs="Arial"/>
                <w:sz w:val="24"/>
                <w:szCs w:val="24"/>
              </w:rPr>
            </w:pPr>
            <w:r w:rsidRPr="00A81EEA">
              <w:rPr>
                <w:rFonts w:ascii="Arial" w:hAnsi="Arial" w:cs="Arial"/>
                <w:sz w:val="24"/>
                <w:szCs w:val="24"/>
              </w:rPr>
              <w:lastRenderedPageBreak/>
              <w:t xml:space="preserve"> Sectio</w:t>
            </w:r>
            <w:r>
              <w:rPr>
                <w:rFonts w:ascii="Arial" w:hAnsi="Arial" w:cs="Arial"/>
                <w:sz w:val="24"/>
                <w:szCs w:val="24"/>
              </w:rPr>
              <w:t>n 19U</w:t>
            </w:r>
            <w:r w:rsidRPr="00A81EEA">
              <w:rPr>
                <w:rFonts w:ascii="Arial" w:hAnsi="Arial" w:cs="Arial"/>
                <w:sz w:val="24"/>
                <w:szCs w:val="24"/>
              </w:rPr>
              <w:t xml:space="preserve"> </w:t>
            </w:r>
          </w:p>
          <w:p w14:paraId="471AF602" w14:textId="77777777" w:rsidR="0041305D" w:rsidRPr="00A81EEA" w:rsidRDefault="0041305D" w:rsidP="0041305D">
            <w:pPr>
              <w:tabs>
                <w:tab w:val="left" w:pos="284"/>
              </w:tabs>
              <w:spacing w:after="0" w:line="280" w:lineRule="atLeast"/>
              <w:ind w:left="284" w:hanging="284"/>
              <w:rPr>
                <w:rFonts w:ascii="Arial" w:hAnsi="Arial" w:cs="Arial"/>
                <w:sz w:val="24"/>
                <w:szCs w:val="24"/>
              </w:rPr>
            </w:pPr>
          </w:p>
          <w:p w14:paraId="054D37EE" w14:textId="705C8E01" w:rsidR="00835A80" w:rsidRPr="00A81EEA" w:rsidRDefault="0041305D" w:rsidP="00835A80">
            <w:pPr>
              <w:spacing w:after="0" w:line="280" w:lineRule="atLeast"/>
              <w:rPr>
                <w:rFonts w:ascii="Arial" w:hAnsi="Arial" w:cs="Arial"/>
                <w:sz w:val="24"/>
                <w:szCs w:val="24"/>
              </w:rPr>
            </w:pPr>
            <w:r w:rsidRPr="00EE7E7E">
              <w:rPr>
                <w:rFonts w:ascii="Arial" w:hAnsi="Arial" w:cs="Arial"/>
                <w:sz w:val="24"/>
                <w:szCs w:val="24"/>
              </w:rPr>
              <w:t>Licensees must comply with decision to revoke or amend gambling exclusion determination</w:t>
            </w:r>
            <w:r>
              <w:rPr>
                <w:rFonts w:ascii="Arial" w:hAnsi="Arial" w:cs="Arial"/>
                <w:sz w:val="24"/>
                <w:szCs w:val="24"/>
              </w:rPr>
              <w:t xml:space="preserve"> based on licensee exclusion notice</w:t>
            </w:r>
          </w:p>
        </w:tc>
        <w:tc>
          <w:tcPr>
            <w:tcW w:w="6946" w:type="dxa"/>
          </w:tcPr>
          <w:p w14:paraId="3DB6EFAE" w14:textId="78E7D107" w:rsidR="00835A80" w:rsidRPr="00A81EEA" w:rsidRDefault="00372DD3" w:rsidP="00835A80">
            <w:pPr>
              <w:spacing w:after="0" w:line="280" w:lineRule="atLeast"/>
              <w:rPr>
                <w:rFonts w:ascii="Arial" w:hAnsi="Arial" w:cs="Arial"/>
                <w:sz w:val="24"/>
                <w:szCs w:val="24"/>
              </w:rPr>
            </w:pPr>
            <w:r>
              <w:rPr>
                <w:rFonts w:ascii="Arial" w:hAnsi="Arial" w:cs="Arial"/>
                <w:sz w:val="24"/>
                <w:szCs w:val="24"/>
              </w:rPr>
              <w:t xml:space="preserve">To </w:t>
            </w:r>
            <w:r w:rsidR="00313772">
              <w:rPr>
                <w:rFonts w:ascii="Arial" w:hAnsi="Arial" w:cs="Arial"/>
                <w:sz w:val="24"/>
                <w:szCs w:val="24"/>
              </w:rPr>
              <w:t>facilitate effective administration of the gambling exclusion scheme – and thereby prevention of gambling harm – by ensuring</w:t>
            </w:r>
            <w:r>
              <w:rPr>
                <w:rFonts w:ascii="Arial" w:hAnsi="Arial" w:cs="Arial"/>
                <w:sz w:val="24"/>
                <w:szCs w:val="24"/>
              </w:rPr>
              <w:t xml:space="preserve"> licensees comply with a Commission decision in relation to an exclusion.</w:t>
            </w:r>
          </w:p>
        </w:tc>
      </w:tr>
      <w:tr w:rsidR="00835A80" w:rsidRPr="00A81EEA" w14:paraId="746CAD27" w14:textId="77777777" w:rsidTr="00F37EB9">
        <w:trPr>
          <w:cantSplit/>
          <w:trHeight w:val="1581"/>
        </w:trPr>
        <w:tc>
          <w:tcPr>
            <w:tcW w:w="2268" w:type="dxa"/>
          </w:tcPr>
          <w:p w14:paraId="6A5B0F96" w14:textId="25ED14DF" w:rsidR="00835A80" w:rsidRPr="00A81EEA" w:rsidRDefault="00835A80" w:rsidP="00835A80">
            <w:pPr>
              <w:tabs>
                <w:tab w:val="left" w:pos="284"/>
              </w:tabs>
              <w:spacing w:after="0" w:line="280" w:lineRule="atLeast"/>
              <w:rPr>
                <w:rFonts w:ascii="Arial" w:hAnsi="Arial" w:cs="Arial"/>
                <w:sz w:val="24"/>
                <w:szCs w:val="24"/>
              </w:rPr>
            </w:pPr>
            <w:r w:rsidRPr="00A81EEA">
              <w:rPr>
                <w:rFonts w:ascii="Arial" w:hAnsi="Arial" w:cs="Arial"/>
                <w:sz w:val="24"/>
                <w:szCs w:val="24"/>
              </w:rPr>
              <w:t xml:space="preserve">Section </w:t>
            </w:r>
            <w:r w:rsidR="007E19A4" w:rsidRPr="00A81EEA">
              <w:rPr>
                <w:rFonts w:ascii="Arial" w:hAnsi="Arial" w:cs="Arial"/>
                <w:sz w:val="24"/>
                <w:szCs w:val="24"/>
              </w:rPr>
              <w:t>1</w:t>
            </w:r>
            <w:r w:rsidR="007E19A4">
              <w:rPr>
                <w:rFonts w:ascii="Arial" w:hAnsi="Arial" w:cs="Arial"/>
                <w:sz w:val="24"/>
                <w:szCs w:val="24"/>
              </w:rPr>
              <w:t>9</w:t>
            </w:r>
            <w:r w:rsidR="00617DE6">
              <w:rPr>
                <w:rFonts w:ascii="Arial" w:hAnsi="Arial" w:cs="Arial"/>
                <w:sz w:val="24"/>
                <w:szCs w:val="24"/>
              </w:rPr>
              <w:t>P</w:t>
            </w:r>
          </w:p>
          <w:p w14:paraId="4271ED52" w14:textId="77777777" w:rsidR="00835A80" w:rsidRPr="00A81EEA" w:rsidRDefault="00835A80" w:rsidP="00835A80">
            <w:pPr>
              <w:tabs>
                <w:tab w:val="left" w:pos="284"/>
              </w:tabs>
              <w:spacing w:after="0" w:line="280" w:lineRule="atLeast"/>
              <w:rPr>
                <w:rFonts w:ascii="Arial" w:hAnsi="Arial" w:cs="Arial"/>
                <w:sz w:val="24"/>
                <w:szCs w:val="24"/>
              </w:rPr>
            </w:pPr>
          </w:p>
          <w:p w14:paraId="546AB809" w14:textId="27AA37FC" w:rsidR="00835A80" w:rsidRPr="00A81EEA" w:rsidRDefault="00835A80" w:rsidP="00835A80">
            <w:pPr>
              <w:spacing w:after="0" w:line="280" w:lineRule="atLeast"/>
              <w:rPr>
                <w:rFonts w:ascii="Arial" w:hAnsi="Arial" w:cs="Arial"/>
                <w:sz w:val="24"/>
                <w:szCs w:val="24"/>
              </w:rPr>
            </w:pPr>
            <w:r>
              <w:rPr>
                <w:rFonts w:ascii="Arial" w:hAnsi="Arial" w:cs="Arial"/>
                <w:sz w:val="24"/>
                <w:szCs w:val="24"/>
              </w:rPr>
              <w:t>Exclusion procedures</w:t>
            </w:r>
          </w:p>
        </w:tc>
        <w:tc>
          <w:tcPr>
            <w:tcW w:w="6946" w:type="dxa"/>
          </w:tcPr>
          <w:p w14:paraId="25D4EBF4" w14:textId="6CE6F863" w:rsidR="00835A80" w:rsidRPr="00A81EEA" w:rsidRDefault="00372DD3" w:rsidP="00835A80">
            <w:pPr>
              <w:spacing w:after="0" w:line="280" w:lineRule="atLeast"/>
              <w:rPr>
                <w:rFonts w:ascii="Arial" w:hAnsi="Arial" w:cs="Arial"/>
                <w:sz w:val="24"/>
                <w:szCs w:val="24"/>
              </w:rPr>
            </w:pPr>
            <w:r>
              <w:rPr>
                <w:rFonts w:ascii="Arial" w:hAnsi="Arial" w:cs="Arial"/>
                <w:sz w:val="24"/>
                <w:szCs w:val="24"/>
              </w:rPr>
              <w:t>To</w:t>
            </w:r>
            <w:r w:rsidR="00012319">
              <w:rPr>
                <w:rFonts w:ascii="Arial" w:hAnsi="Arial" w:cs="Arial"/>
                <w:sz w:val="24"/>
                <w:szCs w:val="24"/>
              </w:rPr>
              <w:t xml:space="preserve"> facilitate licensees’ compliance with the exclusion scheme – and </w:t>
            </w:r>
            <w:r w:rsidR="00A73F8B">
              <w:rPr>
                <w:rFonts w:ascii="Arial" w:hAnsi="Arial" w:cs="Arial"/>
                <w:sz w:val="24"/>
                <w:szCs w:val="24"/>
              </w:rPr>
              <w:t>thereby</w:t>
            </w:r>
            <w:r w:rsidR="00012319">
              <w:rPr>
                <w:rFonts w:ascii="Arial" w:hAnsi="Arial" w:cs="Arial"/>
                <w:sz w:val="24"/>
                <w:szCs w:val="24"/>
              </w:rPr>
              <w:t xml:space="preserve"> prevention of gambling harm – by ensuring</w:t>
            </w:r>
            <w:r>
              <w:rPr>
                <w:rFonts w:ascii="Arial" w:hAnsi="Arial" w:cs="Arial"/>
                <w:sz w:val="24"/>
                <w:szCs w:val="24"/>
              </w:rPr>
              <w:t xml:space="preserve"> licensees prepare written procedures to manage and be compliant with exclusion requirements</w:t>
            </w:r>
            <w:r w:rsidR="00617DE6">
              <w:rPr>
                <w:rFonts w:ascii="Arial" w:hAnsi="Arial" w:cs="Arial"/>
                <w:sz w:val="24"/>
                <w:szCs w:val="24"/>
              </w:rPr>
              <w:t xml:space="preserve"> and adhere to the Commission’s direction in relation to exclusion procedures</w:t>
            </w:r>
            <w:r>
              <w:rPr>
                <w:rFonts w:ascii="Arial" w:hAnsi="Arial" w:cs="Arial"/>
                <w:sz w:val="24"/>
                <w:szCs w:val="24"/>
              </w:rPr>
              <w:t>.</w:t>
            </w:r>
          </w:p>
        </w:tc>
      </w:tr>
      <w:tr w:rsidR="00835A80" w:rsidRPr="00A81EEA" w14:paraId="5656B943" w14:textId="77777777" w:rsidTr="00F37EB9">
        <w:trPr>
          <w:cantSplit/>
          <w:trHeight w:val="1411"/>
        </w:trPr>
        <w:tc>
          <w:tcPr>
            <w:tcW w:w="2268" w:type="dxa"/>
          </w:tcPr>
          <w:p w14:paraId="56B39866" w14:textId="30E2A442" w:rsidR="00835A80" w:rsidRDefault="00835A80" w:rsidP="00835A80">
            <w:pPr>
              <w:tabs>
                <w:tab w:val="left" w:pos="284"/>
              </w:tabs>
              <w:spacing w:after="0" w:line="280" w:lineRule="atLeast"/>
              <w:rPr>
                <w:rFonts w:ascii="Arial" w:hAnsi="Arial" w:cs="Arial"/>
                <w:sz w:val="24"/>
                <w:szCs w:val="24"/>
              </w:rPr>
            </w:pPr>
            <w:r>
              <w:rPr>
                <w:rFonts w:ascii="Arial" w:hAnsi="Arial" w:cs="Arial"/>
                <w:sz w:val="24"/>
                <w:szCs w:val="24"/>
              </w:rPr>
              <w:t xml:space="preserve">Section </w:t>
            </w:r>
            <w:r w:rsidR="007E19A4">
              <w:rPr>
                <w:rFonts w:ascii="Arial" w:hAnsi="Arial" w:cs="Arial"/>
                <w:sz w:val="24"/>
                <w:szCs w:val="24"/>
              </w:rPr>
              <w:t>19</w:t>
            </w:r>
            <w:r w:rsidR="00DA77C3">
              <w:rPr>
                <w:rFonts w:ascii="Arial" w:hAnsi="Arial" w:cs="Arial"/>
                <w:sz w:val="24"/>
                <w:szCs w:val="24"/>
              </w:rPr>
              <w:t>V</w:t>
            </w:r>
          </w:p>
          <w:p w14:paraId="42EA6083" w14:textId="77777777" w:rsidR="00835A80" w:rsidRDefault="00835A80" w:rsidP="00835A80">
            <w:pPr>
              <w:tabs>
                <w:tab w:val="left" w:pos="284"/>
              </w:tabs>
              <w:spacing w:after="0" w:line="280" w:lineRule="atLeast"/>
              <w:rPr>
                <w:rFonts w:ascii="Arial" w:hAnsi="Arial" w:cs="Arial"/>
                <w:sz w:val="24"/>
                <w:szCs w:val="24"/>
              </w:rPr>
            </w:pPr>
          </w:p>
          <w:p w14:paraId="02E1C36D" w14:textId="34856B2A" w:rsidR="00835A80" w:rsidRPr="00A81EEA" w:rsidRDefault="00835A80" w:rsidP="00835A80">
            <w:pPr>
              <w:spacing w:after="0" w:line="280" w:lineRule="atLeast"/>
              <w:rPr>
                <w:rFonts w:ascii="Arial" w:hAnsi="Arial" w:cs="Arial"/>
                <w:sz w:val="24"/>
                <w:szCs w:val="24"/>
              </w:rPr>
            </w:pPr>
            <w:r w:rsidRPr="00A325ED">
              <w:rPr>
                <w:rFonts w:ascii="Arial" w:hAnsi="Arial" w:cs="Arial"/>
                <w:sz w:val="24"/>
                <w:szCs w:val="24"/>
              </w:rPr>
              <w:t>Offence—using accounts of excluded people</w:t>
            </w:r>
          </w:p>
        </w:tc>
        <w:tc>
          <w:tcPr>
            <w:tcW w:w="6946" w:type="dxa"/>
          </w:tcPr>
          <w:p w14:paraId="59DE6947" w14:textId="6C14FB36" w:rsidR="00835A80" w:rsidRDefault="00372DD3" w:rsidP="00835A80">
            <w:pPr>
              <w:spacing w:after="0" w:line="280" w:lineRule="atLeast"/>
              <w:rPr>
                <w:rFonts w:ascii="Arial" w:hAnsi="Arial" w:cs="Arial"/>
                <w:sz w:val="24"/>
                <w:szCs w:val="24"/>
              </w:rPr>
            </w:pPr>
            <w:r>
              <w:rPr>
                <w:rFonts w:ascii="Arial" w:hAnsi="Arial" w:cs="Arial"/>
                <w:sz w:val="24"/>
                <w:szCs w:val="24"/>
              </w:rPr>
              <w:t xml:space="preserve">To </w:t>
            </w:r>
            <w:r w:rsidR="00880296">
              <w:rPr>
                <w:rFonts w:ascii="Arial" w:hAnsi="Arial" w:cs="Arial"/>
                <w:sz w:val="24"/>
                <w:szCs w:val="24"/>
              </w:rPr>
              <w:t>facilitate effective administration of the gambling exclusion scheme – and thereby prevention of gambling harm – by ensuring</w:t>
            </w:r>
            <w:r w:rsidR="00835A80">
              <w:rPr>
                <w:rFonts w:ascii="Arial" w:hAnsi="Arial" w:cs="Arial"/>
                <w:sz w:val="24"/>
                <w:szCs w:val="24"/>
              </w:rPr>
              <w:t xml:space="preserve"> licensee</w:t>
            </w:r>
            <w:r>
              <w:rPr>
                <w:rFonts w:ascii="Arial" w:hAnsi="Arial" w:cs="Arial"/>
                <w:sz w:val="24"/>
                <w:szCs w:val="24"/>
              </w:rPr>
              <w:t>s do not</w:t>
            </w:r>
            <w:r w:rsidR="00835A80">
              <w:rPr>
                <w:rFonts w:ascii="Arial" w:hAnsi="Arial" w:cs="Arial"/>
                <w:sz w:val="24"/>
                <w:szCs w:val="24"/>
              </w:rPr>
              <w:t xml:space="preserve"> allow someone to use an excluded person’s account to engage in the gambling activity.</w:t>
            </w:r>
          </w:p>
          <w:p w14:paraId="7496C028" w14:textId="2BC8C56B" w:rsidR="00835A80" w:rsidRPr="00A81EEA" w:rsidRDefault="00835A80" w:rsidP="00835A80">
            <w:pPr>
              <w:spacing w:after="0" w:line="280" w:lineRule="atLeast"/>
              <w:rPr>
                <w:rFonts w:ascii="Arial" w:hAnsi="Arial" w:cs="Arial"/>
                <w:sz w:val="24"/>
                <w:szCs w:val="24"/>
              </w:rPr>
            </w:pPr>
          </w:p>
        </w:tc>
      </w:tr>
      <w:tr w:rsidR="00835A80" w:rsidRPr="00A81EEA" w14:paraId="3C9DE79F" w14:textId="77777777" w:rsidTr="00F37EB9">
        <w:trPr>
          <w:cantSplit/>
          <w:trHeight w:val="20"/>
        </w:trPr>
        <w:tc>
          <w:tcPr>
            <w:tcW w:w="2268" w:type="dxa"/>
          </w:tcPr>
          <w:p w14:paraId="5B9DE52A" w14:textId="01C445D5" w:rsidR="00835A80" w:rsidRDefault="00835A80" w:rsidP="00835A80">
            <w:pPr>
              <w:tabs>
                <w:tab w:val="left" w:pos="284"/>
              </w:tabs>
              <w:spacing w:after="0" w:line="280" w:lineRule="atLeast"/>
              <w:rPr>
                <w:rFonts w:ascii="Arial" w:hAnsi="Arial" w:cs="Arial"/>
                <w:sz w:val="24"/>
                <w:szCs w:val="24"/>
              </w:rPr>
            </w:pPr>
            <w:r>
              <w:rPr>
                <w:rFonts w:ascii="Arial" w:hAnsi="Arial" w:cs="Arial"/>
                <w:sz w:val="24"/>
                <w:szCs w:val="24"/>
              </w:rPr>
              <w:t xml:space="preserve">Section </w:t>
            </w:r>
            <w:r w:rsidR="007E19A4">
              <w:rPr>
                <w:rFonts w:ascii="Arial" w:hAnsi="Arial" w:cs="Arial"/>
                <w:sz w:val="24"/>
                <w:szCs w:val="24"/>
              </w:rPr>
              <w:t>19</w:t>
            </w:r>
            <w:r w:rsidR="00DA77C3">
              <w:rPr>
                <w:rFonts w:ascii="Arial" w:hAnsi="Arial" w:cs="Arial"/>
                <w:sz w:val="24"/>
                <w:szCs w:val="24"/>
              </w:rPr>
              <w:t>W</w:t>
            </w:r>
          </w:p>
          <w:p w14:paraId="536D6EAC" w14:textId="77777777" w:rsidR="00835A80" w:rsidRDefault="00835A80" w:rsidP="00835A80">
            <w:pPr>
              <w:tabs>
                <w:tab w:val="left" w:pos="284"/>
              </w:tabs>
              <w:spacing w:after="0" w:line="280" w:lineRule="atLeast"/>
              <w:rPr>
                <w:rFonts w:ascii="Arial" w:hAnsi="Arial" w:cs="Arial"/>
                <w:sz w:val="24"/>
                <w:szCs w:val="24"/>
              </w:rPr>
            </w:pPr>
          </w:p>
          <w:p w14:paraId="3B9FCA41" w14:textId="283BA456" w:rsidR="00835A80" w:rsidRPr="00A81EEA" w:rsidRDefault="00835A80" w:rsidP="00835A80">
            <w:pPr>
              <w:spacing w:after="0" w:line="280" w:lineRule="atLeast"/>
              <w:rPr>
                <w:rFonts w:ascii="Arial" w:hAnsi="Arial" w:cs="Arial"/>
                <w:sz w:val="24"/>
                <w:szCs w:val="24"/>
              </w:rPr>
            </w:pPr>
            <w:r w:rsidRPr="00A325ED">
              <w:rPr>
                <w:rFonts w:ascii="Arial" w:hAnsi="Arial" w:cs="Arial"/>
                <w:sz w:val="24"/>
                <w:szCs w:val="24"/>
              </w:rPr>
              <w:t>Offence—sending promotional material to excluded people</w:t>
            </w:r>
          </w:p>
        </w:tc>
        <w:tc>
          <w:tcPr>
            <w:tcW w:w="6946" w:type="dxa"/>
          </w:tcPr>
          <w:p w14:paraId="74D22337" w14:textId="3F9B2FAB" w:rsidR="00835A80" w:rsidRPr="00A81EEA" w:rsidRDefault="00372DD3" w:rsidP="009D01A9">
            <w:pPr>
              <w:spacing w:after="0" w:line="280" w:lineRule="atLeast"/>
              <w:rPr>
                <w:rFonts w:ascii="Arial" w:hAnsi="Arial" w:cs="Arial"/>
                <w:sz w:val="24"/>
                <w:szCs w:val="24"/>
              </w:rPr>
            </w:pPr>
            <w:r>
              <w:rPr>
                <w:rFonts w:ascii="Arial" w:hAnsi="Arial" w:cs="Arial"/>
                <w:sz w:val="24"/>
                <w:szCs w:val="24"/>
              </w:rPr>
              <w:t xml:space="preserve">To </w:t>
            </w:r>
            <w:r w:rsidR="006472DE">
              <w:rPr>
                <w:rFonts w:ascii="Arial" w:hAnsi="Arial" w:cs="Arial"/>
                <w:sz w:val="24"/>
                <w:szCs w:val="24"/>
              </w:rPr>
              <w:t>facilitate effective administration of the gambling exclusion scheme – and thereby prevention of gambling harm – by ensuring</w:t>
            </w:r>
            <w:r w:rsidR="00835A80">
              <w:rPr>
                <w:rFonts w:ascii="Arial" w:hAnsi="Arial" w:cs="Arial"/>
                <w:sz w:val="24"/>
                <w:szCs w:val="24"/>
              </w:rPr>
              <w:t xml:space="preserve"> licensee</w:t>
            </w:r>
            <w:r>
              <w:rPr>
                <w:rFonts w:ascii="Arial" w:hAnsi="Arial" w:cs="Arial"/>
                <w:sz w:val="24"/>
                <w:szCs w:val="24"/>
              </w:rPr>
              <w:t>s do not</w:t>
            </w:r>
            <w:r w:rsidR="00835A80">
              <w:rPr>
                <w:rFonts w:ascii="Arial" w:hAnsi="Arial" w:cs="Arial"/>
                <w:sz w:val="24"/>
                <w:szCs w:val="24"/>
              </w:rPr>
              <w:t xml:space="preserve"> giv</w:t>
            </w:r>
            <w:r>
              <w:rPr>
                <w:rFonts w:ascii="Arial" w:hAnsi="Arial" w:cs="Arial"/>
                <w:sz w:val="24"/>
                <w:szCs w:val="24"/>
              </w:rPr>
              <w:t>e</w:t>
            </w:r>
            <w:r w:rsidR="00835A80">
              <w:rPr>
                <w:rFonts w:ascii="Arial" w:hAnsi="Arial" w:cs="Arial"/>
                <w:sz w:val="24"/>
                <w:szCs w:val="24"/>
              </w:rPr>
              <w:t xml:space="preserve"> information or promotional material in relation to gambling to an excluded person</w:t>
            </w:r>
            <w:r>
              <w:rPr>
                <w:rFonts w:ascii="Arial" w:hAnsi="Arial" w:cs="Arial"/>
                <w:sz w:val="24"/>
                <w:szCs w:val="24"/>
              </w:rPr>
              <w:t>.</w:t>
            </w:r>
          </w:p>
        </w:tc>
      </w:tr>
    </w:tbl>
    <w:p w14:paraId="796780F9" w14:textId="77777777" w:rsidR="00A80BAE" w:rsidRDefault="00A80BAE" w:rsidP="00A80BAE">
      <w:pPr>
        <w:pStyle w:val="ListParagraph"/>
        <w:ind w:left="360"/>
        <w:rPr>
          <w:rFonts w:ascii="Arial" w:hAnsi="Arial" w:cs="Arial"/>
          <w:b/>
          <w:bCs/>
          <w:i/>
          <w:sz w:val="24"/>
          <w:szCs w:val="24"/>
        </w:rPr>
      </w:pPr>
    </w:p>
    <w:p w14:paraId="0761EB5D" w14:textId="628B2242" w:rsidR="00DA1180" w:rsidRPr="00362096" w:rsidRDefault="00E95DD1" w:rsidP="00593E49">
      <w:pPr>
        <w:pStyle w:val="ListParagraph"/>
        <w:numPr>
          <w:ilvl w:val="0"/>
          <w:numId w:val="6"/>
        </w:numPr>
        <w:spacing w:after="120"/>
        <w:ind w:left="357" w:hanging="357"/>
        <w:rPr>
          <w:rFonts w:ascii="Arial" w:hAnsi="Arial" w:cs="Arial"/>
          <w:sz w:val="24"/>
          <w:szCs w:val="24"/>
        </w:rPr>
      </w:pPr>
      <w:r w:rsidRPr="00414921">
        <w:rPr>
          <w:rFonts w:ascii="Arial" w:hAnsi="Arial" w:cs="Arial"/>
          <w:b/>
          <w:bCs/>
          <w:i/>
          <w:sz w:val="24"/>
          <w:szCs w:val="24"/>
        </w:rPr>
        <w:t>Rational connection between the limitation and the purpose (s28(d))</w:t>
      </w:r>
    </w:p>
    <w:p w14:paraId="46ABACF8" w14:textId="494E2AE6" w:rsidR="004F5D6B" w:rsidRDefault="00475F2D">
      <w:pPr>
        <w:rPr>
          <w:rFonts w:ascii="Arial" w:hAnsi="Arial" w:cs="Arial"/>
          <w:sz w:val="24"/>
          <w:szCs w:val="24"/>
        </w:rPr>
      </w:pPr>
      <w:r w:rsidRPr="00475F2D">
        <w:rPr>
          <w:rFonts w:ascii="Arial" w:hAnsi="Arial" w:cs="Arial"/>
          <w:sz w:val="24"/>
          <w:szCs w:val="24"/>
        </w:rPr>
        <w:t xml:space="preserve">Effective administration of the exclusion scheme </w:t>
      </w:r>
      <w:r w:rsidR="000D7125">
        <w:rPr>
          <w:rFonts w:ascii="Arial" w:hAnsi="Arial" w:cs="Arial"/>
          <w:sz w:val="24"/>
          <w:szCs w:val="24"/>
        </w:rPr>
        <w:t>– and realisation of its harm minimisation intent – require</w:t>
      </w:r>
      <w:r w:rsidRPr="00475F2D">
        <w:rPr>
          <w:rFonts w:ascii="Arial" w:hAnsi="Arial" w:cs="Arial"/>
          <w:sz w:val="24"/>
          <w:szCs w:val="24"/>
        </w:rPr>
        <w:t xml:space="preserve">s that suitable sanctions exist to encourage compliance by gambling licensees. Without sanctions, there is a possibility that gambling licensees may defer to financial incentives to encourage continued gambling despite there being reason for a person to no longer gamble due to risk of harm. Similarly, sanctions are necessary to ensure that non-compliance of gambling licensees’ obligations carries legal consequences. </w:t>
      </w:r>
    </w:p>
    <w:p w14:paraId="07AF3E8B" w14:textId="61B7A54A" w:rsidR="00435E0B" w:rsidRDefault="00622A1F" w:rsidP="00622A1F">
      <w:pPr>
        <w:rPr>
          <w:rFonts w:ascii="Arial" w:hAnsi="Arial" w:cs="Arial"/>
          <w:iCs/>
          <w:sz w:val="24"/>
          <w:szCs w:val="24"/>
        </w:rPr>
      </w:pPr>
      <w:r w:rsidRPr="00F5492E">
        <w:rPr>
          <w:rFonts w:ascii="Arial" w:hAnsi="Arial" w:cs="Arial"/>
          <w:iCs/>
          <w:sz w:val="24"/>
          <w:szCs w:val="24"/>
        </w:rPr>
        <w:t>Strict liability offences typically arise in a regulatory context where, for reasons such as public safety and ensuring that regulatory schemes are complied with,</w:t>
      </w:r>
      <w:r w:rsidR="00675CFD">
        <w:rPr>
          <w:rFonts w:ascii="Arial" w:hAnsi="Arial" w:cs="Arial"/>
          <w:iCs/>
          <w:sz w:val="24"/>
          <w:szCs w:val="24"/>
        </w:rPr>
        <w:t xml:space="preserve"> strict compliance must be demanded</w:t>
      </w:r>
      <w:r w:rsidRPr="00F5492E">
        <w:rPr>
          <w:rFonts w:ascii="Arial" w:hAnsi="Arial" w:cs="Arial"/>
          <w:iCs/>
          <w:sz w:val="24"/>
          <w:szCs w:val="24"/>
        </w:rPr>
        <w:t xml:space="preserve">. </w:t>
      </w:r>
      <w:r w:rsidR="00435E0B">
        <w:rPr>
          <w:rFonts w:ascii="Arial" w:hAnsi="Arial" w:cs="Arial"/>
          <w:iCs/>
          <w:sz w:val="24"/>
          <w:szCs w:val="24"/>
        </w:rPr>
        <w:t>It also typically arises in cases where a</w:t>
      </w:r>
      <w:r w:rsidRPr="00F5492E">
        <w:rPr>
          <w:rFonts w:ascii="Arial" w:hAnsi="Arial" w:cs="Arial"/>
          <w:iCs/>
          <w:sz w:val="24"/>
          <w:szCs w:val="24"/>
        </w:rPr>
        <w:t xml:space="preserve"> defendant can reasonably be expected, because of their involvement with the regulated activity, to know what the requirements of the law are, and as such the mental, or fault, element can justifiably be excluded.</w:t>
      </w:r>
      <w:r w:rsidR="00606B7F">
        <w:rPr>
          <w:rFonts w:ascii="Arial" w:hAnsi="Arial" w:cs="Arial"/>
          <w:iCs/>
          <w:sz w:val="24"/>
          <w:szCs w:val="24"/>
        </w:rPr>
        <w:t xml:space="preserve"> </w:t>
      </w:r>
    </w:p>
    <w:p w14:paraId="70FBC6DE" w14:textId="2683EA15" w:rsidR="001460FA" w:rsidRDefault="00606B7F" w:rsidP="001460FA">
      <w:pPr>
        <w:rPr>
          <w:rFonts w:ascii="Arial" w:hAnsi="Arial" w:cs="Arial"/>
          <w:iCs/>
          <w:sz w:val="24"/>
          <w:szCs w:val="24"/>
        </w:rPr>
      </w:pPr>
      <w:r>
        <w:rPr>
          <w:rFonts w:ascii="Arial" w:hAnsi="Arial" w:cs="Arial"/>
          <w:iCs/>
          <w:sz w:val="24"/>
          <w:szCs w:val="24"/>
        </w:rPr>
        <w:t xml:space="preserve">Strict liability </w:t>
      </w:r>
      <w:r w:rsidR="00815BCC">
        <w:rPr>
          <w:rFonts w:ascii="Arial" w:hAnsi="Arial" w:cs="Arial"/>
          <w:iCs/>
          <w:sz w:val="24"/>
          <w:szCs w:val="24"/>
        </w:rPr>
        <w:t>applies in the Bill to</w:t>
      </w:r>
      <w:r>
        <w:rPr>
          <w:rFonts w:ascii="Arial" w:hAnsi="Arial" w:cs="Arial"/>
          <w:iCs/>
          <w:sz w:val="24"/>
          <w:szCs w:val="24"/>
        </w:rPr>
        <w:t xml:space="preserve"> </w:t>
      </w:r>
      <w:r w:rsidR="004810D7">
        <w:rPr>
          <w:rFonts w:ascii="Arial" w:hAnsi="Arial" w:cs="Arial"/>
          <w:iCs/>
          <w:sz w:val="24"/>
          <w:szCs w:val="24"/>
        </w:rPr>
        <w:t xml:space="preserve">offences which </w:t>
      </w:r>
      <w:r w:rsidR="003972B1">
        <w:rPr>
          <w:rFonts w:ascii="Arial" w:hAnsi="Arial" w:cs="Arial"/>
          <w:iCs/>
          <w:sz w:val="24"/>
          <w:szCs w:val="24"/>
        </w:rPr>
        <w:t>apply to licenc</w:t>
      </w:r>
      <w:r w:rsidR="00C02416">
        <w:rPr>
          <w:rFonts w:ascii="Arial" w:hAnsi="Arial" w:cs="Arial"/>
          <w:iCs/>
          <w:sz w:val="24"/>
          <w:szCs w:val="24"/>
        </w:rPr>
        <w:t>e</w:t>
      </w:r>
      <w:r w:rsidR="003972B1">
        <w:rPr>
          <w:rFonts w:ascii="Arial" w:hAnsi="Arial" w:cs="Arial"/>
          <w:iCs/>
          <w:sz w:val="24"/>
          <w:szCs w:val="24"/>
        </w:rPr>
        <w:t>es who should</w:t>
      </w:r>
      <w:r w:rsidR="00250228">
        <w:rPr>
          <w:rFonts w:ascii="Arial" w:hAnsi="Arial" w:cs="Arial"/>
          <w:iCs/>
          <w:sz w:val="24"/>
          <w:szCs w:val="24"/>
        </w:rPr>
        <w:t xml:space="preserve"> </w:t>
      </w:r>
      <w:r w:rsidR="003972B1">
        <w:rPr>
          <w:rFonts w:ascii="Arial" w:hAnsi="Arial" w:cs="Arial"/>
          <w:iCs/>
          <w:sz w:val="24"/>
          <w:szCs w:val="24"/>
        </w:rPr>
        <w:t>have a high degree of understanding of the regulatory framework. They also</w:t>
      </w:r>
      <w:r w:rsidR="004810D7">
        <w:rPr>
          <w:rFonts w:ascii="Arial" w:hAnsi="Arial" w:cs="Arial"/>
          <w:iCs/>
          <w:sz w:val="24"/>
          <w:szCs w:val="24"/>
        </w:rPr>
        <w:t xml:space="preserve"> </w:t>
      </w:r>
      <w:r w:rsidR="004F3EAC">
        <w:rPr>
          <w:rFonts w:ascii="Arial" w:hAnsi="Arial" w:cs="Arial"/>
          <w:iCs/>
          <w:sz w:val="24"/>
          <w:szCs w:val="24"/>
        </w:rPr>
        <w:t xml:space="preserve">relate to </w:t>
      </w:r>
      <w:r w:rsidR="005B3098">
        <w:rPr>
          <w:rFonts w:ascii="Arial" w:hAnsi="Arial" w:cs="Arial"/>
          <w:iCs/>
          <w:sz w:val="24"/>
          <w:szCs w:val="24"/>
        </w:rPr>
        <w:lastRenderedPageBreak/>
        <w:t>action or inaction which is</w:t>
      </w:r>
      <w:r w:rsidR="004810D7">
        <w:rPr>
          <w:rFonts w:ascii="Arial" w:hAnsi="Arial" w:cs="Arial"/>
          <w:iCs/>
          <w:sz w:val="24"/>
          <w:szCs w:val="24"/>
        </w:rPr>
        <w:t xml:space="preserve"> </w:t>
      </w:r>
      <w:r w:rsidR="00815BCC" w:rsidRPr="00815BCC">
        <w:rPr>
          <w:rFonts w:ascii="Arial" w:hAnsi="Arial" w:cs="Arial"/>
          <w:iCs/>
          <w:sz w:val="24"/>
          <w:szCs w:val="24"/>
        </w:rPr>
        <w:t>administrative or procedural</w:t>
      </w:r>
      <w:r w:rsidR="005B3098">
        <w:rPr>
          <w:rFonts w:ascii="Arial" w:hAnsi="Arial" w:cs="Arial"/>
          <w:iCs/>
          <w:sz w:val="24"/>
          <w:szCs w:val="24"/>
        </w:rPr>
        <w:t xml:space="preserve"> in nature</w:t>
      </w:r>
      <w:r w:rsidR="00815BCC" w:rsidRPr="00815BCC">
        <w:rPr>
          <w:rFonts w:ascii="Arial" w:hAnsi="Arial" w:cs="Arial"/>
          <w:iCs/>
          <w:sz w:val="24"/>
          <w:szCs w:val="24"/>
        </w:rPr>
        <w:t>, regarding which strict compliance must be demanded to ensure the scheme fulfills its purpose.</w:t>
      </w:r>
      <w:r w:rsidR="005B3098">
        <w:rPr>
          <w:rFonts w:ascii="Arial" w:hAnsi="Arial" w:cs="Arial"/>
          <w:iCs/>
          <w:sz w:val="24"/>
          <w:szCs w:val="24"/>
        </w:rPr>
        <w:t xml:space="preserve"> For example, </w:t>
      </w:r>
      <w:r w:rsidR="0091684E">
        <w:rPr>
          <w:rFonts w:ascii="Arial" w:hAnsi="Arial" w:cs="Arial"/>
          <w:iCs/>
          <w:sz w:val="24"/>
          <w:szCs w:val="24"/>
        </w:rPr>
        <w:t>staff of licensees can be reasonably expected to be aware of requirements and subsequent</w:t>
      </w:r>
      <w:r w:rsidR="005B3098">
        <w:rPr>
          <w:rFonts w:ascii="Arial" w:hAnsi="Arial" w:cs="Arial"/>
          <w:iCs/>
          <w:sz w:val="24"/>
          <w:szCs w:val="24"/>
        </w:rPr>
        <w:t xml:space="preserve"> offences associated with record-keeping or information sharing obligations. </w:t>
      </w:r>
      <w:r w:rsidR="00E34EED">
        <w:rPr>
          <w:rFonts w:ascii="Arial" w:hAnsi="Arial" w:cs="Arial"/>
          <w:iCs/>
          <w:sz w:val="24"/>
          <w:szCs w:val="24"/>
        </w:rPr>
        <w:t xml:space="preserve">Strict liability </w:t>
      </w:r>
      <w:r w:rsidR="00143D44">
        <w:rPr>
          <w:rFonts w:ascii="Arial" w:hAnsi="Arial" w:cs="Arial"/>
          <w:iCs/>
          <w:sz w:val="24"/>
          <w:szCs w:val="24"/>
        </w:rPr>
        <w:t>ensures that the ongoing administration of the scheme is not compromised by simple administrative oversights or failures</w:t>
      </w:r>
      <w:r w:rsidR="00B52D69">
        <w:rPr>
          <w:rFonts w:ascii="Arial" w:hAnsi="Arial" w:cs="Arial"/>
          <w:iCs/>
          <w:sz w:val="24"/>
          <w:szCs w:val="24"/>
        </w:rPr>
        <w:t>, about which staff should have a high degree of knowledge</w:t>
      </w:r>
      <w:r w:rsidR="00143D44">
        <w:rPr>
          <w:rFonts w:ascii="Arial" w:hAnsi="Arial" w:cs="Arial"/>
          <w:iCs/>
          <w:sz w:val="24"/>
          <w:szCs w:val="24"/>
        </w:rPr>
        <w:t xml:space="preserve">. </w:t>
      </w:r>
    </w:p>
    <w:p w14:paraId="53D00564" w14:textId="1F4508F0" w:rsidR="00DA1B72" w:rsidRPr="00CC4F0C" w:rsidRDefault="00F61253" w:rsidP="00DA1B72">
      <w:pPr>
        <w:rPr>
          <w:rFonts w:ascii="Arial" w:hAnsi="Arial" w:cs="Arial"/>
          <w:iCs/>
          <w:color w:val="000000" w:themeColor="text1"/>
          <w:sz w:val="24"/>
          <w:szCs w:val="24"/>
        </w:rPr>
      </w:pPr>
      <w:r w:rsidRPr="00A80BAE">
        <w:rPr>
          <w:rFonts w:ascii="Arial" w:hAnsi="Arial" w:cs="Arial"/>
          <w:iCs/>
          <w:sz w:val="24"/>
          <w:szCs w:val="24"/>
        </w:rPr>
        <w:t>Certain offences (</w:t>
      </w:r>
      <w:r w:rsidR="001A3745" w:rsidRPr="00A80BAE">
        <w:rPr>
          <w:rFonts w:ascii="Arial" w:hAnsi="Arial" w:cs="Arial"/>
          <w:iCs/>
          <w:sz w:val="24"/>
          <w:szCs w:val="24"/>
        </w:rPr>
        <w:t>sections 19A, 19B, 19J, 19O</w:t>
      </w:r>
      <w:r w:rsidRPr="00A80BAE">
        <w:rPr>
          <w:rFonts w:ascii="Arial" w:hAnsi="Arial" w:cs="Arial"/>
          <w:iCs/>
          <w:sz w:val="24"/>
          <w:szCs w:val="24"/>
        </w:rPr>
        <w:t>) provide defences that impose a</w:t>
      </w:r>
      <w:r w:rsidR="001A3745" w:rsidRPr="00A80BAE">
        <w:rPr>
          <w:rFonts w:ascii="Arial" w:hAnsi="Arial" w:cs="Arial"/>
          <w:iCs/>
          <w:sz w:val="24"/>
          <w:szCs w:val="24"/>
        </w:rPr>
        <w:t xml:space="preserve"> legal or</w:t>
      </w:r>
      <w:r w:rsidRPr="00A80BAE">
        <w:rPr>
          <w:rFonts w:ascii="Arial" w:hAnsi="Arial" w:cs="Arial"/>
          <w:iCs/>
          <w:sz w:val="24"/>
          <w:szCs w:val="24"/>
        </w:rPr>
        <w:t xml:space="preserve"> evidential burden on the defendant. To this extent, the offences limit the right to be presumed innocent in criminal proceedings. The limitation is necessary because requiring the prosecution to disprove matters that are uniquely within the defendant’s knowledge could undermine the effective operation of the offence. </w:t>
      </w:r>
      <w:r w:rsidR="00F13316" w:rsidRPr="00A80BAE">
        <w:rPr>
          <w:rFonts w:ascii="Arial" w:hAnsi="Arial" w:cs="Arial"/>
          <w:iCs/>
          <w:sz w:val="24"/>
          <w:szCs w:val="24"/>
        </w:rPr>
        <w:t>Should the prosecution be required to disprove all possible defences, even those that are irrelevant or fanciful, then prosecution of the offences would inevitably be impossible to pursue or rarely, if ever, succeed. </w:t>
      </w:r>
      <w:r w:rsidR="00DA1B72" w:rsidRPr="00CC4F0C">
        <w:rPr>
          <w:rFonts w:ascii="Arial" w:hAnsi="Arial" w:cs="Arial"/>
          <w:iCs/>
          <w:color w:val="000000" w:themeColor="text1"/>
          <w:sz w:val="24"/>
          <w:szCs w:val="24"/>
        </w:rPr>
        <w:t xml:space="preserve">Placing the evidential burden on the accused seeking to rely on the defence reinforces the regulatory expectation that licensees monitor for the risk of gambling harm and take appropriate action in response to observation of this risk. </w:t>
      </w:r>
    </w:p>
    <w:p w14:paraId="33A286AA" w14:textId="001A5AC6" w:rsidR="00DA1B72" w:rsidRDefault="00DA1B72" w:rsidP="00DA1B72">
      <w:pPr>
        <w:rPr>
          <w:rFonts w:ascii="Arial" w:hAnsi="Arial" w:cs="Arial"/>
          <w:iCs/>
          <w:sz w:val="24"/>
          <w:szCs w:val="24"/>
        </w:rPr>
      </w:pPr>
      <w:r w:rsidRPr="00FB17D9">
        <w:rPr>
          <w:rFonts w:ascii="Arial" w:hAnsi="Arial" w:cs="Arial"/>
          <w:iCs/>
          <w:sz w:val="24"/>
          <w:szCs w:val="24"/>
        </w:rPr>
        <w:t>Accordingly, the limitation of a person’s rights under s 22 of the HR</w:t>
      </w:r>
      <w:r w:rsidR="00617097">
        <w:rPr>
          <w:rFonts w:ascii="Arial" w:hAnsi="Arial" w:cs="Arial"/>
          <w:iCs/>
          <w:sz w:val="24"/>
          <w:szCs w:val="24"/>
        </w:rPr>
        <w:t>A</w:t>
      </w:r>
      <w:r>
        <w:rPr>
          <w:rFonts w:ascii="Arial" w:hAnsi="Arial" w:cs="Arial"/>
          <w:iCs/>
          <w:sz w:val="24"/>
          <w:szCs w:val="24"/>
        </w:rPr>
        <w:t xml:space="preserve"> resulting from imposing an evidential </w:t>
      </w:r>
      <w:r w:rsidR="003F6D92">
        <w:rPr>
          <w:rFonts w:ascii="Arial" w:hAnsi="Arial" w:cs="Arial"/>
          <w:iCs/>
          <w:sz w:val="24"/>
          <w:szCs w:val="24"/>
        </w:rPr>
        <w:t>or legal</w:t>
      </w:r>
      <w:r>
        <w:rPr>
          <w:rFonts w:ascii="Arial" w:hAnsi="Arial" w:cs="Arial"/>
          <w:iCs/>
          <w:sz w:val="24"/>
          <w:szCs w:val="24"/>
        </w:rPr>
        <w:t xml:space="preserve"> burden on the accused where a defence is raised</w:t>
      </w:r>
      <w:r w:rsidRPr="00FB17D9">
        <w:rPr>
          <w:rFonts w:ascii="Arial" w:hAnsi="Arial" w:cs="Arial"/>
          <w:iCs/>
          <w:sz w:val="24"/>
          <w:szCs w:val="24"/>
        </w:rPr>
        <w:t xml:space="preserve"> are necessary to ensure that appropriate regulatory action can be taken</w:t>
      </w:r>
      <w:r>
        <w:rPr>
          <w:rFonts w:ascii="Arial" w:hAnsi="Arial" w:cs="Arial"/>
          <w:iCs/>
          <w:sz w:val="24"/>
          <w:szCs w:val="24"/>
        </w:rPr>
        <w:t>.</w:t>
      </w:r>
    </w:p>
    <w:p w14:paraId="57CF0FFE" w14:textId="0EAE163F" w:rsidR="001851C7" w:rsidRPr="00362096" w:rsidRDefault="00281C46" w:rsidP="00593E49">
      <w:pPr>
        <w:pStyle w:val="ListParagraph"/>
        <w:numPr>
          <w:ilvl w:val="0"/>
          <w:numId w:val="6"/>
        </w:numPr>
        <w:spacing w:after="120"/>
        <w:ind w:left="357" w:hanging="357"/>
        <w:rPr>
          <w:rFonts w:ascii="Arial" w:hAnsi="Arial" w:cs="Arial"/>
          <w:sz w:val="24"/>
          <w:szCs w:val="24"/>
        </w:rPr>
      </w:pPr>
      <w:r w:rsidRPr="00414921">
        <w:rPr>
          <w:rFonts w:ascii="Arial" w:hAnsi="Arial" w:cs="Arial"/>
          <w:b/>
          <w:bCs/>
          <w:i/>
          <w:sz w:val="24"/>
          <w:szCs w:val="24"/>
        </w:rPr>
        <w:t>Proportionality (s28 (e))</w:t>
      </w:r>
    </w:p>
    <w:p w14:paraId="1F232B46" w14:textId="58B7DAEC" w:rsidR="00095A7F" w:rsidRPr="00A80BAE" w:rsidRDefault="00095A7F" w:rsidP="001851C7">
      <w:pPr>
        <w:rPr>
          <w:rFonts w:ascii="Arial" w:hAnsi="Arial" w:cs="Arial"/>
          <w:iCs/>
          <w:sz w:val="24"/>
          <w:szCs w:val="24"/>
        </w:rPr>
      </w:pPr>
      <w:r w:rsidRPr="00A80BAE">
        <w:rPr>
          <w:rFonts w:ascii="Arial" w:hAnsi="Arial" w:cs="Arial"/>
          <w:iCs/>
          <w:sz w:val="24"/>
          <w:szCs w:val="24"/>
        </w:rPr>
        <w:t>The limitation on rights in criminal proceedings is considered proportionate to the legitimate purpose, given the need to regulate and prevent gambling-related harm. The table below outlines why the limitation is reasonable in relation to each provision</w:t>
      </w:r>
    </w:p>
    <w:tbl>
      <w:tblPr>
        <w:tblStyle w:val="TableGrid"/>
        <w:tblW w:w="9209" w:type="dxa"/>
        <w:tblLook w:val="04A0" w:firstRow="1" w:lastRow="0" w:firstColumn="1" w:lastColumn="0" w:noHBand="0" w:noVBand="1"/>
      </w:tblPr>
      <w:tblGrid>
        <w:gridCol w:w="1980"/>
        <w:gridCol w:w="7229"/>
      </w:tblGrid>
      <w:tr w:rsidR="00281C46" w:rsidRPr="00913ABF" w14:paraId="5934F12C" w14:textId="77777777" w:rsidTr="00F37EB9">
        <w:trPr>
          <w:cantSplit/>
          <w:trHeight w:val="20"/>
          <w:tblHeader/>
        </w:trPr>
        <w:tc>
          <w:tcPr>
            <w:tcW w:w="1980" w:type="dxa"/>
          </w:tcPr>
          <w:p w14:paraId="41ABEC9E" w14:textId="0C93530E" w:rsidR="00281C46" w:rsidRPr="00333711" w:rsidRDefault="00281C46" w:rsidP="00EC4175">
            <w:pPr>
              <w:spacing w:after="0" w:line="280" w:lineRule="atLeast"/>
              <w:rPr>
                <w:rFonts w:ascii="Arial" w:hAnsi="Arial" w:cs="Arial"/>
                <w:b/>
                <w:bCs/>
                <w:sz w:val="24"/>
                <w:szCs w:val="24"/>
              </w:rPr>
            </w:pPr>
            <w:r w:rsidRPr="00333711">
              <w:rPr>
                <w:rFonts w:ascii="Arial" w:hAnsi="Arial" w:cs="Arial"/>
                <w:b/>
                <w:bCs/>
                <w:sz w:val="24"/>
                <w:szCs w:val="24"/>
              </w:rPr>
              <w:t>Section</w:t>
            </w:r>
          </w:p>
          <w:p w14:paraId="7BA14E06" w14:textId="77777777" w:rsidR="00281C46" w:rsidRPr="00333711" w:rsidRDefault="00281C46" w:rsidP="00EC4175">
            <w:pPr>
              <w:spacing w:after="0" w:line="280" w:lineRule="atLeast"/>
              <w:rPr>
                <w:rFonts w:ascii="Arial" w:hAnsi="Arial" w:cs="Arial"/>
                <w:b/>
                <w:bCs/>
                <w:sz w:val="24"/>
                <w:szCs w:val="24"/>
              </w:rPr>
            </w:pPr>
          </w:p>
        </w:tc>
        <w:tc>
          <w:tcPr>
            <w:tcW w:w="7229" w:type="dxa"/>
          </w:tcPr>
          <w:p w14:paraId="3566615D" w14:textId="0AE5F54A" w:rsidR="00281C46" w:rsidRDefault="00E72370" w:rsidP="00EC4175">
            <w:pPr>
              <w:spacing w:after="0" w:line="280" w:lineRule="atLeast"/>
              <w:rPr>
                <w:rFonts w:ascii="Arial" w:hAnsi="Arial" w:cs="Arial"/>
                <w:b/>
                <w:bCs/>
                <w:sz w:val="24"/>
                <w:szCs w:val="24"/>
              </w:rPr>
            </w:pPr>
            <w:r>
              <w:rPr>
                <w:rFonts w:ascii="Arial" w:hAnsi="Arial" w:cs="Arial"/>
                <w:b/>
                <w:bCs/>
                <w:sz w:val="24"/>
                <w:szCs w:val="24"/>
              </w:rPr>
              <w:t>Proportionality</w:t>
            </w:r>
          </w:p>
          <w:p w14:paraId="3A057BCC" w14:textId="77777777" w:rsidR="0089084B" w:rsidRPr="00D83E59" w:rsidRDefault="0089084B" w:rsidP="00EC4175">
            <w:pPr>
              <w:spacing w:after="0" w:line="280" w:lineRule="atLeast"/>
              <w:rPr>
                <w:rFonts w:ascii="Arial" w:hAnsi="Arial" w:cs="Arial"/>
                <w:sz w:val="24"/>
                <w:szCs w:val="24"/>
              </w:rPr>
            </w:pPr>
          </w:p>
          <w:p w14:paraId="2B48B0B8" w14:textId="77777777" w:rsidR="0089084B" w:rsidRDefault="0089084B" w:rsidP="00EC4175">
            <w:pPr>
              <w:spacing w:after="0" w:line="280" w:lineRule="atLeast"/>
              <w:rPr>
                <w:rFonts w:ascii="Arial" w:hAnsi="Arial" w:cs="Arial"/>
                <w:i/>
                <w:iCs/>
                <w:sz w:val="24"/>
                <w:szCs w:val="24"/>
              </w:rPr>
            </w:pPr>
            <w:r>
              <w:rPr>
                <w:rFonts w:ascii="Arial" w:hAnsi="Arial" w:cs="Arial"/>
                <w:i/>
                <w:iCs/>
                <w:sz w:val="24"/>
                <w:szCs w:val="24"/>
              </w:rPr>
              <w:t>Reason why the limitation is reasonable</w:t>
            </w:r>
          </w:p>
          <w:p w14:paraId="763B3A35" w14:textId="45B60E11" w:rsidR="0089084B" w:rsidRPr="00D83E59" w:rsidRDefault="0089084B" w:rsidP="00EC4175">
            <w:pPr>
              <w:spacing w:after="0" w:line="280" w:lineRule="atLeast"/>
              <w:rPr>
                <w:rFonts w:ascii="Arial" w:hAnsi="Arial" w:cs="Arial"/>
                <w:i/>
                <w:iCs/>
                <w:sz w:val="24"/>
                <w:szCs w:val="24"/>
              </w:rPr>
            </w:pPr>
          </w:p>
        </w:tc>
      </w:tr>
      <w:tr w:rsidR="00DB28E5" w:rsidRPr="00913ABF" w14:paraId="6852795F" w14:textId="77777777" w:rsidTr="00F37EB9">
        <w:trPr>
          <w:cantSplit/>
          <w:trHeight w:val="993"/>
        </w:trPr>
        <w:tc>
          <w:tcPr>
            <w:tcW w:w="1980" w:type="dxa"/>
          </w:tcPr>
          <w:p w14:paraId="1E310750" w14:textId="77777777" w:rsidR="00DB28E5" w:rsidRDefault="00DB28E5" w:rsidP="00DB28E5">
            <w:pPr>
              <w:tabs>
                <w:tab w:val="left" w:pos="284"/>
              </w:tabs>
              <w:spacing w:after="0" w:line="280" w:lineRule="atLeast"/>
              <w:ind w:left="284" w:hanging="284"/>
              <w:rPr>
                <w:rFonts w:ascii="Arial" w:hAnsi="Arial" w:cs="Arial"/>
                <w:sz w:val="24"/>
                <w:szCs w:val="24"/>
              </w:rPr>
            </w:pPr>
            <w:r>
              <w:rPr>
                <w:rFonts w:ascii="Arial" w:hAnsi="Arial" w:cs="Arial"/>
                <w:sz w:val="24"/>
                <w:szCs w:val="24"/>
              </w:rPr>
              <w:t xml:space="preserve">Section 19A </w:t>
            </w:r>
          </w:p>
          <w:p w14:paraId="59F253E4" w14:textId="77777777" w:rsidR="00DB28E5" w:rsidRDefault="00DB28E5" w:rsidP="00DB28E5">
            <w:pPr>
              <w:tabs>
                <w:tab w:val="left" w:pos="284"/>
              </w:tabs>
              <w:spacing w:after="0" w:line="280" w:lineRule="atLeast"/>
              <w:ind w:left="284" w:hanging="284"/>
              <w:rPr>
                <w:rFonts w:ascii="Arial" w:hAnsi="Arial" w:cs="Arial"/>
                <w:sz w:val="24"/>
                <w:szCs w:val="24"/>
              </w:rPr>
            </w:pPr>
          </w:p>
          <w:p w14:paraId="39EE63A6" w14:textId="408924C6" w:rsidR="00DB28E5" w:rsidRPr="00A81EEA" w:rsidRDefault="00DB28E5" w:rsidP="00DB28E5">
            <w:pPr>
              <w:tabs>
                <w:tab w:val="left" w:pos="284"/>
              </w:tabs>
              <w:spacing w:after="0" w:line="280" w:lineRule="atLeast"/>
              <w:ind w:left="284" w:hanging="284"/>
              <w:rPr>
                <w:rFonts w:ascii="Arial" w:hAnsi="Arial" w:cs="Arial"/>
                <w:sz w:val="24"/>
                <w:szCs w:val="24"/>
              </w:rPr>
            </w:pPr>
            <w:r>
              <w:rPr>
                <w:rFonts w:ascii="Arial" w:hAnsi="Arial" w:cs="Arial"/>
                <w:sz w:val="24"/>
                <w:szCs w:val="24"/>
              </w:rPr>
              <w:t>Licensees must monitor risk of gambling harm</w:t>
            </w:r>
          </w:p>
        </w:tc>
        <w:tc>
          <w:tcPr>
            <w:tcW w:w="7229" w:type="dxa"/>
          </w:tcPr>
          <w:p w14:paraId="0971A84E" w14:textId="6FB877B2" w:rsidR="00DB28E5" w:rsidRDefault="00DB28E5" w:rsidP="00DB28E5">
            <w:pPr>
              <w:spacing w:after="0" w:line="280" w:lineRule="atLeast"/>
              <w:rPr>
                <w:rFonts w:ascii="Arial" w:hAnsi="Arial" w:cs="Arial"/>
                <w:sz w:val="24"/>
                <w:szCs w:val="24"/>
              </w:rPr>
            </w:pPr>
            <w:r>
              <w:rPr>
                <w:rFonts w:ascii="Arial" w:hAnsi="Arial" w:cs="Arial"/>
                <w:sz w:val="24"/>
                <w:szCs w:val="24"/>
              </w:rPr>
              <w:t xml:space="preserve">Proactive monitoring for risk is key to delivering gambling harm minimisation through a risk-responsive early intervention ethos where risks of harm are addressed before harm and problems eventuate. </w:t>
            </w:r>
            <w:r w:rsidR="00906248">
              <w:rPr>
                <w:rFonts w:ascii="Arial" w:hAnsi="Arial" w:cs="Arial"/>
                <w:sz w:val="24"/>
                <w:szCs w:val="24"/>
              </w:rPr>
              <w:t xml:space="preserve">The </w:t>
            </w:r>
            <w:r w:rsidR="008D2B8C">
              <w:rPr>
                <w:rFonts w:ascii="Arial" w:hAnsi="Arial" w:cs="Arial"/>
                <w:sz w:val="24"/>
                <w:szCs w:val="24"/>
              </w:rPr>
              <w:t>revers</w:t>
            </w:r>
            <w:r w:rsidR="002145FB">
              <w:rPr>
                <w:rFonts w:ascii="Arial" w:hAnsi="Arial" w:cs="Arial"/>
                <w:sz w:val="24"/>
                <w:szCs w:val="24"/>
              </w:rPr>
              <w:t>e</w:t>
            </w:r>
            <w:r w:rsidR="008D2B8C">
              <w:rPr>
                <w:rFonts w:ascii="Arial" w:hAnsi="Arial" w:cs="Arial"/>
                <w:sz w:val="24"/>
                <w:szCs w:val="24"/>
              </w:rPr>
              <w:t xml:space="preserve"> legal burden for the</w:t>
            </w:r>
            <w:r w:rsidR="00906248">
              <w:rPr>
                <w:rFonts w:ascii="Arial" w:hAnsi="Arial" w:cs="Arial"/>
                <w:sz w:val="24"/>
                <w:szCs w:val="24"/>
              </w:rPr>
              <w:t xml:space="preserve"> </w:t>
            </w:r>
            <w:r w:rsidR="00050A31">
              <w:rPr>
                <w:rFonts w:ascii="Arial" w:hAnsi="Arial" w:cs="Arial"/>
                <w:sz w:val="24"/>
                <w:szCs w:val="24"/>
              </w:rPr>
              <w:t>defence that the</w:t>
            </w:r>
            <w:r w:rsidR="002145FB">
              <w:rPr>
                <w:rFonts w:ascii="Arial" w:hAnsi="Arial" w:cs="Arial"/>
                <w:sz w:val="24"/>
                <w:szCs w:val="24"/>
              </w:rPr>
              <w:t xml:space="preserve"> licensee took reasonable steps is necessary to facilitate effective prosecution of this offence given that whether the defendant took reasonable steps to monitor risk of gambling harm is uniquely within the knowledge of the defendant.</w:t>
            </w:r>
          </w:p>
        </w:tc>
      </w:tr>
      <w:tr w:rsidR="00DB28E5" w:rsidRPr="00913ABF" w14:paraId="50CE0A4B" w14:textId="77777777" w:rsidTr="00F37EB9">
        <w:trPr>
          <w:cantSplit/>
          <w:trHeight w:val="993"/>
        </w:trPr>
        <w:tc>
          <w:tcPr>
            <w:tcW w:w="1980" w:type="dxa"/>
          </w:tcPr>
          <w:p w14:paraId="110C0733" w14:textId="77777777" w:rsidR="00DB28E5" w:rsidRDefault="00DB28E5" w:rsidP="00DB28E5">
            <w:pPr>
              <w:tabs>
                <w:tab w:val="left" w:pos="284"/>
              </w:tabs>
              <w:spacing w:after="0" w:line="280" w:lineRule="atLeast"/>
              <w:ind w:left="284" w:hanging="284"/>
              <w:rPr>
                <w:rFonts w:ascii="Arial" w:hAnsi="Arial" w:cs="Arial"/>
                <w:sz w:val="24"/>
                <w:szCs w:val="24"/>
              </w:rPr>
            </w:pPr>
            <w:r>
              <w:rPr>
                <w:rFonts w:ascii="Arial" w:hAnsi="Arial" w:cs="Arial"/>
                <w:sz w:val="24"/>
                <w:szCs w:val="24"/>
              </w:rPr>
              <w:lastRenderedPageBreak/>
              <w:t>Section 19B</w:t>
            </w:r>
          </w:p>
          <w:p w14:paraId="157CDB4A" w14:textId="77777777" w:rsidR="00DB28E5" w:rsidRDefault="00DB28E5" w:rsidP="00DB28E5">
            <w:pPr>
              <w:tabs>
                <w:tab w:val="left" w:pos="284"/>
              </w:tabs>
              <w:spacing w:after="0" w:line="280" w:lineRule="atLeast"/>
              <w:ind w:left="284" w:hanging="284"/>
              <w:rPr>
                <w:rFonts w:ascii="Arial" w:hAnsi="Arial" w:cs="Arial"/>
                <w:sz w:val="24"/>
                <w:szCs w:val="24"/>
              </w:rPr>
            </w:pPr>
          </w:p>
          <w:p w14:paraId="4C855745" w14:textId="71F55C5A" w:rsidR="00DB28E5" w:rsidRPr="00A81EEA" w:rsidRDefault="00DB28E5" w:rsidP="00DB28E5">
            <w:pPr>
              <w:tabs>
                <w:tab w:val="left" w:pos="284"/>
              </w:tabs>
              <w:spacing w:after="0" w:line="280" w:lineRule="atLeast"/>
              <w:ind w:left="284" w:hanging="284"/>
              <w:rPr>
                <w:rFonts w:ascii="Arial" w:hAnsi="Arial" w:cs="Arial"/>
                <w:sz w:val="24"/>
                <w:szCs w:val="24"/>
              </w:rPr>
            </w:pPr>
            <w:r>
              <w:rPr>
                <w:rFonts w:ascii="Arial" w:hAnsi="Arial" w:cs="Arial"/>
                <w:sz w:val="24"/>
                <w:szCs w:val="24"/>
              </w:rPr>
              <w:t>Licensees must take action to reduce risk of gambling harm</w:t>
            </w:r>
          </w:p>
        </w:tc>
        <w:tc>
          <w:tcPr>
            <w:tcW w:w="7229" w:type="dxa"/>
          </w:tcPr>
          <w:p w14:paraId="3271BF8B" w14:textId="056918F1" w:rsidR="00DB28E5" w:rsidRDefault="00B60776" w:rsidP="00DB28E5">
            <w:pPr>
              <w:spacing w:after="0" w:line="280" w:lineRule="atLeast"/>
              <w:rPr>
                <w:rFonts w:ascii="Arial" w:hAnsi="Arial" w:cs="Arial"/>
                <w:sz w:val="24"/>
                <w:szCs w:val="24"/>
              </w:rPr>
            </w:pPr>
            <w:r>
              <w:rPr>
                <w:rFonts w:ascii="Arial" w:hAnsi="Arial" w:cs="Arial"/>
                <w:sz w:val="24"/>
                <w:szCs w:val="24"/>
              </w:rPr>
              <w:t>P</w:t>
            </w:r>
            <w:r w:rsidR="00DB28E5">
              <w:rPr>
                <w:rFonts w:ascii="Arial" w:hAnsi="Arial" w:cs="Arial"/>
                <w:sz w:val="24"/>
                <w:szCs w:val="24"/>
              </w:rPr>
              <w:t xml:space="preserve">roactive </w:t>
            </w:r>
            <w:r>
              <w:rPr>
                <w:rFonts w:ascii="Arial" w:hAnsi="Arial" w:cs="Arial"/>
                <w:sz w:val="24"/>
                <w:szCs w:val="24"/>
              </w:rPr>
              <w:t xml:space="preserve">efforts to </w:t>
            </w:r>
            <w:r w:rsidR="00DB28E5">
              <w:rPr>
                <w:rFonts w:ascii="Arial" w:hAnsi="Arial" w:cs="Arial"/>
                <w:sz w:val="24"/>
                <w:szCs w:val="24"/>
              </w:rPr>
              <w:t>reduc</w:t>
            </w:r>
            <w:r>
              <w:rPr>
                <w:rFonts w:ascii="Arial" w:hAnsi="Arial" w:cs="Arial"/>
                <w:sz w:val="24"/>
                <w:szCs w:val="24"/>
              </w:rPr>
              <w:t xml:space="preserve">e </w:t>
            </w:r>
            <w:r w:rsidR="00DB28E5">
              <w:rPr>
                <w:rFonts w:ascii="Arial" w:hAnsi="Arial" w:cs="Arial"/>
                <w:sz w:val="24"/>
                <w:szCs w:val="24"/>
              </w:rPr>
              <w:t>the risk of gambling harm</w:t>
            </w:r>
            <w:r>
              <w:rPr>
                <w:rFonts w:ascii="Arial" w:hAnsi="Arial" w:cs="Arial"/>
                <w:sz w:val="24"/>
                <w:szCs w:val="24"/>
              </w:rPr>
              <w:t xml:space="preserve"> is key to delivering gambling harm minimisation through a risk-responsive early intervention ethos where risks of harm are addressed before harm and problems eventuate. The reverse legal burden for the defence that the licensee took reasonable steps is necessary to facilitate effective prosecution of this offence given that whether the defendant took reasonable steps to </w:t>
            </w:r>
            <w:r w:rsidR="00A629E1">
              <w:rPr>
                <w:rFonts w:ascii="Arial" w:hAnsi="Arial" w:cs="Arial"/>
                <w:sz w:val="24"/>
                <w:szCs w:val="24"/>
              </w:rPr>
              <w:t>reduce</w:t>
            </w:r>
            <w:r>
              <w:rPr>
                <w:rFonts w:ascii="Arial" w:hAnsi="Arial" w:cs="Arial"/>
                <w:sz w:val="24"/>
                <w:szCs w:val="24"/>
              </w:rPr>
              <w:t xml:space="preserve"> risk of gambling harm is uniquely within the knowledge of the defendant.</w:t>
            </w:r>
            <w:r w:rsidR="00DB28E5">
              <w:rPr>
                <w:rFonts w:ascii="Arial" w:hAnsi="Arial" w:cs="Arial"/>
                <w:sz w:val="24"/>
                <w:szCs w:val="24"/>
              </w:rPr>
              <w:t xml:space="preserve"> </w:t>
            </w:r>
          </w:p>
        </w:tc>
      </w:tr>
      <w:tr w:rsidR="005974E1" w:rsidRPr="00913ABF" w14:paraId="6EFE8011" w14:textId="77777777" w:rsidTr="00F37EB9">
        <w:trPr>
          <w:cantSplit/>
          <w:trHeight w:val="993"/>
        </w:trPr>
        <w:tc>
          <w:tcPr>
            <w:tcW w:w="1980" w:type="dxa"/>
          </w:tcPr>
          <w:p w14:paraId="3627C442" w14:textId="566CC59D" w:rsidR="0061121E" w:rsidRPr="00A81EEA" w:rsidRDefault="0061121E" w:rsidP="0061121E">
            <w:pPr>
              <w:tabs>
                <w:tab w:val="left" w:pos="284"/>
              </w:tabs>
              <w:spacing w:after="0" w:line="280" w:lineRule="atLeast"/>
              <w:ind w:left="284" w:hanging="284"/>
              <w:rPr>
                <w:rFonts w:ascii="Arial" w:hAnsi="Arial" w:cs="Arial"/>
                <w:sz w:val="24"/>
                <w:szCs w:val="24"/>
              </w:rPr>
            </w:pPr>
            <w:r w:rsidRPr="00A81EEA">
              <w:rPr>
                <w:rFonts w:ascii="Arial" w:hAnsi="Arial" w:cs="Arial"/>
                <w:sz w:val="24"/>
                <w:szCs w:val="24"/>
              </w:rPr>
              <w:t xml:space="preserve"> Section 1</w:t>
            </w:r>
            <w:r>
              <w:rPr>
                <w:rFonts w:ascii="Arial" w:hAnsi="Arial" w:cs="Arial"/>
                <w:sz w:val="24"/>
                <w:szCs w:val="24"/>
              </w:rPr>
              <w:t>9D</w:t>
            </w:r>
          </w:p>
          <w:p w14:paraId="2EA0F125" w14:textId="77777777" w:rsidR="0061121E" w:rsidRPr="00A81EEA" w:rsidRDefault="0061121E" w:rsidP="0061121E">
            <w:pPr>
              <w:tabs>
                <w:tab w:val="left" w:pos="284"/>
              </w:tabs>
              <w:spacing w:after="0" w:line="280" w:lineRule="atLeast"/>
              <w:ind w:left="284" w:hanging="284"/>
              <w:rPr>
                <w:rFonts w:ascii="Arial" w:hAnsi="Arial" w:cs="Arial"/>
                <w:sz w:val="24"/>
                <w:szCs w:val="24"/>
              </w:rPr>
            </w:pPr>
          </w:p>
          <w:p w14:paraId="6F4FD1C2" w14:textId="77777777" w:rsidR="0061121E" w:rsidRPr="00A81EEA" w:rsidRDefault="0061121E" w:rsidP="0061121E">
            <w:pPr>
              <w:spacing w:after="0" w:line="280" w:lineRule="atLeast"/>
              <w:rPr>
                <w:rFonts w:ascii="Arial" w:hAnsi="Arial" w:cs="Arial"/>
                <w:sz w:val="24"/>
                <w:szCs w:val="24"/>
              </w:rPr>
            </w:pPr>
            <w:r>
              <w:rPr>
                <w:rFonts w:ascii="Arial" w:hAnsi="Arial" w:cs="Arial"/>
                <w:sz w:val="24"/>
                <w:szCs w:val="24"/>
              </w:rPr>
              <w:t>Offences – licensees not entering records in gambling harm risk register</w:t>
            </w:r>
          </w:p>
          <w:p w14:paraId="1DE2AD4E" w14:textId="642EFDF4" w:rsidR="005974E1" w:rsidRPr="00333711" w:rsidRDefault="005974E1" w:rsidP="005974E1">
            <w:pPr>
              <w:spacing w:after="0" w:line="280" w:lineRule="atLeast"/>
              <w:rPr>
                <w:rFonts w:ascii="Arial" w:hAnsi="Arial" w:cs="Arial"/>
                <w:sz w:val="24"/>
                <w:szCs w:val="24"/>
              </w:rPr>
            </w:pPr>
          </w:p>
        </w:tc>
        <w:tc>
          <w:tcPr>
            <w:tcW w:w="7229" w:type="dxa"/>
          </w:tcPr>
          <w:p w14:paraId="75378BE3" w14:textId="7B9F2E53" w:rsidR="005974E1" w:rsidRPr="00A648AB" w:rsidRDefault="005974E1" w:rsidP="005974E1">
            <w:pPr>
              <w:spacing w:after="0" w:line="280" w:lineRule="atLeast"/>
              <w:rPr>
                <w:rFonts w:ascii="Arial" w:hAnsi="Arial" w:cs="Arial"/>
                <w:iCs/>
                <w:sz w:val="24"/>
                <w:szCs w:val="24"/>
              </w:rPr>
            </w:pPr>
            <w:r>
              <w:rPr>
                <w:rFonts w:ascii="Arial" w:hAnsi="Arial" w:cs="Arial"/>
                <w:sz w:val="24"/>
                <w:szCs w:val="24"/>
              </w:rPr>
              <w:t xml:space="preserve">The licensee can be </w:t>
            </w:r>
            <w:r w:rsidRPr="00AF7A62">
              <w:rPr>
                <w:rFonts w:ascii="Arial" w:hAnsi="Arial" w:cs="Arial"/>
                <w:iCs/>
                <w:sz w:val="24"/>
                <w:szCs w:val="24"/>
              </w:rPr>
              <w:t>expected to have a high degree of awareness and understand</w:t>
            </w:r>
            <w:r>
              <w:rPr>
                <w:rFonts w:ascii="Arial" w:hAnsi="Arial" w:cs="Arial"/>
                <w:iCs/>
                <w:sz w:val="24"/>
                <w:szCs w:val="24"/>
              </w:rPr>
              <w:t>ing</w:t>
            </w:r>
            <w:r w:rsidRPr="00AF7A62">
              <w:rPr>
                <w:rFonts w:ascii="Arial" w:hAnsi="Arial" w:cs="Arial"/>
                <w:iCs/>
                <w:sz w:val="24"/>
                <w:szCs w:val="24"/>
              </w:rPr>
              <w:t xml:space="preserve"> of the</w:t>
            </w:r>
            <w:r>
              <w:rPr>
                <w:rFonts w:ascii="Arial" w:hAnsi="Arial" w:cs="Arial"/>
                <w:iCs/>
                <w:sz w:val="24"/>
                <w:szCs w:val="24"/>
              </w:rPr>
              <w:t xml:space="preserve"> gambling harm framework </w:t>
            </w:r>
            <w:r w:rsidRPr="00F5492E">
              <w:rPr>
                <w:rFonts w:ascii="Arial" w:hAnsi="Arial" w:cs="Arial"/>
                <w:iCs/>
                <w:sz w:val="24"/>
                <w:szCs w:val="24"/>
              </w:rPr>
              <w:t>because of their involvement with the regulated activity</w:t>
            </w:r>
            <w:r>
              <w:rPr>
                <w:rFonts w:ascii="Arial" w:hAnsi="Arial" w:cs="Arial"/>
                <w:iCs/>
                <w:sz w:val="24"/>
                <w:szCs w:val="24"/>
              </w:rPr>
              <w:t xml:space="preserve">. Therefore, the licensee can be </w:t>
            </w:r>
            <w:r w:rsidRPr="00AF7A62">
              <w:rPr>
                <w:rFonts w:ascii="Arial" w:hAnsi="Arial" w:cs="Arial"/>
                <w:iCs/>
                <w:sz w:val="24"/>
                <w:szCs w:val="24"/>
              </w:rPr>
              <w:t>reasonably expected to know what the </w:t>
            </w:r>
            <w:r>
              <w:rPr>
                <w:rFonts w:ascii="Arial" w:hAnsi="Arial" w:cs="Arial"/>
                <w:iCs/>
                <w:sz w:val="24"/>
                <w:szCs w:val="24"/>
              </w:rPr>
              <w:t xml:space="preserve">record keeping </w:t>
            </w:r>
            <w:r w:rsidRPr="00AF7A62">
              <w:rPr>
                <w:rFonts w:ascii="Arial" w:hAnsi="Arial" w:cs="Arial"/>
                <w:iCs/>
                <w:sz w:val="24"/>
                <w:szCs w:val="24"/>
              </w:rPr>
              <w:t>requirements</w:t>
            </w:r>
            <w:r>
              <w:rPr>
                <w:rFonts w:ascii="Arial" w:hAnsi="Arial" w:cs="Arial"/>
                <w:iCs/>
                <w:sz w:val="24"/>
                <w:szCs w:val="24"/>
              </w:rPr>
              <w:t xml:space="preserve"> are</w:t>
            </w:r>
            <w:r w:rsidRPr="00AF7A62">
              <w:rPr>
                <w:rFonts w:ascii="Arial" w:hAnsi="Arial" w:cs="Arial"/>
                <w:iCs/>
                <w:sz w:val="24"/>
                <w:szCs w:val="24"/>
              </w:rPr>
              <w:t>, and therefore the fault element can justifiably be excluded.</w:t>
            </w:r>
            <w:r w:rsidR="00646B27">
              <w:rPr>
                <w:rFonts w:ascii="Arial" w:hAnsi="Arial" w:cs="Arial"/>
                <w:iCs/>
                <w:sz w:val="24"/>
                <w:szCs w:val="24"/>
              </w:rPr>
              <w:t xml:space="preserve"> Strict compliance with</w:t>
            </w:r>
            <w:r w:rsidR="00680846">
              <w:rPr>
                <w:rFonts w:ascii="Arial" w:hAnsi="Arial" w:cs="Arial"/>
                <w:iCs/>
                <w:sz w:val="24"/>
                <w:szCs w:val="24"/>
              </w:rPr>
              <w:t xml:space="preserve"> the obligations to </w:t>
            </w:r>
            <w:r w:rsidR="00646B27">
              <w:rPr>
                <w:rFonts w:ascii="Arial" w:hAnsi="Arial" w:cs="Arial"/>
                <w:iCs/>
                <w:sz w:val="24"/>
                <w:szCs w:val="24"/>
              </w:rPr>
              <w:t xml:space="preserve">record gambling harm risk </w:t>
            </w:r>
            <w:r w:rsidR="00EF4A38">
              <w:rPr>
                <w:rFonts w:ascii="Arial" w:hAnsi="Arial" w:cs="Arial"/>
                <w:iCs/>
                <w:sz w:val="24"/>
                <w:szCs w:val="24"/>
              </w:rPr>
              <w:t>is also inherent to the exclusion scheme’s capacity to realise its harm minimisation intent</w:t>
            </w:r>
            <w:r w:rsidR="00680846">
              <w:rPr>
                <w:rFonts w:ascii="Arial" w:hAnsi="Arial" w:cs="Arial"/>
                <w:iCs/>
                <w:sz w:val="24"/>
                <w:szCs w:val="24"/>
              </w:rPr>
              <w:t xml:space="preserve">. </w:t>
            </w:r>
          </w:p>
        </w:tc>
      </w:tr>
      <w:tr w:rsidR="005974E1" w:rsidRPr="00913ABF" w14:paraId="7C33B57F" w14:textId="77777777" w:rsidTr="00F37EB9">
        <w:trPr>
          <w:cantSplit/>
          <w:trHeight w:val="993"/>
        </w:trPr>
        <w:tc>
          <w:tcPr>
            <w:tcW w:w="1980" w:type="dxa"/>
          </w:tcPr>
          <w:p w14:paraId="7244B4CB" w14:textId="056B02C9" w:rsidR="005974E1" w:rsidRDefault="005974E1" w:rsidP="005974E1">
            <w:pPr>
              <w:tabs>
                <w:tab w:val="left" w:pos="284"/>
              </w:tabs>
              <w:spacing w:after="0" w:line="280" w:lineRule="atLeast"/>
              <w:rPr>
                <w:rFonts w:ascii="Arial" w:hAnsi="Arial" w:cs="Arial"/>
                <w:sz w:val="24"/>
                <w:szCs w:val="24"/>
              </w:rPr>
            </w:pPr>
            <w:r w:rsidRPr="00A81EEA">
              <w:rPr>
                <w:rFonts w:ascii="Arial" w:hAnsi="Arial" w:cs="Arial"/>
                <w:sz w:val="24"/>
                <w:szCs w:val="24"/>
              </w:rPr>
              <w:t xml:space="preserve">Section </w:t>
            </w:r>
            <w:r w:rsidR="00DB28E5" w:rsidRPr="00A81EEA">
              <w:rPr>
                <w:rFonts w:ascii="Arial" w:hAnsi="Arial" w:cs="Arial"/>
                <w:sz w:val="24"/>
                <w:szCs w:val="24"/>
              </w:rPr>
              <w:t>1</w:t>
            </w:r>
            <w:r w:rsidR="00DB28E5">
              <w:rPr>
                <w:rFonts w:ascii="Arial" w:hAnsi="Arial" w:cs="Arial"/>
                <w:sz w:val="24"/>
                <w:szCs w:val="24"/>
              </w:rPr>
              <w:t>9</w:t>
            </w:r>
            <w:r w:rsidR="0061121E">
              <w:rPr>
                <w:rFonts w:ascii="Arial" w:hAnsi="Arial" w:cs="Arial"/>
                <w:sz w:val="24"/>
                <w:szCs w:val="24"/>
              </w:rPr>
              <w:t>E</w:t>
            </w:r>
          </w:p>
          <w:p w14:paraId="50D8B37A" w14:textId="77777777" w:rsidR="005974E1" w:rsidRDefault="005974E1" w:rsidP="005974E1">
            <w:pPr>
              <w:tabs>
                <w:tab w:val="left" w:pos="284"/>
              </w:tabs>
              <w:spacing w:after="0" w:line="280" w:lineRule="atLeast"/>
              <w:rPr>
                <w:rFonts w:ascii="Arial" w:hAnsi="Arial" w:cs="Arial"/>
                <w:sz w:val="24"/>
                <w:szCs w:val="24"/>
              </w:rPr>
            </w:pPr>
          </w:p>
          <w:p w14:paraId="246A202C" w14:textId="77777777" w:rsidR="005974E1" w:rsidRPr="00A81EEA" w:rsidRDefault="005974E1" w:rsidP="005974E1">
            <w:pPr>
              <w:tabs>
                <w:tab w:val="left" w:pos="284"/>
              </w:tabs>
              <w:spacing w:after="0" w:line="280" w:lineRule="atLeast"/>
              <w:rPr>
                <w:rFonts w:ascii="Arial" w:hAnsi="Arial" w:cs="Arial"/>
                <w:sz w:val="24"/>
                <w:szCs w:val="24"/>
              </w:rPr>
            </w:pPr>
            <w:r w:rsidRPr="006F2DC5">
              <w:rPr>
                <w:rFonts w:ascii="Arial" w:hAnsi="Arial" w:cs="Arial"/>
                <w:sz w:val="24"/>
                <w:szCs w:val="24"/>
              </w:rPr>
              <w:t>Accessing etc the gambling harm risk register</w:t>
            </w:r>
          </w:p>
          <w:p w14:paraId="0E746EBF" w14:textId="77777777" w:rsidR="005974E1" w:rsidRPr="00A81EEA" w:rsidRDefault="005974E1" w:rsidP="005974E1">
            <w:pPr>
              <w:tabs>
                <w:tab w:val="left" w:pos="284"/>
              </w:tabs>
              <w:spacing w:after="0" w:line="280" w:lineRule="atLeast"/>
              <w:ind w:left="284" w:hanging="284"/>
              <w:rPr>
                <w:rFonts w:ascii="Arial" w:hAnsi="Arial" w:cs="Arial"/>
                <w:sz w:val="24"/>
                <w:szCs w:val="24"/>
              </w:rPr>
            </w:pPr>
          </w:p>
        </w:tc>
        <w:tc>
          <w:tcPr>
            <w:tcW w:w="7229" w:type="dxa"/>
          </w:tcPr>
          <w:p w14:paraId="23C94A4A" w14:textId="24C11233" w:rsidR="005974E1" w:rsidRPr="00A648AB" w:rsidRDefault="005974E1" w:rsidP="005974E1">
            <w:pPr>
              <w:spacing w:after="0" w:line="280" w:lineRule="atLeast"/>
              <w:rPr>
                <w:rFonts w:ascii="Arial" w:hAnsi="Arial" w:cs="Arial"/>
                <w:iCs/>
                <w:sz w:val="24"/>
                <w:szCs w:val="24"/>
              </w:rPr>
            </w:pPr>
            <w:r>
              <w:rPr>
                <w:rFonts w:ascii="Arial" w:hAnsi="Arial" w:cs="Arial"/>
                <w:sz w:val="24"/>
                <w:szCs w:val="24"/>
              </w:rPr>
              <w:t xml:space="preserve">The licensee can be </w:t>
            </w:r>
            <w:r w:rsidRPr="00AF7A62">
              <w:rPr>
                <w:rFonts w:ascii="Arial" w:hAnsi="Arial" w:cs="Arial"/>
                <w:iCs/>
                <w:sz w:val="24"/>
                <w:szCs w:val="24"/>
              </w:rPr>
              <w:t>expected to have a high degree of awareness and understand</w:t>
            </w:r>
            <w:r>
              <w:rPr>
                <w:rFonts w:ascii="Arial" w:hAnsi="Arial" w:cs="Arial"/>
                <w:iCs/>
                <w:sz w:val="24"/>
                <w:szCs w:val="24"/>
              </w:rPr>
              <w:t>ing</w:t>
            </w:r>
            <w:r w:rsidRPr="00AF7A62">
              <w:rPr>
                <w:rFonts w:ascii="Arial" w:hAnsi="Arial" w:cs="Arial"/>
                <w:iCs/>
                <w:sz w:val="24"/>
                <w:szCs w:val="24"/>
              </w:rPr>
              <w:t xml:space="preserve"> of the</w:t>
            </w:r>
            <w:r>
              <w:rPr>
                <w:rFonts w:ascii="Arial" w:hAnsi="Arial" w:cs="Arial"/>
                <w:iCs/>
                <w:sz w:val="24"/>
                <w:szCs w:val="24"/>
              </w:rPr>
              <w:t xml:space="preserve"> gambling harm framework and the purpose of the </w:t>
            </w:r>
            <w:r w:rsidRPr="006F2DC5">
              <w:rPr>
                <w:rFonts w:ascii="Arial" w:hAnsi="Arial" w:cs="Arial"/>
                <w:sz w:val="24"/>
                <w:szCs w:val="24"/>
              </w:rPr>
              <w:t>gambling harm risk register</w:t>
            </w:r>
            <w:r w:rsidRPr="00F5492E">
              <w:rPr>
                <w:rFonts w:ascii="Arial" w:hAnsi="Arial" w:cs="Arial"/>
                <w:iCs/>
                <w:sz w:val="24"/>
                <w:szCs w:val="24"/>
              </w:rPr>
              <w:t xml:space="preserve"> because of their involvement with the regulated activity</w:t>
            </w:r>
            <w:r>
              <w:rPr>
                <w:rFonts w:ascii="Arial" w:hAnsi="Arial" w:cs="Arial"/>
                <w:iCs/>
                <w:sz w:val="24"/>
                <w:szCs w:val="24"/>
              </w:rPr>
              <w:t xml:space="preserve">. Therefore, the licensee can be </w:t>
            </w:r>
            <w:r w:rsidRPr="00AF7A62">
              <w:rPr>
                <w:rFonts w:ascii="Arial" w:hAnsi="Arial" w:cs="Arial"/>
                <w:iCs/>
                <w:sz w:val="24"/>
                <w:szCs w:val="24"/>
              </w:rPr>
              <w:t xml:space="preserve">reasonably expected to know </w:t>
            </w:r>
            <w:r>
              <w:rPr>
                <w:rFonts w:ascii="Arial" w:hAnsi="Arial" w:cs="Arial"/>
                <w:iCs/>
                <w:sz w:val="24"/>
                <w:szCs w:val="24"/>
              </w:rPr>
              <w:t xml:space="preserve">what </w:t>
            </w:r>
            <w:r w:rsidRPr="00AF7A62">
              <w:rPr>
                <w:rFonts w:ascii="Arial" w:hAnsi="Arial" w:cs="Arial"/>
                <w:iCs/>
                <w:sz w:val="24"/>
                <w:szCs w:val="24"/>
              </w:rPr>
              <w:t>the </w:t>
            </w:r>
            <w:r>
              <w:rPr>
                <w:rFonts w:ascii="Arial" w:hAnsi="Arial" w:cs="Arial"/>
                <w:iCs/>
                <w:sz w:val="24"/>
                <w:szCs w:val="24"/>
              </w:rPr>
              <w:t xml:space="preserve">requirements are for approved persons accessing the gambling harm risk register, </w:t>
            </w:r>
            <w:r w:rsidRPr="00AF7A62">
              <w:rPr>
                <w:rFonts w:ascii="Arial" w:hAnsi="Arial" w:cs="Arial"/>
                <w:iCs/>
                <w:sz w:val="24"/>
                <w:szCs w:val="24"/>
              </w:rPr>
              <w:t>and therefore </w:t>
            </w:r>
            <w:r>
              <w:rPr>
                <w:rFonts w:ascii="Arial" w:hAnsi="Arial" w:cs="Arial"/>
                <w:iCs/>
                <w:sz w:val="24"/>
                <w:szCs w:val="24"/>
              </w:rPr>
              <w:t xml:space="preserve">the </w:t>
            </w:r>
            <w:r w:rsidRPr="00AF7A62">
              <w:rPr>
                <w:rFonts w:ascii="Arial" w:hAnsi="Arial" w:cs="Arial"/>
                <w:iCs/>
                <w:sz w:val="24"/>
                <w:szCs w:val="24"/>
              </w:rPr>
              <w:t>fault element can justifiably be excluded.</w:t>
            </w:r>
            <w:r w:rsidR="00C94AA6">
              <w:rPr>
                <w:rFonts w:ascii="Arial" w:hAnsi="Arial" w:cs="Arial"/>
                <w:iCs/>
                <w:sz w:val="24"/>
                <w:szCs w:val="24"/>
              </w:rPr>
              <w:t xml:space="preserve"> Strict compliance with the obligations to </w:t>
            </w:r>
            <w:r w:rsidR="00212F30">
              <w:rPr>
                <w:rFonts w:ascii="Arial" w:hAnsi="Arial" w:cs="Arial"/>
                <w:iCs/>
                <w:sz w:val="24"/>
                <w:szCs w:val="24"/>
              </w:rPr>
              <w:t>safeguard individuals’ privacy will also foster trust and confidence in the exclusion scheme and support more individuals to initiate self-exclusions, which is central</w:t>
            </w:r>
            <w:r w:rsidR="00C94AA6">
              <w:rPr>
                <w:rFonts w:ascii="Arial" w:hAnsi="Arial" w:cs="Arial"/>
                <w:iCs/>
                <w:sz w:val="24"/>
                <w:szCs w:val="24"/>
              </w:rPr>
              <w:t xml:space="preserve"> to the exclusion scheme’s capacity to realise its harm minimisation intent.</w:t>
            </w:r>
          </w:p>
        </w:tc>
      </w:tr>
      <w:tr w:rsidR="005974E1" w:rsidRPr="00913ABF" w14:paraId="53DC1AE4" w14:textId="77777777" w:rsidTr="00F37EB9">
        <w:trPr>
          <w:cantSplit/>
          <w:trHeight w:val="993"/>
        </w:trPr>
        <w:tc>
          <w:tcPr>
            <w:tcW w:w="1980" w:type="dxa"/>
          </w:tcPr>
          <w:p w14:paraId="7CCCCF2F" w14:textId="16979BF2" w:rsidR="005974E1" w:rsidRDefault="005974E1" w:rsidP="005974E1">
            <w:pPr>
              <w:spacing w:after="0" w:line="280" w:lineRule="atLeast"/>
              <w:rPr>
                <w:rFonts w:ascii="Arial" w:hAnsi="Arial" w:cs="Arial"/>
                <w:sz w:val="24"/>
                <w:szCs w:val="24"/>
              </w:rPr>
            </w:pPr>
            <w:r>
              <w:rPr>
                <w:rFonts w:ascii="Arial" w:hAnsi="Arial" w:cs="Arial"/>
                <w:sz w:val="24"/>
                <w:szCs w:val="24"/>
              </w:rPr>
              <w:t xml:space="preserve">Section </w:t>
            </w:r>
            <w:r w:rsidR="00DB28E5">
              <w:rPr>
                <w:rFonts w:ascii="Arial" w:hAnsi="Arial" w:cs="Arial"/>
                <w:sz w:val="24"/>
                <w:szCs w:val="24"/>
              </w:rPr>
              <w:t>19</w:t>
            </w:r>
            <w:r w:rsidR="00762C72">
              <w:rPr>
                <w:rFonts w:ascii="Arial" w:hAnsi="Arial" w:cs="Arial"/>
                <w:sz w:val="24"/>
                <w:szCs w:val="24"/>
              </w:rPr>
              <w:t>J</w:t>
            </w:r>
          </w:p>
          <w:p w14:paraId="58354AB7" w14:textId="77777777" w:rsidR="005974E1" w:rsidRDefault="005974E1" w:rsidP="005974E1">
            <w:pPr>
              <w:spacing w:after="0" w:line="280" w:lineRule="atLeast"/>
              <w:rPr>
                <w:rFonts w:ascii="Arial" w:hAnsi="Arial" w:cs="Arial"/>
                <w:sz w:val="24"/>
                <w:szCs w:val="24"/>
              </w:rPr>
            </w:pPr>
          </w:p>
          <w:p w14:paraId="6A2B726F" w14:textId="0F802613" w:rsidR="005974E1" w:rsidRPr="00A81EEA" w:rsidRDefault="005974E1" w:rsidP="005974E1">
            <w:pPr>
              <w:tabs>
                <w:tab w:val="left" w:pos="29"/>
              </w:tabs>
              <w:spacing w:after="0" w:line="280" w:lineRule="atLeast"/>
              <w:ind w:left="29"/>
              <w:rPr>
                <w:rFonts w:ascii="Arial" w:hAnsi="Arial" w:cs="Arial"/>
                <w:sz w:val="24"/>
                <w:szCs w:val="24"/>
              </w:rPr>
            </w:pPr>
            <w:r w:rsidRPr="003254F0">
              <w:rPr>
                <w:rFonts w:ascii="Arial" w:hAnsi="Arial" w:cs="Arial"/>
                <w:sz w:val="24"/>
                <w:szCs w:val="24"/>
              </w:rPr>
              <w:t>Licensees giving people notice of gambling exclusion</w:t>
            </w:r>
          </w:p>
        </w:tc>
        <w:tc>
          <w:tcPr>
            <w:tcW w:w="7229" w:type="dxa"/>
          </w:tcPr>
          <w:p w14:paraId="1FD1EF75" w14:textId="4E3D8F36" w:rsidR="005974E1" w:rsidRPr="009D01A9" w:rsidRDefault="008327F6" w:rsidP="005974E1">
            <w:pPr>
              <w:spacing w:after="0" w:line="280" w:lineRule="atLeast"/>
              <w:rPr>
                <w:rFonts w:ascii="Arial" w:hAnsi="Arial" w:cs="Arial"/>
                <w:sz w:val="24"/>
                <w:szCs w:val="24"/>
                <w:highlight w:val="yellow"/>
              </w:rPr>
            </w:pPr>
            <w:r w:rsidRPr="009D01A9">
              <w:rPr>
                <w:rFonts w:ascii="Arial" w:hAnsi="Arial" w:cs="Arial"/>
                <w:sz w:val="24"/>
                <w:szCs w:val="24"/>
              </w:rPr>
              <w:t>Placing the evidential burden on the accused to demonstrate that they</w:t>
            </w:r>
            <w:r w:rsidR="00B40BDC" w:rsidRPr="009D01A9">
              <w:rPr>
                <w:rFonts w:ascii="Arial" w:hAnsi="Arial" w:cs="Arial"/>
                <w:sz w:val="24"/>
                <w:szCs w:val="24"/>
              </w:rPr>
              <w:t xml:space="preserve"> appropriately considered another action and took this action instead of exclusion</w:t>
            </w:r>
            <w:r w:rsidR="00F1777E" w:rsidRPr="009D01A9">
              <w:rPr>
                <w:rFonts w:ascii="Arial" w:hAnsi="Arial" w:cs="Arial"/>
                <w:sz w:val="24"/>
                <w:szCs w:val="24"/>
              </w:rPr>
              <w:t xml:space="preserve"> if they seek to raise the defence</w:t>
            </w:r>
            <w:r w:rsidR="00B40BDC" w:rsidRPr="009D01A9">
              <w:rPr>
                <w:rFonts w:ascii="Arial" w:hAnsi="Arial" w:cs="Arial"/>
                <w:sz w:val="24"/>
                <w:szCs w:val="24"/>
              </w:rPr>
              <w:t xml:space="preserve"> </w:t>
            </w:r>
            <w:r w:rsidR="00B04046" w:rsidRPr="009D01A9">
              <w:rPr>
                <w:rFonts w:ascii="Arial" w:hAnsi="Arial" w:cs="Arial"/>
                <w:sz w:val="24"/>
                <w:szCs w:val="24"/>
              </w:rPr>
              <w:t>avoids</w:t>
            </w:r>
            <w:r w:rsidR="00ED5A36" w:rsidRPr="009D01A9">
              <w:rPr>
                <w:rFonts w:ascii="Arial" w:hAnsi="Arial" w:cs="Arial"/>
                <w:sz w:val="24"/>
                <w:szCs w:val="24"/>
              </w:rPr>
              <w:t xml:space="preserve"> </w:t>
            </w:r>
            <w:r w:rsidR="005974E1" w:rsidRPr="009D01A9">
              <w:rPr>
                <w:rFonts w:ascii="Arial" w:hAnsi="Arial" w:cs="Arial"/>
                <w:sz w:val="24"/>
                <w:szCs w:val="24"/>
              </w:rPr>
              <w:t>impos</w:t>
            </w:r>
            <w:r w:rsidR="00B04046" w:rsidRPr="009D01A9">
              <w:rPr>
                <w:rFonts w:ascii="Arial" w:hAnsi="Arial" w:cs="Arial"/>
                <w:sz w:val="24"/>
                <w:szCs w:val="24"/>
              </w:rPr>
              <w:t>ing</w:t>
            </w:r>
            <w:r w:rsidR="005974E1" w:rsidRPr="009D01A9">
              <w:rPr>
                <w:rFonts w:ascii="Arial" w:hAnsi="Arial" w:cs="Arial"/>
                <w:sz w:val="24"/>
                <w:szCs w:val="24"/>
              </w:rPr>
              <w:t xml:space="preserve"> a significant burden on the prosecution </w:t>
            </w:r>
            <w:r w:rsidR="009D2E6C" w:rsidRPr="009D01A9">
              <w:rPr>
                <w:rFonts w:ascii="Arial" w:hAnsi="Arial" w:cs="Arial"/>
                <w:sz w:val="24"/>
                <w:szCs w:val="24"/>
              </w:rPr>
              <w:t>in requiring them</w:t>
            </w:r>
            <w:r w:rsidR="005974E1" w:rsidRPr="009D01A9">
              <w:rPr>
                <w:rFonts w:ascii="Arial" w:hAnsi="Arial" w:cs="Arial"/>
                <w:sz w:val="24"/>
                <w:szCs w:val="24"/>
              </w:rPr>
              <w:t xml:space="preserve"> in every case of suspected non-compliance to prove the counterfactual (i.e. prove that there was a risk of gambling harm and </w:t>
            </w:r>
            <w:r w:rsidR="009D2E6C" w:rsidRPr="009D01A9">
              <w:rPr>
                <w:rFonts w:ascii="Arial" w:hAnsi="Arial" w:cs="Arial"/>
                <w:sz w:val="24"/>
                <w:szCs w:val="24"/>
              </w:rPr>
              <w:t xml:space="preserve">that another action was not more appropriate </w:t>
            </w:r>
            <w:r w:rsidR="005974E1" w:rsidRPr="009D01A9">
              <w:rPr>
                <w:rFonts w:ascii="Arial" w:hAnsi="Arial" w:cs="Arial"/>
                <w:sz w:val="24"/>
                <w:szCs w:val="24"/>
              </w:rPr>
              <w:t>licensee did not take appropriate action). Placing the evidential burden on the accused also ensures that licensees are incentivised to keep adequate records of risk of gambling harm and actions taken to address the risk.</w:t>
            </w:r>
            <w:r w:rsidR="009D2E6C" w:rsidRPr="009D01A9">
              <w:rPr>
                <w:rFonts w:ascii="Arial" w:hAnsi="Arial" w:cs="Arial"/>
                <w:sz w:val="24"/>
                <w:szCs w:val="24"/>
              </w:rPr>
              <w:t xml:space="preserve"> This ensures effective administration of the scheme and compliance with it. </w:t>
            </w:r>
          </w:p>
        </w:tc>
      </w:tr>
      <w:tr w:rsidR="005974E1" w:rsidRPr="00913ABF" w14:paraId="16DA107E" w14:textId="77777777" w:rsidTr="00F37EB9">
        <w:trPr>
          <w:cantSplit/>
          <w:trHeight w:val="993"/>
        </w:trPr>
        <w:tc>
          <w:tcPr>
            <w:tcW w:w="1980" w:type="dxa"/>
          </w:tcPr>
          <w:p w14:paraId="5D4D3200" w14:textId="514659DF" w:rsidR="00762C72" w:rsidRPr="009D01A9" w:rsidRDefault="00762C72" w:rsidP="00762C72">
            <w:pPr>
              <w:spacing w:after="0" w:line="280" w:lineRule="atLeast"/>
              <w:rPr>
                <w:rFonts w:ascii="Arial" w:hAnsi="Arial" w:cs="Arial"/>
                <w:sz w:val="24"/>
                <w:szCs w:val="24"/>
              </w:rPr>
            </w:pPr>
            <w:r w:rsidRPr="009D01A9">
              <w:rPr>
                <w:rFonts w:ascii="Arial" w:hAnsi="Arial" w:cs="Arial"/>
                <w:sz w:val="24"/>
                <w:szCs w:val="24"/>
              </w:rPr>
              <w:lastRenderedPageBreak/>
              <w:t xml:space="preserve"> Section 19</w:t>
            </w:r>
            <w:r>
              <w:rPr>
                <w:rFonts w:ascii="Arial" w:hAnsi="Arial" w:cs="Arial"/>
                <w:sz w:val="24"/>
                <w:szCs w:val="24"/>
              </w:rPr>
              <w:t>O</w:t>
            </w:r>
          </w:p>
          <w:p w14:paraId="758411FF" w14:textId="77777777" w:rsidR="00762C72" w:rsidRPr="009D01A9" w:rsidRDefault="00762C72" w:rsidP="00762C72">
            <w:pPr>
              <w:spacing w:after="0" w:line="280" w:lineRule="atLeast"/>
              <w:rPr>
                <w:rFonts w:ascii="Arial" w:hAnsi="Arial" w:cs="Arial"/>
                <w:sz w:val="24"/>
                <w:szCs w:val="24"/>
              </w:rPr>
            </w:pPr>
          </w:p>
          <w:p w14:paraId="13522E74" w14:textId="66B36855" w:rsidR="005974E1" w:rsidRPr="00A81EEA" w:rsidRDefault="00762C72" w:rsidP="005974E1">
            <w:pPr>
              <w:tabs>
                <w:tab w:val="left" w:pos="284"/>
              </w:tabs>
              <w:spacing w:after="0" w:line="280" w:lineRule="atLeast"/>
              <w:rPr>
                <w:rFonts w:ascii="Arial" w:hAnsi="Arial" w:cs="Arial"/>
                <w:sz w:val="24"/>
                <w:szCs w:val="24"/>
              </w:rPr>
            </w:pPr>
            <w:r w:rsidRPr="009D01A9">
              <w:rPr>
                <w:rFonts w:ascii="Arial" w:hAnsi="Arial" w:cs="Arial"/>
                <w:sz w:val="24"/>
                <w:szCs w:val="24"/>
              </w:rPr>
              <w:t xml:space="preserve">Exclusion of people </w:t>
            </w:r>
            <w:r>
              <w:rPr>
                <w:rFonts w:ascii="Arial" w:hAnsi="Arial" w:cs="Arial"/>
                <w:sz w:val="24"/>
                <w:szCs w:val="24"/>
              </w:rPr>
              <w:t xml:space="preserve">named in </w:t>
            </w:r>
            <w:r w:rsidRPr="009D01A9">
              <w:rPr>
                <w:rFonts w:ascii="Arial" w:hAnsi="Arial" w:cs="Arial"/>
                <w:sz w:val="24"/>
                <w:szCs w:val="24"/>
              </w:rPr>
              <w:t>gambling exclusion notice</w:t>
            </w:r>
            <w:r>
              <w:rPr>
                <w:rFonts w:ascii="Arial" w:hAnsi="Arial" w:cs="Arial"/>
                <w:sz w:val="24"/>
                <w:szCs w:val="24"/>
              </w:rPr>
              <w:t xml:space="preserve"> or gambling exclusion determination</w:t>
            </w:r>
          </w:p>
        </w:tc>
        <w:tc>
          <w:tcPr>
            <w:tcW w:w="7229" w:type="dxa"/>
          </w:tcPr>
          <w:p w14:paraId="52CCD37C" w14:textId="1572513F" w:rsidR="005974E1" w:rsidRDefault="005974E1" w:rsidP="005974E1">
            <w:pPr>
              <w:spacing w:after="0" w:line="280" w:lineRule="atLeast"/>
              <w:rPr>
                <w:rFonts w:ascii="Arial" w:hAnsi="Arial" w:cs="Arial"/>
                <w:sz w:val="24"/>
                <w:szCs w:val="24"/>
              </w:rPr>
            </w:pPr>
            <w:r>
              <w:rPr>
                <w:rFonts w:ascii="Arial" w:hAnsi="Arial" w:cs="Arial"/>
                <w:sz w:val="24"/>
                <w:szCs w:val="24"/>
              </w:rPr>
              <w:t xml:space="preserve">This offence </w:t>
            </w:r>
            <w:r w:rsidRPr="003254F0">
              <w:rPr>
                <w:rFonts w:ascii="Arial" w:hAnsi="Arial" w:cs="Arial"/>
                <w:sz w:val="24"/>
                <w:szCs w:val="24"/>
              </w:rPr>
              <w:t xml:space="preserve">does not apply </w:t>
            </w:r>
            <w:r>
              <w:rPr>
                <w:rFonts w:ascii="Arial" w:hAnsi="Arial" w:cs="Arial"/>
                <w:sz w:val="24"/>
                <w:szCs w:val="24"/>
              </w:rPr>
              <w:t>under sub-section (</w:t>
            </w:r>
            <w:r w:rsidR="00240B1C">
              <w:rPr>
                <w:rFonts w:ascii="Arial" w:hAnsi="Arial" w:cs="Arial"/>
                <w:sz w:val="24"/>
                <w:szCs w:val="24"/>
              </w:rPr>
              <w:t>3</w:t>
            </w:r>
            <w:r>
              <w:rPr>
                <w:rFonts w:ascii="Arial" w:hAnsi="Arial" w:cs="Arial"/>
                <w:sz w:val="24"/>
                <w:szCs w:val="24"/>
              </w:rPr>
              <w:t xml:space="preserve">) </w:t>
            </w:r>
            <w:r w:rsidRPr="003254F0">
              <w:rPr>
                <w:rFonts w:ascii="Arial" w:hAnsi="Arial" w:cs="Arial"/>
                <w:sz w:val="24"/>
                <w:szCs w:val="24"/>
              </w:rPr>
              <w:t>if the licensee takes all reasonable steps to stop the person from engaging in the gambling activity.</w:t>
            </w:r>
            <w:r w:rsidR="009976A4">
              <w:rPr>
                <w:rFonts w:ascii="Arial" w:hAnsi="Arial" w:cs="Arial"/>
                <w:sz w:val="24"/>
                <w:szCs w:val="24"/>
              </w:rPr>
              <w:t xml:space="preserve"> </w:t>
            </w:r>
            <w:r w:rsidRPr="00CD53BA">
              <w:rPr>
                <w:rFonts w:ascii="Arial" w:hAnsi="Arial" w:cs="Arial"/>
                <w:sz w:val="24"/>
                <w:szCs w:val="24"/>
              </w:rPr>
              <w:t xml:space="preserve">It would impose a significant burden on the </w:t>
            </w:r>
            <w:r>
              <w:rPr>
                <w:rFonts w:ascii="Arial" w:hAnsi="Arial" w:cs="Arial"/>
                <w:sz w:val="24"/>
                <w:szCs w:val="24"/>
              </w:rPr>
              <w:t>prosecution</w:t>
            </w:r>
            <w:r w:rsidRPr="00CD53BA">
              <w:rPr>
                <w:rFonts w:ascii="Arial" w:hAnsi="Arial" w:cs="Arial"/>
                <w:sz w:val="24"/>
                <w:szCs w:val="24"/>
              </w:rPr>
              <w:t xml:space="preserve"> if they were required in every case of suspected non-compliance to prove the counterfactual (i.e. prove that </w:t>
            </w:r>
            <w:r>
              <w:rPr>
                <w:rFonts w:ascii="Arial" w:hAnsi="Arial" w:cs="Arial"/>
                <w:sz w:val="24"/>
                <w:szCs w:val="24"/>
              </w:rPr>
              <w:t>an excluded person engaged in a gambling activity</w:t>
            </w:r>
            <w:r w:rsidRPr="00CD53BA">
              <w:rPr>
                <w:rFonts w:ascii="Arial" w:hAnsi="Arial" w:cs="Arial"/>
                <w:sz w:val="24"/>
                <w:szCs w:val="24"/>
              </w:rPr>
              <w:t xml:space="preserve"> </w:t>
            </w:r>
            <w:r>
              <w:rPr>
                <w:rFonts w:ascii="Arial" w:hAnsi="Arial" w:cs="Arial"/>
                <w:sz w:val="24"/>
                <w:szCs w:val="24"/>
              </w:rPr>
              <w:t>and the licensee did not take all reasonable steps to prevent the person from doing this)</w:t>
            </w:r>
            <w:r w:rsidRPr="00CD53BA">
              <w:rPr>
                <w:rFonts w:ascii="Arial" w:hAnsi="Arial" w:cs="Arial"/>
                <w:sz w:val="24"/>
                <w:szCs w:val="24"/>
              </w:rPr>
              <w:t xml:space="preserve">. Placing the evidential burden on </w:t>
            </w:r>
            <w:r>
              <w:rPr>
                <w:rFonts w:ascii="Arial" w:hAnsi="Arial" w:cs="Arial"/>
                <w:sz w:val="24"/>
                <w:szCs w:val="24"/>
              </w:rPr>
              <w:t>the accused also</w:t>
            </w:r>
            <w:r w:rsidRPr="00CD53BA">
              <w:rPr>
                <w:rFonts w:ascii="Arial" w:hAnsi="Arial" w:cs="Arial"/>
                <w:sz w:val="24"/>
                <w:szCs w:val="24"/>
              </w:rPr>
              <w:t xml:space="preserve"> ensures that</w:t>
            </w:r>
            <w:r>
              <w:rPr>
                <w:rFonts w:ascii="Arial" w:hAnsi="Arial" w:cs="Arial"/>
                <w:sz w:val="24"/>
                <w:szCs w:val="24"/>
              </w:rPr>
              <w:t xml:space="preserve"> licensees </w:t>
            </w:r>
            <w:r w:rsidRPr="00CD53BA">
              <w:rPr>
                <w:rFonts w:ascii="Arial" w:hAnsi="Arial" w:cs="Arial"/>
                <w:sz w:val="24"/>
                <w:szCs w:val="24"/>
              </w:rPr>
              <w:t xml:space="preserve">are incentivised to </w:t>
            </w:r>
            <w:r>
              <w:rPr>
                <w:rFonts w:ascii="Arial" w:hAnsi="Arial" w:cs="Arial"/>
                <w:sz w:val="24"/>
                <w:szCs w:val="24"/>
              </w:rPr>
              <w:t>put appropriate procedures in place and actively monitor to ensure excluded people are not permitted to engage in the gambling activity.</w:t>
            </w:r>
            <w:r w:rsidR="00684275">
              <w:rPr>
                <w:rFonts w:ascii="Arial" w:hAnsi="Arial" w:cs="Arial"/>
                <w:sz w:val="24"/>
                <w:szCs w:val="24"/>
              </w:rPr>
              <w:t xml:space="preserve"> This ensures effective administration of, and compliance with, the scheme. </w:t>
            </w:r>
          </w:p>
        </w:tc>
      </w:tr>
      <w:tr w:rsidR="005974E1" w:rsidRPr="00913ABF" w14:paraId="07293EE5" w14:textId="77777777" w:rsidTr="00F37EB9">
        <w:trPr>
          <w:cantSplit/>
          <w:trHeight w:val="993"/>
        </w:trPr>
        <w:tc>
          <w:tcPr>
            <w:tcW w:w="1980" w:type="dxa"/>
          </w:tcPr>
          <w:p w14:paraId="2E47F391" w14:textId="12F29A61" w:rsidR="005974E1" w:rsidRDefault="005974E1" w:rsidP="005974E1">
            <w:pPr>
              <w:spacing w:after="0" w:line="280" w:lineRule="atLeast"/>
              <w:rPr>
                <w:rFonts w:ascii="Arial" w:hAnsi="Arial" w:cs="Arial"/>
                <w:sz w:val="24"/>
                <w:szCs w:val="24"/>
              </w:rPr>
            </w:pPr>
            <w:r>
              <w:rPr>
                <w:rFonts w:ascii="Arial" w:hAnsi="Arial" w:cs="Arial"/>
                <w:sz w:val="24"/>
                <w:szCs w:val="24"/>
              </w:rPr>
              <w:t xml:space="preserve">Section </w:t>
            </w:r>
            <w:r w:rsidR="00DB28E5">
              <w:rPr>
                <w:rFonts w:ascii="Arial" w:hAnsi="Arial" w:cs="Arial"/>
                <w:sz w:val="24"/>
                <w:szCs w:val="24"/>
              </w:rPr>
              <w:t>19</w:t>
            </w:r>
            <w:r w:rsidR="00762C72">
              <w:rPr>
                <w:rFonts w:ascii="Arial" w:hAnsi="Arial" w:cs="Arial"/>
                <w:sz w:val="24"/>
                <w:szCs w:val="24"/>
              </w:rPr>
              <w:t>K</w:t>
            </w:r>
            <w:r>
              <w:rPr>
                <w:rFonts w:ascii="Arial" w:hAnsi="Arial" w:cs="Arial"/>
                <w:sz w:val="24"/>
                <w:szCs w:val="24"/>
              </w:rPr>
              <w:t xml:space="preserve"> </w:t>
            </w:r>
          </w:p>
          <w:p w14:paraId="1957D034" w14:textId="77777777" w:rsidR="005974E1" w:rsidRDefault="005974E1" w:rsidP="005974E1">
            <w:pPr>
              <w:spacing w:after="0" w:line="280" w:lineRule="atLeast"/>
              <w:rPr>
                <w:rFonts w:ascii="Arial" w:hAnsi="Arial" w:cs="Arial"/>
                <w:sz w:val="24"/>
                <w:szCs w:val="24"/>
              </w:rPr>
            </w:pPr>
          </w:p>
          <w:p w14:paraId="35A7A909" w14:textId="58DB1C27" w:rsidR="005974E1" w:rsidRPr="00A81EEA" w:rsidRDefault="005974E1" w:rsidP="005974E1">
            <w:pPr>
              <w:tabs>
                <w:tab w:val="left" w:pos="29"/>
              </w:tabs>
              <w:spacing w:after="0" w:line="280" w:lineRule="atLeast"/>
              <w:rPr>
                <w:rFonts w:ascii="Arial" w:hAnsi="Arial" w:cs="Arial"/>
                <w:sz w:val="24"/>
                <w:szCs w:val="24"/>
              </w:rPr>
            </w:pPr>
            <w:r>
              <w:rPr>
                <w:rFonts w:ascii="Arial" w:hAnsi="Arial" w:cs="Arial"/>
                <w:sz w:val="24"/>
                <w:szCs w:val="24"/>
              </w:rPr>
              <w:t>L</w:t>
            </w:r>
            <w:r w:rsidRPr="00425798">
              <w:rPr>
                <w:rFonts w:ascii="Arial" w:hAnsi="Arial" w:cs="Arial"/>
                <w:sz w:val="24"/>
                <w:szCs w:val="24"/>
              </w:rPr>
              <w:t>icensee</w:t>
            </w:r>
            <w:r>
              <w:rPr>
                <w:rFonts w:ascii="Arial" w:hAnsi="Arial" w:cs="Arial"/>
                <w:sz w:val="24"/>
                <w:szCs w:val="24"/>
              </w:rPr>
              <w:t>s must tell commission about</w:t>
            </w:r>
            <w:r w:rsidRPr="00425798">
              <w:rPr>
                <w:rFonts w:ascii="Arial" w:hAnsi="Arial" w:cs="Arial"/>
                <w:sz w:val="24"/>
                <w:szCs w:val="24"/>
              </w:rPr>
              <w:t xml:space="preserve"> gambling exclusion notice</w:t>
            </w:r>
            <w:r>
              <w:rPr>
                <w:rFonts w:ascii="Arial" w:hAnsi="Arial" w:cs="Arial"/>
                <w:sz w:val="24"/>
                <w:szCs w:val="24"/>
              </w:rPr>
              <w:t>s</w:t>
            </w:r>
            <w:r w:rsidRPr="00A81EEA">
              <w:rPr>
                <w:rFonts w:ascii="Arial" w:hAnsi="Arial" w:cs="Arial"/>
                <w:sz w:val="24"/>
                <w:szCs w:val="24"/>
              </w:rPr>
              <w:t xml:space="preserve"> </w:t>
            </w:r>
          </w:p>
        </w:tc>
        <w:tc>
          <w:tcPr>
            <w:tcW w:w="7229" w:type="dxa"/>
          </w:tcPr>
          <w:p w14:paraId="7C0C83CD" w14:textId="2F602B7B" w:rsidR="005974E1" w:rsidRPr="00A2775C" w:rsidRDefault="005974E1" w:rsidP="005974E1">
            <w:pPr>
              <w:spacing w:after="0" w:line="280" w:lineRule="atLeast"/>
              <w:rPr>
                <w:rFonts w:ascii="Arial" w:hAnsi="Arial" w:cs="Arial"/>
                <w:iCs/>
                <w:sz w:val="24"/>
                <w:szCs w:val="24"/>
              </w:rPr>
            </w:pPr>
            <w:r>
              <w:rPr>
                <w:rFonts w:ascii="Arial" w:hAnsi="Arial" w:cs="Arial"/>
                <w:sz w:val="24"/>
                <w:szCs w:val="24"/>
              </w:rPr>
              <w:t xml:space="preserve">The licensee can be </w:t>
            </w:r>
            <w:r w:rsidRPr="00AF7A62">
              <w:rPr>
                <w:rFonts w:ascii="Arial" w:hAnsi="Arial" w:cs="Arial"/>
                <w:iCs/>
                <w:sz w:val="24"/>
                <w:szCs w:val="24"/>
              </w:rPr>
              <w:t>expected to have a high degree of awareness and understand</w:t>
            </w:r>
            <w:r>
              <w:rPr>
                <w:rFonts w:ascii="Arial" w:hAnsi="Arial" w:cs="Arial"/>
                <w:iCs/>
                <w:sz w:val="24"/>
                <w:szCs w:val="24"/>
              </w:rPr>
              <w:t>ing</w:t>
            </w:r>
            <w:r w:rsidRPr="00AF7A62">
              <w:rPr>
                <w:rFonts w:ascii="Arial" w:hAnsi="Arial" w:cs="Arial"/>
                <w:iCs/>
                <w:sz w:val="24"/>
                <w:szCs w:val="24"/>
              </w:rPr>
              <w:t xml:space="preserve"> of the</w:t>
            </w:r>
            <w:r>
              <w:rPr>
                <w:rFonts w:ascii="Arial" w:hAnsi="Arial" w:cs="Arial"/>
                <w:iCs/>
                <w:sz w:val="24"/>
                <w:szCs w:val="24"/>
              </w:rPr>
              <w:t xml:space="preserve"> gambling exclusion framework </w:t>
            </w:r>
            <w:r w:rsidRPr="00F5492E">
              <w:rPr>
                <w:rFonts w:ascii="Arial" w:hAnsi="Arial" w:cs="Arial"/>
                <w:iCs/>
                <w:sz w:val="24"/>
                <w:szCs w:val="24"/>
              </w:rPr>
              <w:t>because of their involvement with the regulated activity</w:t>
            </w:r>
            <w:r>
              <w:rPr>
                <w:rFonts w:ascii="Arial" w:hAnsi="Arial" w:cs="Arial"/>
                <w:iCs/>
                <w:sz w:val="24"/>
                <w:szCs w:val="24"/>
              </w:rPr>
              <w:t xml:space="preserve">. Therefore, the licensee can be </w:t>
            </w:r>
            <w:r w:rsidRPr="00AF7A62">
              <w:rPr>
                <w:rFonts w:ascii="Arial" w:hAnsi="Arial" w:cs="Arial"/>
                <w:iCs/>
                <w:sz w:val="24"/>
                <w:szCs w:val="24"/>
              </w:rPr>
              <w:t>reasonably expected to know what the </w:t>
            </w:r>
            <w:r>
              <w:rPr>
                <w:rFonts w:ascii="Arial" w:hAnsi="Arial" w:cs="Arial"/>
                <w:iCs/>
                <w:sz w:val="24"/>
                <w:szCs w:val="24"/>
              </w:rPr>
              <w:t xml:space="preserve">administrative </w:t>
            </w:r>
            <w:r w:rsidRPr="00AF7A62">
              <w:rPr>
                <w:rFonts w:ascii="Arial" w:hAnsi="Arial" w:cs="Arial"/>
                <w:iCs/>
                <w:sz w:val="24"/>
                <w:szCs w:val="24"/>
              </w:rPr>
              <w:t>requirements</w:t>
            </w:r>
            <w:r>
              <w:rPr>
                <w:rFonts w:ascii="Arial" w:hAnsi="Arial" w:cs="Arial"/>
                <w:iCs/>
                <w:sz w:val="24"/>
                <w:szCs w:val="24"/>
              </w:rPr>
              <w:t xml:space="preserve"> are in relation to providing self-exclusion notices to the Commission within 3 trading days</w:t>
            </w:r>
            <w:r w:rsidRPr="00AF7A62">
              <w:rPr>
                <w:rFonts w:ascii="Arial" w:hAnsi="Arial" w:cs="Arial"/>
                <w:iCs/>
                <w:sz w:val="24"/>
                <w:szCs w:val="24"/>
              </w:rPr>
              <w:t>, and therefore the</w:t>
            </w:r>
            <w:r>
              <w:rPr>
                <w:rFonts w:ascii="Arial" w:hAnsi="Arial" w:cs="Arial"/>
                <w:iCs/>
                <w:sz w:val="24"/>
                <w:szCs w:val="24"/>
              </w:rPr>
              <w:t xml:space="preserve"> </w:t>
            </w:r>
            <w:r w:rsidRPr="00AF7A62">
              <w:rPr>
                <w:rFonts w:ascii="Arial" w:hAnsi="Arial" w:cs="Arial"/>
                <w:iCs/>
                <w:sz w:val="24"/>
                <w:szCs w:val="24"/>
              </w:rPr>
              <w:t>fault element can justifiably be excluded.</w:t>
            </w:r>
            <w:r w:rsidR="00254319">
              <w:rPr>
                <w:rFonts w:ascii="Arial" w:hAnsi="Arial" w:cs="Arial"/>
                <w:iCs/>
                <w:sz w:val="24"/>
                <w:szCs w:val="24"/>
              </w:rPr>
              <w:t xml:space="preserve"> Strict compliance with administrative information sharing provisions is also inherent to the exclusion scheme’s functioning and capacity to realise its harm minimisation intent.</w:t>
            </w:r>
          </w:p>
        </w:tc>
      </w:tr>
      <w:tr w:rsidR="005974E1" w:rsidRPr="00913ABF" w14:paraId="5533F294" w14:textId="77777777" w:rsidTr="00F37EB9">
        <w:trPr>
          <w:cantSplit/>
          <w:trHeight w:val="993"/>
        </w:trPr>
        <w:tc>
          <w:tcPr>
            <w:tcW w:w="1980" w:type="dxa"/>
          </w:tcPr>
          <w:p w14:paraId="53785111" w14:textId="77777777" w:rsidR="00762C72" w:rsidRPr="00A81EEA" w:rsidRDefault="00762C72" w:rsidP="00762C72">
            <w:pPr>
              <w:tabs>
                <w:tab w:val="left" w:pos="284"/>
              </w:tabs>
              <w:spacing w:after="0" w:line="280" w:lineRule="atLeast"/>
              <w:ind w:left="284" w:hanging="284"/>
              <w:rPr>
                <w:rFonts w:ascii="Arial" w:hAnsi="Arial" w:cs="Arial"/>
                <w:sz w:val="24"/>
                <w:szCs w:val="24"/>
              </w:rPr>
            </w:pPr>
            <w:r w:rsidRPr="00A81EEA">
              <w:rPr>
                <w:rFonts w:ascii="Arial" w:hAnsi="Arial" w:cs="Arial"/>
                <w:sz w:val="24"/>
                <w:szCs w:val="24"/>
              </w:rPr>
              <w:t>Sectio</w:t>
            </w:r>
            <w:r>
              <w:rPr>
                <w:rFonts w:ascii="Arial" w:hAnsi="Arial" w:cs="Arial"/>
                <w:sz w:val="24"/>
                <w:szCs w:val="24"/>
              </w:rPr>
              <w:t>n 19U</w:t>
            </w:r>
            <w:r w:rsidRPr="00A81EEA">
              <w:rPr>
                <w:rFonts w:ascii="Arial" w:hAnsi="Arial" w:cs="Arial"/>
                <w:sz w:val="24"/>
                <w:szCs w:val="24"/>
              </w:rPr>
              <w:t xml:space="preserve"> </w:t>
            </w:r>
          </w:p>
          <w:p w14:paraId="49CAE3A6" w14:textId="77777777" w:rsidR="00762C72" w:rsidRPr="00A81EEA" w:rsidRDefault="00762C72" w:rsidP="00762C72">
            <w:pPr>
              <w:tabs>
                <w:tab w:val="left" w:pos="284"/>
              </w:tabs>
              <w:spacing w:after="0" w:line="280" w:lineRule="atLeast"/>
              <w:ind w:left="284" w:hanging="284"/>
              <w:rPr>
                <w:rFonts w:ascii="Arial" w:hAnsi="Arial" w:cs="Arial"/>
                <w:sz w:val="24"/>
                <w:szCs w:val="24"/>
              </w:rPr>
            </w:pPr>
          </w:p>
          <w:p w14:paraId="13838B80" w14:textId="79F378A1" w:rsidR="005974E1" w:rsidRPr="00A81EEA" w:rsidRDefault="00762C72" w:rsidP="005974E1">
            <w:pPr>
              <w:tabs>
                <w:tab w:val="left" w:pos="171"/>
              </w:tabs>
              <w:spacing w:after="0" w:line="280" w:lineRule="atLeast"/>
              <w:rPr>
                <w:rFonts w:ascii="Arial" w:hAnsi="Arial" w:cs="Arial"/>
                <w:sz w:val="24"/>
                <w:szCs w:val="24"/>
              </w:rPr>
            </w:pPr>
            <w:r w:rsidRPr="00EE7E7E">
              <w:rPr>
                <w:rFonts w:ascii="Arial" w:hAnsi="Arial" w:cs="Arial"/>
                <w:sz w:val="24"/>
                <w:szCs w:val="24"/>
              </w:rPr>
              <w:t>Licensees must comply with decision to revoke or amend gambling exclusion determination</w:t>
            </w:r>
            <w:r>
              <w:rPr>
                <w:rFonts w:ascii="Arial" w:hAnsi="Arial" w:cs="Arial"/>
                <w:sz w:val="24"/>
                <w:szCs w:val="24"/>
              </w:rPr>
              <w:t xml:space="preserve"> based on licensee exclusion notice</w:t>
            </w:r>
          </w:p>
        </w:tc>
        <w:tc>
          <w:tcPr>
            <w:tcW w:w="7229" w:type="dxa"/>
          </w:tcPr>
          <w:p w14:paraId="388B5B22" w14:textId="256363C0" w:rsidR="005974E1" w:rsidRDefault="005974E1" w:rsidP="009D01A9">
            <w:pPr>
              <w:spacing w:after="0" w:line="280" w:lineRule="atLeast"/>
              <w:rPr>
                <w:rFonts w:ascii="Arial" w:hAnsi="Arial" w:cs="Arial"/>
                <w:sz w:val="24"/>
                <w:szCs w:val="24"/>
              </w:rPr>
            </w:pPr>
            <w:r>
              <w:rPr>
                <w:rFonts w:ascii="Arial" w:hAnsi="Arial" w:cs="Arial"/>
                <w:sz w:val="24"/>
                <w:szCs w:val="24"/>
              </w:rPr>
              <w:t xml:space="preserve">The licensee can be </w:t>
            </w:r>
            <w:r w:rsidRPr="00AF7A62">
              <w:rPr>
                <w:rFonts w:ascii="Arial" w:hAnsi="Arial" w:cs="Arial"/>
                <w:iCs/>
                <w:sz w:val="24"/>
                <w:szCs w:val="24"/>
              </w:rPr>
              <w:t>expected to have a high degree of awareness and understand</w:t>
            </w:r>
            <w:r>
              <w:rPr>
                <w:rFonts w:ascii="Arial" w:hAnsi="Arial" w:cs="Arial"/>
                <w:iCs/>
                <w:sz w:val="24"/>
                <w:szCs w:val="24"/>
              </w:rPr>
              <w:t>ing</w:t>
            </w:r>
            <w:r w:rsidRPr="00AF7A62">
              <w:rPr>
                <w:rFonts w:ascii="Arial" w:hAnsi="Arial" w:cs="Arial"/>
                <w:iCs/>
                <w:sz w:val="24"/>
                <w:szCs w:val="24"/>
              </w:rPr>
              <w:t xml:space="preserve"> of the</w:t>
            </w:r>
            <w:r>
              <w:rPr>
                <w:rFonts w:ascii="Arial" w:hAnsi="Arial" w:cs="Arial"/>
                <w:iCs/>
                <w:sz w:val="24"/>
                <w:szCs w:val="24"/>
              </w:rPr>
              <w:t xml:space="preserve"> gambling exclusion framework </w:t>
            </w:r>
            <w:r w:rsidRPr="00F5492E">
              <w:rPr>
                <w:rFonts w:ascii="Arial" w:hAnsi="Arial" w:cs="Arial"/>
                <w:iCs/>
                <w:sz w:val="24"/>
                <w:szCs w:val="24"/>
              </w:rPr>
              <w:t>because of their involvement with the regulated activity</w:t>
            </w:r>
            <w:r>
              <w:rPr>
                <w:rFonts w:ascii="Arial" w:hAnsi="Arial" w:cs="Arial"/>
                <w:iCs/>
                <w:sz w:val="24"/>
                <w:szCs w:val="24"/>
              </w:rPr>
              <w:t xml:space="preserve">. </w:t>
            </w:r>
            <w:r w:rsidR="00A52133">
              <w:rPr>
                <w:rFonts w:ascii="Arial" w:hAnsi="Arial" w:cs="Arial"/>
                <w:iCs/>
                <w:sz w:val="24"/>
                <w:szCs w:val="24"/>
              </w:rPr>
              <w:t xml:space="preserve">Strict compliance with the obligations to comply with directions under this section is critical to ensuring effective </w:t>
            </w:r>
            <w:r w:rsidR="00BA16E8">
              <w:rPr>
                <w:rFonts w:ascii="Arial" w:hAnsi="Arial" w:cs="Arial"/>
                <w:iCs/>
                <w:sz w:val="24"/>
                <w:szCs w:val="24"/>
              </w:rPr>
              <w:t>administration of the scheme,</w:t>
            </w:r>
            <w:r w:rsidR="00A52133">
              <w:rPr>
                <w:rFonts w:ascii="Arial" w:hAnsi="Arial" w:cs="Arial"/>
                <w:iCs/>
                <w:sz w:val="24"/>
                <w:szCs w:val="24"/>
              </w:rPr>
              <w:t xml:space="preserve"> and is inherent to the exclusion scheme’s capacity to realise its harm minimisation intent.</w:t>
            </w:r>
          </w:p>
        </w:tc>
      </w:tr>
      <w:tr w:rsidR="005974E1" w:rsidRPr="00913ABF" w14:paraId="66D24EC6" w14:textId="77777777" w:rsidTr="00F37EB9">
        <w:trPr>
          <w:cantSplit/>
          <w:trHeight w:val="993"/>
        </w:trPr>
        <w:tc>
          <w:tcPr>
            <w:tcW w:w="1980" w:type="dxa"/>
          </w:tcPr>
          <w:p w14:paraId="3A212020" w14:textId="0202B19B" w:rsidR="005974E1" w:rsidRPr="00A81EEA" w:rsidRDefault="005974E1" w:rsidP="005974E1">
            <w:pPr>
              <w:tabs>
                <w:tab w:val="left" w:pos="284"/>
              </w:tabs>
              <w:spacing w:after="0" w:line="280" w:lineRule="atLeast"/>
              <w:rPr>
                <w:rFonts w:ascii="Arial" w:hAnsi="Arial" w:cs="Arial"/>
                <w:sz w:val="24"/>
                <w:szCs w:val="24"/>
              </w:rPr>
            </w:pPr>
            <w:r w:rsidRPr="00A81EEA">
              <w:rPr>
                <w:rFonts w:ascii="Arial" w:hAnsi="Arial" w:cs="Arial"/>
                <w:sz w:val="24"/>
                <w:szCs w:val="24"/>
              </w:rPr>
              <w:lastRenderedPageBreak/>
              <w:t xml:space="preserve">Section </w:t>
            </w:r>
            <w:r w:rsidR="00DB28E5" w:rsidRPr="00A81EEA">
              <w:rPr>
                <w:rFonts w:ascii="Arial" w:hAnsi="Arial" w:cs="Arial"/>
                <w:sz w:val="24"/>
                <w:szCs w:val="24"/>
              </w:rPr>
              <w:t>1</w:t>
            </w:r>
            <w:r w:rsidR="00DB28E5">
              <w:rPr>
                <w:rFonts w:ascii="Arial" w:hAnsi="Arial" w:cs="Arial"/>
                <w:sz w:val="24"/>
                <w:szCs w:val="24"/>
              </w:rPr>
              <w:t>9</w:t>
            </w:r>
            <w:r w:rsidR="00BD7324">
              <w:rPr>
                <w:rFonts w:ascii="Arial" w:hAnsi="Arial" w:cs="Arial"/>
                <w:sz w:val="24"/>
                <w:szCs w:val="24"/>
              </w:rPr>
              <w:t>P</w:t>
            </w:r>
          </w:p>
          <w:p w14:paraId="23DA4265" w14:textId="77777777" w:rsidR="005974E1" w:rsidRPr="00A81EEA" w:rsidRDefault="005974E1" w:rsidP="005974E1">
            <w:pPr>
              <w:tabs>
                <w:tab w:val="left" w:pos="284"/>
              </w:tabs>
              <w:spacing w:after="0" w:line="280" w:lineRule="atLeast"/>
              <w:rPr>
                <w:rFonts w:ascii="Arial" w:hAnsi="Arial" w:cs="Arial"/>
                <w:sz w:val="24"/>
                <w:szCs w:val="24"/>
              </w:rPr>
            </w:pPr>
          </w:p>
          <w:p w14:paraId="2BE0E5E9" w14:textId="0731DD35" w:rsidR="005974E1" w:rsidRPr="00A81EEA" w:rsidRDefault="005974E1" w:rsidP="005974E1">
            <w:pPr>
              <w:tabs>
                <w:tab w:val="left" w:pos="29"/>
              </w:tabs>
              <w:spacing w:after="0" w:line="280" w:lineRule="atLeast"/>
              <w:rPr>
                <w:rFonts w:ascii="Arial" w:hAnsi="Arial" w:cs="Arial"/>
                <w:sz w:val="24"/>
                <w:szCs w:val="24"/>
              </w:rPr>
            </w:pPr>
            <w:r>
              <w:rPr>
                <w:rFonts w:ascii="Arial" w:hAnsi="Arial" w:cs="Arial"/>
                <w:sz w:val="24"/>
                <w:szCs w:val="24"/>
              </w:rPr>
              <w:t>Exclusion procedures</w:t>
            </w:r>
          </w:p>
        </w:tc>
        <w:tc>
          <w:tcPr>
            <w:tcW w:w="7229" w:type="dxa"/>
          </w:tcPr>
          <w:p w14:paraId="6DE0DEDA" w14:textId="3C642608" w:rsidR="005974E1" w:rsidRDefault="005974E1" w:rsidP="005974E1">
            <w:pPr>
              <w:spacing w:after="0" w:line="280" w:lineRule="atLeast"/>
              <w:rPr>
                <w:rFonts w:ascii="Arial" w:hAnsi="Arial" w:cs="Arial"/>
                <w:sz w:val="24"/>
                <w:szCs w:val="24"/>
              </w:rPr>
            </w:pPr>
            <w:r>
              <w:rPr>
                <w:rFonts w:ascii="Arial" w:hAnsi="Arial" w:cs="Arial"/>
                <w:sz w:val="24"/>
                <w:szCs w:val="24"/>
              </w:rPr>
              <w:t xml:space="preserve">The licensee can be </w:t>
            </w:r>
            <w:r w:rsidRPr="00AF7A62">
              <w:rPr>
                <w:rFonts w:ascii="Arial" w:hAnsi="Arial" w:cs="Arial"/>
                <w:iCs/>
                <w:sz w:val="24"/>
                <w:szCs w:val="24"/>
              </w:rPr>
              <w:t>expected to have a high degree of awareness and understand</w:t>
            </w:r>
            <w:r>
              <w:rPr>
                <w:rFonts w:ascii="Arial" w:hAnsi="Arial" w:cs="Arial"/>
                <w:iCs/>
                <w:sz w:val="24"/>
                <w:szCs w:val="24"/>
              </w:rPr>
              <w:t>ing</w:t>
            </w:r>
            <w:r w:rsidRPr="00AF7A62">
              <w:rPr>
                <w:rFonts w:ascii="Arial" w:hAnsi="Arial" w:cs="Arial"/>
                <w:iCs/>
                <w:sz w:val="24"/>
                <w:szCs w:val="24"/>
              </w:rPr>
              <w:t xml:space="preserve"> of the</w:t>
            </w:r>
            <w:r>
              <w:rPr>
                <w:rFonts w:ascii="Arial" w:hAnsi="Arial" w:cs="Arial"/>
                <w:iCs/>
                <w:sz w:val="24"/>
                <w:szCs w:val="24"/>
              </w:rPr>
              <w:t xml:space="preserve"> gambling exclusion framework </w:t>
            </w:r>
            <w:r w:rsidRPr="00F5492E">
              <w:rPr>
                <w:rFonts w:ascii="Arial" w:hAnsi="Arial" w:cs="Arial"/>
                <w:iCs/>
                <w:sz w:val="24"/>
                <w:szCs w:val="24"/>
              </w:rPr>
              <w:t>because of their involvement with the regulated activity</w:t>
            </w:r>
            <w:r>
              <w:rPr>
                <w:rFonts w:ascii="Arial" w:hAnsi="Arial" w:cs="Arial"/>
                <w:iCs/>
                <w:sz w:val="24"/>
                <w:szCs w:val="24"/>
              </w:rPr>
              <w:t xml:space="preserve">. Therefore, the licensee can be </w:t>
            </w:r>
            <w:r w:rsidRPr="00AF7A62">
              <w:rPr>
                <w:rFonts w:ascii="Arial" w:hAnsi="Arial" w:cs="Arial"/>
                <w:iCs/>
                <w:sz w:val="24"/>
                <w:szCs w:val="24"/>
              </w:rPr>
              <w:t xml:space="preserve">reasonably expected to </w:t>
            </w:r>
            <w:r w:rsidR="00381937">
              <w:rPr>
                <w:rFonts w:ascii="Arial" w:hAnsi="Arial" w:cs="Arial"/>
                <w:iCs/>
                <w:sz w:val="24"/>
                <w:szCs w:val="24"/>
              </w:rPr>
              <w:t>know they must</w:t>
            </w:r>
            <w:r w:rsidR="004F61E0">
              <w:rPr>
                <w:rFonts w:ascii="Arial" w:hAnsi="Arial" w:cs="Arial"/>
                <w:iCs/>
                <w:sz w:val="24"/>
                <w:szCs w:val="24"/>
              </w:rPr>
              <w:t xml:space="preserve"> have procedures in place and</w:t>
            </w:r>
            <w:r w:rsidR="00381937">
              <w:rPr>
                <w:rFonts w:ascii="Arial" w:hAnsi="Arial" w:cs="Arial"/>
                <w:iCs/>
                <w:sz w:val="24"/>
                <w:szCs w:val="24"/>
              </w:rPr>
              <w:t xml:space="preserve"> </w:t>
            </w:r>
            <w:r>
              <w:rPr>
                <w:rFonts w:ascii="Arial" w:hAnsi="Arial" w:cs="Arial"/>
                <w:iCs/>
                <w:sz w:val="24"/>
                <w:szCs w:val="24"/>
              </w:rPr>
              <w:t xml:space="preserve">follow the Commission’s directions in </w:t>
            </w:r>
            <w:r w:rsidR="004F61E0">
              <w:rPr>
                <w:rFonts w:ascii="Arial" w:hAnsi="Arial" w:cs="Arial"/>
                <w:iCs/>
                <w:sz w:val="24"/>
                <w:szCs w:val="24"/>
              </w:rPr>
              <w:t>those procedures</w:t>
            </w:r>
            <w:r w:rsidRPr="00AF7A62">
              <w:rPr>
                <w:rFonts w:ascii="Arial" w:hAnsi="Arial" w:cs="Arial"/>
                <w:iCs/>
                <w:sz w:val="24"/>
                <w:szCs w:val="24"/>
              </w:rPr>
              <w:t>, and therefore the fault element can justifiably be excluded.</w:t>
            </w:r>
            <w:r w:rsidR="00600DB6">
              <w:rPr>
                <w:rFonts w:ascii="Arial" w:hAnsi="Arial" w:cs="Arial"/>
                <w:iCs/>
                <w:sz w:val="24"/>
                <w:szCs w:val="24"/>
              </w:rPr>
              <w:t xml:space="preserve"> Strict compliance with the obligations to prepare procedures </w:t>
            </w:r>
            <w:r w:rsidR="004F61E0">
              <w:rPr>
                <w:rFonts w:ascii="Arial" w:hAnsi="Arial" w:cs="Arial"/>
                <w:iCs/>
                <w:sz w:val="24"/>
                <w:szCs w:val="24"/>
              </w:rPr>
              <w:t>and comply with the Commission’s direction in relation to these</w:t>
            </w:r>
            <w:r w:rsidR="00DB28E5">
              <w:rPr>
                <w:rFonts w:ascii="Arial" w:hAnsi="Arial" w:cs="Arial"/>
                <w:iCs/>
                <w:sz w:val="24"/>
                <w:szCs w:val="24"/>
              </w:rPr>
              <w:t xml:space="preserve"> </w:t>
            </w:r>
            <w:r w:rsidR="00600DB6">
              <w:rPr>
                <w:rFonts w:ascii="Arial" w:hAnsi="Arial" w:cs="Arial"/>
                <w:iCs/>
                <w:sz w:val="24"/>
                <w:szCs w:val="24"/>
              </w:rPr>
              <w:t>is critical to ensuring effective delivery of the exclusion scheme, and is inherent to the exclusion scheme’s capacity to realise its harm minimisation intent.</w:t>
            </w:r>
          </w:p>
        </w:tc>
      </w:tr>
      <w:tr w:rsidR="005974E1" w:rsidRPr="00913ABF" w14:paraId="733B67F4" w14:textId="77777777" w:rsidTr="00F37EB9">
        <w:trPr>
          <w:cantSplit/>
          <w:trHeight w:val="993"/>
        </w:trPr>
        <w:tc>
          <w:tcPr>
            <w:tcW w:w="1980" w:type="dxa"/>
          </w:tcPr>
          <w:p w14:paraId="6B44E751" w14:textId="196E860F" w:rsidR="005974E1" w:rsidRDefault="005974E1" w:rsidP="005974E1">
            <w:pPr>
              <w:tabs>
                <w:tab w:val="left" w:pos="284"/>
              </w:tabs>
              <w:spacing w:after="0" w:line="280" w:lineRule="atLeast"/>
              <w:rPr>
                <w:rFonts w:ascii="Arial" w:hAnsi="Arial" w:cs="Arial"/>
                <w:sz w:val="24"/>
                <w:szCs w:val="24"/>
              </w:rPr>
            </w:pPr>
            <w:r>
              <w:rPr>
                <w:rFonts w:ascii="Arial" w:hAnsi="Arial" w:cs="Arial"/>
                <w:sz w:val="24"/>
                <w:szCs w:val="24"/>
              </w:rPr>
              <w:t>Section 19</w:t>
            </w:r>
            <w:r w:rsidR="00BD7324">
              <w:rPr>
                <w:rFonts w:ascii="Arial" w:hAnsi="Arial" w:cs="Arial"/>
                <w:sz w:val="24"/>
                <w:szCs w:val="24"/>
              </w:rPr>
              <w:t>V</w:t>
            </w:r>
          </w:p>
          <w:p w14:paraId="4D6B0E8D" w14:textId="77777777" w:rsidR="005974E1" w:rsidRDefault="005974E1" w:rsidP="005974E1">
            <w:pPr>
              <w:tabs>
                <w:tab w:val="left" w:pos="284"/>
              </w:tabs>
              <w:spacing w:after="0" w:line="280" w:lineRule="atLeast"/>
              <w:rPr>
                <w:rFonts w:ascii="Arial" w:hAnsi="Arial" w:cs="Arial"/>
                <w:sz w:val="24"/>
                <w:szCs w:val="24"/>
              </w:rPr>
            </w:pPr>
          </w:p>
          <w:p w14:paraId="1E53FFB4" w14:textId="1F1A2871" w:rsidR="005974E1" w:rsidRPr="00A81EEA" w:rsidRDefault="005974E1" w:rsidP="005974E1">
            <w:pPr>
              <w:tabs>
                <w:tab w:val="left" w:pos="284"/>
              </w:tabs>
              <w:spacing w:after="0" w:line="280" w:lineRule="atLeast"/>
              <w:ind w:left="284" w:hanging="284"/>
              <w:rPr>
                <w:rFonts w:ascii="Arial" w:hAnsi="Arial" w:cs="Arial"/>
                <w:sz w:val="24"/>
                <w:szCs w:val="24"/>
              </w:rPr>
            </w:pPr>
            <w:r w:rsidRPr="00A325ED">
              <w:rPr>
                <w:rFonts w:ascii="Arial" w:hAnsi="Arial" w:cs="Arial"/>
                <w:sz w:val="24"/>
                <w:szCs w:val="24"/>
              </w:rPr>
              <w:t>Offence—using accounts of excluded people</w:t>
            </w:r>
          </w:p>
        </w:tc>
        <w:tc>
          <w:tcPr>
            <w:tcW w:w="7229" w:type="dxa"/>
          </w:tcPr>
          <w:p w14:paraId="17856333" w14:textId="59E6B064" w:rsidR="005974E1" w:rsidRDefault="005974E1" w:rsidP="005974E1">
            <w:pPr>
              <w:spacing w:after="0" w:line="280" w:lineRule="atLeast"/>
              <w:rPr>
                <w:rFonts w:ascii="Arial" w:hAnsi="Arial" w:cs="Arial"/>
                <w:sz w:val="24"/>
                <w:szCs w:val="24"/>
              </w:rPr>
            </w:pPr>
            <w:r>
              <w:rPr>
                <w:rFonts w:ascii="Arial" w:hAnsi="Arial" w:cs="Arial"/>
                <w:sz w:val="24"/>
                <w:szCs w:val="24"/>
              </w:rPr>
              <w:t xml:space="preserve">The licensee can be </w:t>
            </w:r>
            <w:r w:rsidRPr="00AF7A62">
              <w:rPr>
                <w:rFonts w:ascii="Arial" w:hAnsi="Arial" w:cs="Arial"/>
                <w:iCs/>
                <w:sz w:val="24"/>
                <w:szCs w:val="24"/>
              </w:rPr>
              <w:t>expected to have a high degree of awareness and understand</w:t>
            </w:r>
            <w:r>
              <w:rPr>
                <w:rFonts w:ascii="Arial" w:hAnsi="Arial" w:cs="Arial"/>
                <w:iCs/>
                <w:sz w:val="24"/>
                <w:szCs w:val="24"/>
              </w:rPr>
              <w:t>ing</w:t>
            </w:r>
            <w:r w:rsidRPr="00AF7A62">
              <w:rPr>
                <w:rFonts w:ascii="Arial" w:hAnsi="Arial" w:cs="Arial"/>
                <w:iCs/>
                <w:sz w:val="24"/>
                <w:szCs w:val="24"/>
              </w:rPr>
              <w:t xml:space="preserve"> of the</w:t>
            </w:r>
            <w:r>
              <w:rPr>
                <w:rFonts w:ascii="Arial" w:hAnsi="Arial" w:cs="Arial"/>
                <w:iCs/>
                <w:sz w:val="24"/>
                <w:szCs w:val="24"/>
              </w:rPr>
              <w:t xml:space="preserve"> gambling exclusion framework </w:t>
            </w:r>
            <w:r w:rsidRPr="00F5492E">
              <w:rPr>
                <w:rFonts w:ascii="Arial" w:hAnsi="Arial" w:cs="Arial"/>
                <w:iCs/>
                <w:sz w:val="24"/>
                <w:szCs w:val="24"/>
              </w:rPr>
              <w:t>because of their involvement with the regulated activity</w:t>
            </w:r>
            <w:r>
              <w:rPr>
                <w:rFonts w:ascii="Arial" w:hAnsi="Arial" w:cs="Arial"/>
                <w:iCs/>
                <w:sz w:val="24"/>
                <w:szCs w:val="24"/>
              </w:rPr>
              <w:t xml:space="preserve">. Therefore, the licensee can be </w:t>
            </w:r>
            <w:r w:rsidRPr="00AF7A62">
              <w:rPr>
                <w:rFonts w:ascii="Arial" w:hAnsi="Arial" w:cs="Arial"/>
                <w:iCs/>
                <w:sz w:val="24"/>
                <w:szCs w:val="24"/>
              </w:rPr>
              <w:t xml:space="preserve">reasonably expected to </w:t>
            </w:r>
            <w:r>
              <w:rPr>
                <w:rFonts w:ascii="Arial" w:hAnsi="Arial" w:cs="Arial"/>
                <w:iCs/>
                <w:sz w:val="24"/>
                <w:szCs w:val="24"/>
              </w:rPr>
              <w:t>know their obligations to follow the Commission’s directions in relation to gambling exclusion procedures</w:t>
            </w:r>
            <w:r w:rsidRPr="00AF7A62">
              <w:rPr>
                <w:rFonts w:ascii="Arial" w:hAnsi="Arial" w:cs="Arial"/>
                <w:iCs/>
                <w:sz w:val="24"/>
                <w:szCs w:val="24"/>
              </w:rPr>
              <w:t>, and therefore the fault element can justifiably be excluded.</w:t>
            </w:r>
            <w:r>
              <w:rPr>
                <w:rFonts w:ascii="Arial" w:hAnsi="Arial" w:cs="Arial"/>
                <w:iCs/>
                <w:sz w:val="24"/>
                <w:szCs w:val="24"/>
              </w:rPr>
              <w:t xml:space="preserve"> </w:t>
            </w:r>
            <w:r w:rsidR="00A37C47">
              <w:rPr>
                <w:rFonts w:ascii="Arial" w:hAnsi="Arial" w:cs="Arial"/>
                <w:iCs/>
                <w:sz w:val="24"/>
                <w:szCs w:val="24"/>
              </w:rPr>
              <w:t xml:space="preserve">Strict compliance with the obligations to </w:t>
            </w:r>
            <w:r w:rsidR="00345E17">
              <w:rPr>
                <w:rFonts w:ascii="Arial" w:hAnsi="Arial" w:cs="Arial"/>
                <w:iCs/>
                <w:sz w:val="24"/>
                <w:szCs w:val="24"/>
              </w:rPr>
              <w:t>not allow individuals to use the accounts of excluded people</w:t>
            </w:r>
            <w:r w:rsidR="00A37C47">
              <w:rPr>
                <w:rFonts w:ascii="Arial" w:hAnsi="Arial" w:cs="Arial"/>
                <w:iCs/>
                <w:sz w:val="24"/>
                <w:szCs w:val="24"/>
              </w:rPr>
              <w:t xml:space="preserve"> is critical to ensuring effective delivery of the exclusion scheme, and is inherent to the exclusion scheme’s capacity to realise its harm minimisation intent.</w:t>
            </w:r>
          </w:p>
        </w:tc>
      </w:tr>
      <w:tr w:rsidR="005974E1" w:rsidRPr="00913ABF" w14:paraId="7D3A8584" w14:textId="77777777" w:rsidTr="00F37EB9">
        <w:trPr>
          <w:cantSplit/>
          <w:trHeight w:val="993"/>
        </w:trPr>
        <w:tc>
          <w:tcPr>
            <w:tcW w:w="1980" w:type="dxa"/>
          </w:tcPr>
          <w:p w14:paraId="70A5D052" w14:textId="4019B6A8" w:rsidR="005974E1" w:rsidRDefault="005974E1" w:rsidP="005974E1">
            <w:pPr>
              <w:tabs>
                <w:tab w:val="left" w:pos="284"/>
              </w:tabs>
              <w:spacing w:after="0" w:line="280" w:lineRule="atLeast"/>
              <w:rPr>
                <w:rFonts w:ascii="Arial" w:hAnsi="Arial" w:cs="Arial"/>
                <w:sz w:val="24"/>
                <w:szCs w:val="24"/>
              </w:rPr>
            </w:pPr>
            <w:r>
              <w:rPr>
                <w:rFonts w:ascii="Arial" w:hAnsi="Arial" w:cs="Arial"/>
                <w:sz w:val="24"/>
                <w:szCs w:val="24"/>
              </w:rPr>
              <w:t xml:space="preserve">Section </w:t>
            </w:r>
            <w:r w:rsidR="00DB28E5">
              <w:rPr>
                <w:rFonts w:ascii="Arial" w:hAnsi="Arial" w:cs="Arial"/>
                <w:sz w:val="24"/>
                <w:szCs w:val="24"/>
              </w:rPr>
              <w:t>19</w:t>
            </w:r>
            <w:r w:rsidR="00BD7324">
              <w:rPr>
                <w:rFonts w:ascii="Arial" w:hAnsi="Arial" w:cs="Arial"/>
                <w:sz w:val="24"/>
                <w:szCs w:val="24"/>
              </w:rPr>
              <w:t>W</w:t>
            </w:r>
          </w:p>
          <w:p w14:paraId="2435D02E" w14:textId="77777777" w:rsidR="005974E1" w:rsidRDefault="005974E1" w:rsidP="005974E1">
            <w:pPr>
              <w:tabs>
                <w:tab w:val="left" w:pos="284"/>
              </w:tabs>
              <w:spacing w:after="0" w:line="280" w:lineRule="atLeast"/>
              <w:rPr>
                <w:rFonts w:ascii="Arial" w:hAnsi="Arial" w:cs="Arial"/>
                <w:sz w:val="24"/>
                <w:szCs w:val="24"/>
              </w:rPr>
            </w:pPr>
          </w:p>
          <w:p w14:paraId="1CC98FB5" w14:textId="3F8027E3" w:rsidR="005974E1" w:rsidRPr="00A81EEA" w:rsidRDefault="005974E1" w:rsidP="005974E1">
            <w:pPr>
              <w:tabs>
                <w:tab w:val="left" w:pos="29"/>
              </w:tabs>
              <w:spacing w:after="0" w:line="280" w:lineRule="atLeast"/>
              <w:rPr>
                <w:rFonts w:ascii="Arial" w:hAnsi="Arial" w:cs="Arial"/>
                <w:sz w:val="24"/>
                <w:szCs w:val="24"/>
              </w:rPr>
            </w:pPr>
            <w:r w:rsidRPr="00A325ED">
              <w:rPr>
                <w:rFonts w:ascii="Arial" w:hAnsi="Arial" w:cs="Arial"/>
                <w:sz w:val="24"/>
                <w:szCs w:val="24"/>
              </w:rPr>
              <w:t>Offence—sending promotional material to excluded people</w:t>
            </w:r>
          </w:p>
        </w:tc>
        <w:tc>
          <w:tcPr>
            <w:tcW w:w="7229" w:type="dxa"/>
          </w:tcPr>
          <w:p w14:paraId="7B9AD06B" w14:textId="4767DDB8" w:rsidR="005974E1" w:rsidRDefault="005974E1" w:rsidP="005974E1">
            <w:pPr>
              <w:spacing w:after="0" w:line="280" w:lineRule="atLeast"/>
              <w:rPr>
                <w:rFonts w:ascii="Arial" w:hAnsi="Arial" w:cs="Arial"/>
                <w:sz w:val="24"/>
                <w:szCs w:val="24"/>
              </w:rPr>
            </w:pPr>
            <w:r>
              <w:rPr>
                <w:rFonts w:ascii="Arial" w:hAnsi="Arial" w:cs="Arial"/>
                <w:sz w:val="24"/>
                <w:szCs w:val="24"/>
              </w:rPr>
              <w:t xml:space="preserve">The licensee can be </w:t>
            </w:r>
            <w:r w:rsidRPr="00AF7A62">
              <w:rPr>
                <w:rFonts w:ascii="Arial" w:hAnsi="Arial" w:cs="Arial"/>
                <w:iCs/>
                <w:sz w:val="24"/>
                <w:szCs w:val="24"/>
              </w:rPr>
              <w:t>expected to have a high degree of awareness and understand</w:t>
            </w:r>
            <w:r>
              <w:rPr>
                <w:rFonts w:ascii="Arial" w:hAnsi="Arial" w:cs="Arial"/>
                <w:iCs/>
                <w:sz w:val="24"/>
                <w:szCs w:val="24"/>
              </w:rPr>
              <w:t>ing</w:t>
            </w:r>
            <w:r w:rsidRPr="00AF7A62">
              <w:rPr>
                <w:rFonts w:ascii="Arial" w:hAnsi="Arial" w:cs="Arial"/>
                <w:iCs/>
                <w:sz w:val="24"/>
                <w:szCs w:val="24"/>
              </w:rPr>
              <w:t xml:space="preserve"> of the</w:t>
            </w:r>
            <w:r>
              <w:rPr>
                <w:rFonts w:ascii="Arial" w:hAnsi="Arial" w:cs="Arial"/>
                <w:iCs/>
                <w:sz w:val="24"/>
                <w:szCs w:val="24"/>
              </w:rPr>
              <w:t xml:space="preserve"> gambling exclusion framework </w:t>
            </w:r>
            <w:r w:rsidRPr="00F5492E">
              <w:rPr>
                <w:rFonts w:ascii="Arial" w:hAnsi="Arial" w:cs="Arial"/>
                <w:iCs/>
                <w:sz w:val="24"/>
                <w:szCs w:val="24"/>
              </w:rPr>
              <w:t>because of their involvement with the regulated activity</w:t>
            </w:r>
            <w:r>
              <w:rPr>
                <w:rFonts w:ascii="Arial" w:hAnsi="Arial" w:cs="Arial"/>
                <w:iCs/>
                <w:sz w:val="24"/>
                <w:szCs w:val="24"/>
              </w:rPr>
              <w:t xml:space="preserve">. Therefore, the licensee can be </w:t>
            </w:r>
            <w:r w:rsidRPr="00AF7A62">
              <w:rPr>
                <w:rFonts w:ascii="Arial" w:hAnsi="Arial" w:cs="Arial"/>
                <w:iCs/>
                <w:sz w:val="24"/>
                <w:szCs w:val="24"/>
              </w:rPr>
              <w:t xml:space="preserve">reasonably expected to </w:t>
            </w:r>
            <w:r>
              <w:rPr>
                <w:rFonts w:ascii="Arial" w:hAnsi="Arial" w:cs="Arial"/>
                <w:iCs/>
                <w:sz w:val="24"/>
                <w:szCs w:val="24"/>
              </w:rPr>
              <w:t xml:space="preserve">know their obligations to prevent a person using the account of an excluded person to engage in a gambling activity, </w:t>
            </w:r>
            <w:r w:rsidRPr="00AF7A62">
              <w:rPr>
                <w:rFonts w:ascii="Arial" w:hAnsi="Arial" w:cs="Arial"/>
                <w:iCs/>
                <w:sz w:val="24"/>
                <w:szCs w:val="24"/>
              </w:rPr>
              <w:t>and therefore the fault element can justifiably be excluded.</w:t>
            </w:r>
            <w:r w:rsidR="00345E17">
              <w:rPr>
                <w:rFonts w:ascii="Arial" w:hAnsi="Arial" w:cs="Arial"/>
                <w:iCs/>
                <w:sz w:val="24"/>
                <w:szCs w:val="24"/>
              </w:rPr>
              <w:t xml:space="preserve"> Strict compliance with the obligations to not send promotion material to excluded people is critical to ensuring effective delivery of the exclusion scheme, and is inherent to the exclusion scheme’s capacity to realise its harm minimisation intent.</w:t>
            </w:r>
            <w:r w:rsidR="00214E18">
              <w:rPr>
                <w:rFonts w:ascii="Arial" w:hAnsi="Arial" w:cs="Arial"/>
                <w:iCs/>
                <w:sz w:val="24"/>
                <w:szCs w:val="24"/>
              </w:rPr>
              <w:t xml:space="preserve"> </w:t>
            </w:r>
            <w:r w:rsidR="00214E18" w:rsidRPr="00CD53BA">
              <w:rPr>
                <w:rFonts w:ascii="Arial" w:hAnsi="Arial" w:cs="Arial"/>
                <w:sz w:val="24"/>
                <w:szCs w:val="24"/>
              </w:rPr>
              <w:t xml:space="preserve">It would impose a significant burden on the </w:t>
            </w:r>
            <w:r w:rsidR="00214E18">
              <w:rPr>
                <w:rFonts w:ascii="Arial" w:hAnsi="Arial" w:cs="Arial"/>
                <w:sz w:val="24"/>
                <w:szCs w:val="24"/>
              </w:rPr>
              <w:t>prosecution</w:t>
            </w:r>
            <w:r w:rsidR="00214E18" w:rsidRPr="00CD53BA">
              <w:rPr>
                <w:rFonts w:ascii="Arial" w:hAnsi="Arial" w:cs="Arial"/>
                <w:sz w:val="24"/>
                <w:szCs w:val="24"/>
              </w:rPr>
              <w:t xml:space="preserve"> if they were required in every case of suspected non-compliance to prove the counterfactual (i.e. prove that </w:t>
            </w:r>
            <w:r w:rsidR="00FA263D">
              <w:rPr>
                <w:rFonts w:ascii="Arial" w:hAnsi="Arial" w:cs="Arial"/>
                <w:sz w:val="24"/>
                <w:szCs w:val="24"/>
              </w:rPr>
              <w:t xml:space="preserve">the promotional material was not made </w:t>
            </w:r>
            <w:r w:rsidR="00A9153F">
              <w:rPr>
                <w:rFonts w:ascii="Arial" w:hAnsi="Arial" w:cs="Arial"/>
                <w:sz w:val="24"/>
                <w:szCs w:val="24"/>
              </w:rPr>
              <w:t>available</w:t>
            </w:r>
            <w:r w:rsidR="00FA263D">
              <w:rPr>
                <w:rFonts w:ascii="Arial" w:hAnsi="Arial" w:cs="Arial"/>
                <w:sz w:val="24"/>
                <w:szCs w:val="24"/>
              </w:rPr>
              <w:t xml:space="preserve"> to the </w:t>
            </w:r>
            <w:r w:rsidR="00A9153F">
              <w:rPr>
                <w:rFonts w:ascii="Arial" w:hAnsi="Arial" w:cs="Arial"/>
                <w:sz w:val="24"/>
                <w:szCs w:val="24"/>
              </w:rPr>
              <w:t>public</w:t>
            </w:r>
            <w:r w:rsidR="00214E18">
              <w:rPr>
                <w:rFonts w:ascii="Arial" w:hAnsi="Arial" w:cs="Arial"/>
                <w:sz w:val="24"/>
                <w:szCs w:val="24"/>
              </w:rPr>
              <w:t>). This ensures effective administration of, and compliance with, the scheme.</w:t>
            </w:r>
          </w:p>
        </w:tc>
      </w:tr>
    </w:tbl>
    <w:p w14:paraId="37299D1B" w14:textId="77777777" w:rsidR="00F37EB9" w:rsidRDefault="00F37EB9" w:rsidP="00E90DF9">
      <w:pPr>
        <w:spacing w:after="0" w:line="240" w:lineRule="auto"/>
        <w:rPr>
          <w:rFonts w:asciiTheme="minorHAnsi" w:hAnsiTheme="minorHAnsi" w:cs="Arial"/>
          <w:b/>
          <w:sz w:val="28"/>
          <w:szCs w:val="28"/>
          <w:lang w:eastAsia="en-AU"/>
        </w:rPr>
      </w:pPr>
      <w:bookmarkStart w:id="1" w:name="OLE_LINK1"/>
    </w:p>
    <w:p w14:paraId="1592FE54" w14:textId="77777777" w:rsidR="008F2FC6" w:rsidRDefault="008F2FC6">
      <w:pPr>
        <w:spacing w:after="160" w:line="259" w:lineRule="auto"/>
        <w:rPr>
          <w:rFonts w:ascii="Arial" w:hAnsi="Arial" w:cs="Arial"/>
          <w:iCs/>
          <w:sz w:val="24"/>
          <w:szCs w:val="24"/>
          <w:u w:val="single"/>
        </w:rPr>
      </w:pPr>
      <w:r>
        <w:rPr>
          <w:rFonts w:ascii="Arial" w:hAnsi="Arial" w:cs="Arial"/>
          <w:iCs/>
          <w:sz w:val="24"/>
          <w:szCs w:val="24"/>
          <w:u w:val="single"/>
        </w:rPr>
        <w:br w:type="page"/>
      </w:r>
    </w:p>
    <w:p w14:paraId="527CD46C" w14:textId="7242A4D7" w:rsidR="00F37EB9" w:rsidRPr="008B5305" w:rsidRDefault="00F37EB9" w:rsidP="00F37EB9">
      <w:pPr>
        <w:rPr>
          <w:rFonts w:ascii="Arial" w:hAnsi="Arial" w:cs="Arial"/>
          <w:iCs/>
          <w:sz w:val="24"/>
          <w:szCs w:val="24"/>
          <w:u w:val="single"/>
        </w:rPr>
      </w:pPr>
      <w:r>
        <w:rPr>
          <w:rFonts w:ascii="Arial" w:hAnsi="Arial" w:cs="Arial"/>
          <w:iCs/>
          <w:sz w:val="24"/>
          <w:szCs w:val="24"/>
          <w:u w:val="single"/>
        </w:rPr>
        <w:lastRenderedPageBreak/>
        <w:t xml:space="preserve">Section </w:t>
      </w:r>
      <w:r w:rsidR="009211F2">
        <w:rPr>
          <w:rFonts w:ascii="Arial" w:hAnsi="Arial" w:cs="Arial"/>
          <w:iCs/>
          <w:sz w:val="24"/>
          <w:szCs w:val="24"/>
          <w:u w:val="single"/>
        </w:rPr>
        <w:t>27B</w:t>
      </w:r>
      <w:r w:rsidRPr="008B5305">
        <w:rPr>
          <w:rFonts w:ascii="Arial" w:hAnsi="Arial" w:cs="Arial"/>
          <w:iCs/>
          <w:sz w:val="24"/>
          <w:szCs w:val="24"/>
          <w:u w:val="single"/>
        </w:rPr>
        <w:t xml:space="preserve"> – right to</w:t>
      </w:r>
      <w:r w:rsidR="009211F2">
        <w:rPr>
          <w:rFonts w:ascii="Arial" w:hAnsi="Arial" w:cs="Arial"/>
          <w:iCs/>
          <w:sz w:val="24"/>
          <w:szCs w:val="24"/>
          <w:u w:val="single"/>
        </w:rPr>
        <w:t xml:space="preserve"> work and other work-related rights</w:t>
      </w:r>
      <w:r w:rsidRPr="008B5305">
        <w:rPr>
          <w:rFonts w:ascii="Arial" w:hAnsi="Arial" w:cs="Arial"/>
          <w:iCs/>
          <w:sz w:val="24"/>
          <w:szCs w:val="24"/>
          <w:u w:val="single"/>
        </w:rPr>
        <w:t xml:space="preserve"> </w:t>
      </w:r>
    </w:p>
    <w:p w14:paraId="19EE153E" w14:textId="77777777" w:rsidR="00F37EB9" w:rsidRPr="00414921" w:rsidRDefault="00F37EB9" w:rsidP="00E018F3">
      <w:pPr>
        <w:pStyle w:val="ListParagraph"/>
        <w:numPr>
          <w:ilvl w:val="0"/>
          <w:numId w:val="41"/>
        </w:numPr>
        <w:rPr>
          <w:rFonts w:ascii="Arial" w:hAnsi="Arial" w:cs="Arial"/>
          <w:b/>
          <w:bCs/>
          <w:i/>
          <w:sz w:val="24"/>
          <w:szCs w:val="24"/>
        </w:rPr>
      </w:pPr>
      <w:r w:rsidRPr="00414921">
        <w:rPr>
          <w:rFonts w:ascii="Arial" w:hAnsi="Arial" w:cs="Arial"/>
          <w:b/>
          <w:bCs/>
          <w:i/>
          <w:sz w:val="24"/>
          <w:szCs w:val="24"/>
        </w:rPr>
        <w:t>Nature of the right and the limitation (s28</w:t>
      </w:r>
      <w:r>
        <w:rPr>
          <w:rFonts w:ascii="Arial" w:hAnsi="Arial" w:cs="Arial"/>
          <w:b/>
          <w:bCs/>
          <w:i/>
          <w:sz w:val="24"/>
          <w:szCs w:val="24"/>
        </w:rPr>
        <w:t>(2)</w:t>
      </w:r>
      <w:r w:rsidRPr="00414921">
        <w:rPr>
          <w:rFonts w:ascii="Arial" w:hAnsi="Arial" w:cs="Arial"/>
          <w:b/>
          <w:bCs/>
          <w:i/>
          <w:sz w:val="24"/>
          <w:szCs w:val="24"/>
        </w:rPr>
        <w:t>(a) and</w:t>
      </w:r>
      <w:r>
        <w:rPr>
          <w:rFonts w:ascii="Arial" w:hAnsi="Arial" w:cs="Arial"/>
          <w:b/>
          <w:bCs/>
          <w:i/>
          <w:sz w:val="24"/>
          <w:szCs w:val="24"/>
        </w:rPr>
        <w:t xml:space="preserve"> </w:t>
      </w:r>
      <w:r w:rsidRPr="00414921">
        <w:rPr>
          <w:rFonts w:ascii="Arial" w:hAnsi="Arial" w:cs="Arial"/>
          <w:b/>
          <w:bCs/>
          <w:i/>
          <w:sz w:val="24"/>
          <w:szCs w:val="24"/>
        </w:rPr>
        <w:t>(c))</w:t>
      </w:r>
    </w:p>
    <w:p w14:paraId="5DB1B57A" w14:textId="64F942C4" w:rsidR="00F37EB9" w:rsidRPr="005A129C" w:rsidRDefault="00F37EB9" w:rsidP="00F37EB9">
      <w:pPr>
        <w:rPr>
          <w:rFonts w:ascii="Arial" w:hAnsi="Arial" w:cs="Arial"/>
          <w:iCs/>
          <w:sz w:val="24"/>
          <w:szCs w:val="24"/>
        </w:rPr>
      </w:pPr>
      <w:r w:rsidRPr="005A129C">
        <w:rPr>
          <w:rFonts w:ascii="Arial" w:hAnsi="Arial" w:cs="Arial"/>
          <w:iCs/>
          <w:sz w:val="24"/>
          <w:szCs w:val="24"/>
        </w:rPr>
        <w:t xml:space="preserve">Under section </w:t>
      </w:r>
      <w:r w:rsidR="009211F2">
        <w:rPr>
          <w:rFonts w:ascii="Arial" w:hAnsi="Arial" w:cs="Arial"/>
          <w:iCs/>
          <w:sz w:val="24"/>
          <w:szCs w:val="24"/>
        </w:rPr>
        <w:t>27B</w:t>
      </w:r>
      <w:r w:rsidRPr="005A129C">
        <w:rPr>
          <w:rFonts w:ascii="Arial" w:hAnsi="Arial" w:cs="Arial"/>
          <w:iCs/>
          <w:sz w:val="24"/>
          <w:szCs w:val="24"/>
        </w:rPr>
        <w:t xml:space="preserve"> of the HRA, everyone has the right to</w:t>
      </w:r>
      <w:r w:rsidR="009211F2">
        <w:rPr>
          <w:rFonts w:ascii="Arial" w:hAnsi="Arial" w:cs="Arial"/>
          <w:iCs/>
          <w:sz w:val="24"/>
          <w:szCs w:val="24"/>
        </w:rPr>
        <w:t xml:space="preserve"> work. </w:t>
      </w:r>
      <w:r w:rsidR="00486EE1">
        <w:rPr>
          <w:rFonts w:ascii="Arial" w:hAnsi="Arial" w:cs="Arial"/>
          <w:iCs/>
          <w:sz w:val="24"/>
          <w:szCs w:val="24"/>
        </w:rPr>
        <w:t xml:space="preserve">There is the potential for this right to be limited by </w:t>
      </w:r>
      <w:r w:rsidR="00AE0A52">
        <w:rPr>
          <w:rFonts w:ascii="Arial" w:hAnsi="Arial" w:cs="Arial"/>
          <w:iCs/>
          <w:sz w:val="24"/>
          <w:szCs w:val="24"/>
        </w:rPr>
        <w:t>implications of licensees failing to comply with the regulations the Bill imposes</w:t>
      </w:r>
      <w:r w:rsidR="0046766B">
        <w:rPr>
          <w:rFonts w:ascii="Arial" w:hAnsi="Arial" w:cs="Arial"/>
          <w:iCs/>
          <w:sz w:val="24"/>
          <w:szCs w:val="24"/>
        </w:rPr>
        <w:t xml:space="preserve">. If such failures result in </w:t>
      </w:r>
      <w:r w:rsidR="008D5BC8">
        <w:rPr>
          <w:rFonts w:ascii="Arial" w:hAnsi="Arial" w:cs="Arial"/>
          <w:iCs/>
          <w:sz w:val="24"/>
          <w:szCs w:val="24"/>
        </w:rPr>
        <w:t xml:space="preserve">a licensee no longer being permitted to operate, its </w:t>
      </w:r>
      <w:r w:rsidR="00D950E3">
        <w:rPr>
          <w:rFonts w:ascii="Arial" w:hAnsi="Arial" w:cs="Arial"/>
          <w:iCs/>
          <w:sz w:val="24"/>
          <w:szCs w:val="24"/>
        </w:rPr>
        <w:t>employees</w:t>
      </w:r>
      <w:r w:rsidR="005B48FF">
        <w:rPr>
          <w:rFonts w:ascii="Arial" w:hAnsi="Arial" w:cs="Arial"/>
          <w:iCs/>
          <w:sz w:val="24"/>
          <w:szCs w:val="24"/>
        </w:rPr>
        <w:t xml:space="preserve"> may no longer be able to work</w:t>
      </w:r>
      <w:r w:rsidR="00674F95">
        <w:rPr>
          <w:rFonts w:ascii="Arial" w:hAnsi="Arial" w:cs="Arial"/>
          <w:iCs/>
          <w:sz w:val="24"/>
          <w:szCs w:val="24"/>
        </w:rPr>
        <w:t xml:space="preserve"> until/unless they secure alternative employment</w:t>
      </w:r>
      <w:r w:rsidR="002442BC">
        <w:rPr>
          <w:rFonts w:ascii="Arial" w:hAnsi="Arial" w:cs="Arial"/>
          <w:iCs/>
          <w:sz w:val="24"/>
          <w:szCs w:val="24"/>
        </w:rPr>
        <w:t xml:space="preserve">. This may limit their right to work. </w:t>
      </w:r>
    </w:p>
    <w:p w14:paraId="594B536E" w14:textId="47982150" w:rsidR="00F37EB9" w:rsidRPr="00362096" w:rsidRDefault="00F37EB9" w:rsidP="00593E49">
      <w:pPr>
        <w:pStyle w:val="ListParagraph"/>
        <w:numPr>
          <w:ilvl w:val="0"/>
          <w:numId w:val="41"/>
        </w:numPr>
        <w:spacing w:after="120"/>
        <w:ind w:left="357" w:hanging="357"/>
        <w:rPr>
          <w:rFonts w:ascii="Arial" w:hAnsi="Arial" w:cs="Arial"/>
          <w:i/>
          <w:sz w:val="24"/>
          <w:szCs w:val="24"/>
        </w:rPr>
      </w:pPr>
      <w:r w:rsidRPr="00E018F3">
        <w:rPr>
          <w:rFonts w:ascii="Arial" w:hAnsi="Arial" w:cs="Arial"/>
          <w:b/>
          <w:bCs/>
          <w:i/>
          <w:sz w:val="24"/>
          <w:szCs w:val="24"/>
        </w:rPr>
        <w:t>Legitimate purpose (s28(b))</w:t>
      </w:r>
    </w:p>
    <w:p w14:paraId="75668FEF" w14:textId="59338120" w:rsidR="00F37EB9" w:rsidRPr="00284227" w:rsidRDefault="00AA303F" w:rsidP="00284227">
      <w:pPr>
        <w:rPr>
          <w:rFonts w:ascii="Arial" w:hAnsi="Arial" w:cs="Arial"/>
          <w:iCs/>
          <w:sz w:val="24"/>
          <w:szCs w:val="24"/>
        </w:rPr>
      </w:pPr>
      <w:r>
        <w:rPr>
          <w:rFonts w:ascii="Arial" w:hAnsi="Arial" w:cs="Arial"/>
          <w:iCs/>
          <w:sz w:val="24"/>
          <w:szCs w:val="24"/>
        </w:rPr>
        <w:t>To</w:t>
      </w:r>
      <w:r w:rsidR="002E3468">
        <w:rPr>
          <w:rFonts w:ascii="Arial" w:hAnsi="Arial" w:cs="Arial"/>
          <w:iCs/>
          <w:sz w:val="24"/>
          <w:szCs w:val="24"/>
        </w:rPr>
        <w:t xml:space="preserve"> purpose of this limitation is to</w:t>
      </w:r>
      <w:r w:rsidR="00F37EB9">
        <w:rPr>
          <w:rFonts w:ascii="Arial" w:hAnsi="Arial" w:cs="Arial"/>
          <w:iCs/>
          <w:sz w:val="24"/>
          <w:szCs w:val="24"/>
        </w:rPr>
        <w:t xml:space="preserve"> prevent and respond to gambling harm among individuals experiencing this</w:t>
      </w:r>
      <w:r w:rsidR="002E3468">
        <w:rPr>
          <w:rFonts w:ascii="Arial" w:hAnsi="Arial" w:cs="Arial"/>
          <w:iCs/>
          <w:sz w:val="24"/>
          <w:szCs w:val="24"/>
        </w:rPr>
        <w:t>,</w:t>
      </w:r>
      <w:r w:rsidR="00F37EB9">
        <w:rPr>
          <w:rFonts w:ascii="Arial" w:hAnsi="Arial" w:cs="Arial"/>
          <w:iCs/>
          <w:sz w:val="24"/>
          <w:szCs w:val="24"/>
        </w:rPr>
        <w:t xml:space="preserve"> or at risk of experiencing this</w:t>
      </w:r>
      <w:r w:rsidR="002E3468">
        <w:rPr>
          <w:rFonts w:ascii="Arial" w:hAnsi="Arial" w:cs="Arial"/>
          <w:iCs/>
          <w:sz w:val="24"/>
          <w:szCs w:val="24"/>
        </w:rPr>
        <w:t>,</w:t>
      </w:r>
      <w:r>
        <w:rPr>
          <w:rFonts w:ascii="Arial" w:hAnsi="Arial" w:cs="Arial"/>
          <w:iCs/>
          <w:sz w:val="24"/>
          <w:szCs w:val="24"/>
        </w:rPr>
        <w:t xml:space="preserve"> by delivering an effective gambling</w:t>
      </w:r>
      <w:r w:rsidR="00BF444B">
        <w:rPr>
          <w:rFonts w:ascii="Arial" w:hAnsi="Arial" w:cs="Arial"/>
          <w:iCs/>
          <w:sz w:val="24"/>
          <w:szCs w:val="24"/>
        </w:rPr>
        <w:t xml:space="preserve"> harm minimisation and</w:t>
      </w:r>
      <w:r>
        <w:rPr>
          <w:rFonts w:ascii="Arial" w:hAnsi="Arial" w:cs="Arial"/>
          <w:iCs/>
          <w:sz w:val="24"/>
          <w:szCs w:val="24"/>
        </w:rPr>
        <w:t xml:space="preserve"> exclusion scheme. </w:t>
      </w:r>
    </w:p>
    <w:p w14:paraId="4FF1DD69" w14:textId="3242DD45" w:rsidR="00F37EB9" w:rsidRPr="00362096" w:rsidRDefault="00F37EB9" w:rsidP="00593E49">
      <w:pPr>
        <w:pStyle w:val="ListParagraph"/>
        <w:keepNext/>
        <w:numPr>
          <w:ilvl w:val="0"/>
          <w:numId w:val="41"/>
        </w:numPr>
        <w:spacing w:after="120"/>
        <w:ind w:left="357" w:hanging="357"/>
        <w:rPr>
          <w:rFonts w:ascii="Arial" w:hAnsi="Arial" w:cs="Arial"/>
          <w:i/>
          <w:sz w:val="24"/>
          <w:szCs w:val="24"/>
        </w:rPr>
      </w:pPr>
      <w:r w:rsidRPr="001B493E">
        <w:rPr>
          <w:rFonts w:ascii="Arial" w:hAnsi="Arial" w:cs="Arial"/>
          <w:b/>
          <w:bCs/>
          <w:i/>
          <w:sz w:val="24"/>
          <w:szCs w:val="24"/>
        </w:rPr>
        <w:t>Rational connection between the limitation and the purpose (s28(d))</w:t>
      </w:r>
    </w:p>
    <w:p w14:paraId="6D1DE00F" w14:textId="3713AB6E" w:rsidR="00F37EB9" w:rsidRPr="00BF444B" w:rsidRDefault="007B14C6" w:rsidP="00BF444B">
      <w:pPr>
        <w:rPr>
          <w:rFonts w:ascii="Arial" w:hAnsi="Arial" w:cs="Arial"/>
          <w:iCs/>
          <w:sz w:val="24"/>
          <w:szCs w:val="24"/>
        </w:rPr>
      </w:pPr>
      <w:r>
        <w:rPr>
          <w:rFonts w:ascii="Arial" w:hAnsi="Arial" w:cs="Arial"/>
          <w:iCs/>
          <w:sz w:val="24"/>
          <w:szCs w:val="24"/>
        </w:rPr>
        <w:t>A robust regulatory framework</w:t>
      </w:r>
      <w:r w:rsidR="0030364B">
        <w:rPr>
          <w:rFonts w:ascii="Arial" w:hAnsi="Arial" w:cs="Arial"/>
          <w:iCs/>
          <w:sz w:val="24"/>
          <w:szCs w:val="24"/>
        </w:rPr>
        <w:t xml:space="preserve">, with consequences, sanctions, and penalties for licensees who fail to comply with this scheme, is necessary to </w:t>
      </w:r>
      <w:r w:rsidR="00592144">
        <w:rPr>
          <w:rFonts w:ascii="Arial" w:hAnsi="Arial" w:cs="Arial"/>
          <w:iCs/>
          <w:sz w:val="24"/>
          <w:szCs w:val="24"/>
        </w:rPr>
        <w:t>deliver</w:t>
      </w:r>
      <w:r w:rsidR="00B716DD">
        <w:rPr>
          <w:rFonts w:ascii="Arial" w:hAnsi="Arial" w:cs="Arial"/>
          <w:iCs/>
          <w:sz w:val="24"/>
          <w:szCs w:val="24"/>
        </w:rPr>
        <w:t xml:space="preserve"> an effective gambling </w:t>
      </w:r>
      <w:r w:rsidR="00A14FAD">
        <w:rPr>
          <w:rFonts w:ascii="Arial" w:hAnsi="Arial" w:cs="Arial"/>
          <w:iCs/>
          <w:sz w:val="24"/>
          <w:szCs w:val="24"/>
        </w:rPr>
        <w:t xml:space="preserve">harm minimisation and </w:t>
      </w:r>
      <w:r w:rsidR="00B716DD">
        <w:rPr>
          <w:rFonts w:ascii="Arial" w:hAnsi="Arial" w:cs="Arial"/>
          <w:iCs/>
          <w:sz w:val="24"/>
          <w:szCs w:val="24"/>
        </w:rPr>
        <w:t>exclusion scheme</w:t>
      </w:r>
      <w:r w:rsidR="00A14FAD">
        <w:rPr>
          <w:rFonts w:ascii="Arial" w:hAnsi="Arial" w:cs="Arial"/>
          <w:iCs/>
          <w:sz w:val="24"/>
          <w:szCs w:val="24"/>
        </w:rPr>
        <w:t>,</w:t>
      </w:r>
      <w:r w:rsidR="00B716DD">
        <w:rPr>
          <w:rFonts w:ascii="Arial" w:hAnsi="Arial" w:cs="Arial"/>
          <w:iCs/>
          <w:sz w:val="24"/>
          <w:szCs w:val="24"/>
        </w:rPr>
        <w:t xml:space="preserve"> and </w:t>
      </w:r>
      <w:r w:rsidR="00AA303F">
        <w:rPr>
          <w:rFonts w:ascii="Arial" w:hAnsi="Arial" w:cs="Arial"/>
          <w:iCs/>
          <w:sz w:val="24"/>
          <w:szCs w:val="24"/>
        </w:rPr>
        <w:t xml:space="preserve">realise its harm minimisation intent. Without an effective regulatory </w:t>
      </w:r>
      <w:r w:rsidR="00814119">
        <w:rPr>
          <w:rFonts w:ascii="Arial" w:hAnsi="Arial" w:cs="Arial"/>
          <w:iCs/>
          <w:sz w:val="24"/>
          <w:szCs w:val="24"/>
        </w:rPr>
        <w:t>framework</w:t>
      </w:r>
      <w:r w:rsidR="00AA303F">
        <w:rPr>
          <w:rFonts w:ascii="Arial" w:hAnsi="Arial" w:cs="Arial"/>
          <w:iCs/>
          <w:sz w:val="24"/>
          <w:szCs w:val="24"/>
        </w:rPr>
        <w:t xml:space="preserve"> licensees may defer to financial incentives to </w:t>
      </w:r>
      <w:r w:rsidR="00BD5F05">
        <w:rPr>
          <w:rFonts w:ascii="Arial" w:hAnsi="Arial" w:cs="Arial"/>
          <w:iCs/>
          <w:sz w:val="24"/>
          <w:szCs w:val="24"/>
        </w:rPr>
        <w:t>circumvent their obligations</w:t>
      </w:r>
      <w:r w:rsidR="005860A6">
        <w:rPr>
          <w:rFonts w:ascii="Arial" w:hAnsi="Arial" w:cs="Arial"/>
          <w:iCs/>
          <w:sz w:val="24"/>
          <w:szCs w:val="24"/>
        </w:rPr>
        <w:t xml:space="preserve"> thereby rendering the scheme ineffective</w:t>
      </w:r>
      <w:r w:rsidR="00814119">
        <w:rPr>
          <w:rFonts w:ascii="Arial" w:hAnsi="Arial" w:cs="Arial"/>
          <w:iCs/>
          <w:sz w:val="24"/>
          <w:szCs w:val="24"/>
        </w:rPr>
        <w:t xml:space="preserve">. </w:t>
      </w:r>
    </w:p>
    <w:p w14:paraId="2E2989C6" w14:textId="77777777" w:rsidR="00F37EB9" w:rsidRDefault="00F37EB9" w:rsidP="00593E49">
      <w:pPr>
        <w:pStyle w:val="ListParagraph"/>
        <w:numPr>
          <w:ilvl w:val="0"/>
          <w:numId w:val="41"/>
        </w:numPr>
        <w:spacing w:after="120"/>
        <w:ind w:left="357" w:hanging="357"/>
        <w:rPr>
          <w:rFonts w:ascii="Arial" w:hAnsi="Arial" w:cs="Arial"/>
          <w:b/>
          <w:bCs/>
          <w:i/>
          <w:sz w:val="24"/>
          <w:szCs w:val="24"/>
        </w:rPr>
      </w:pPr>
      <w:r w:rsidRPr="00414921">
        <w:rPr>
          <w:rFonts w:ascii="Arial" w:hAnsi="Arial" w:cs="Arial"/>
          <w:b/>
          <w:bCs/>
          <w:i/>
          <w:sz w:val="24"/>
          <w:szCs w:val="24"/>
        </w:rPr>
        <w:t>Proportionality (s28(e))</w:t>
      </w:r>
    </w:p>
    <w:p w14:paraId="58F3155D" w14:textId="7C690D43" w:rsidR="00E90DF9" w:rsidRPr="00AB11EF" w:rsidRDefault="00814119" w:rsidP="00AB11EF">
      <w:pPr>
        <w:rPr>
          <w:rFonts w:ascii="Arial" w:hAnsi="Arial" w:cs="Arial"/>
          <w:iCs/>
          <w:sz w:val="24"/>
          <w:szCs w:val="24"/>
        </w:rPr>
      </w:pPr>
      <w:r>
        <w:rPr>
          <w:rFonts w:ascii="Arial" w:hAnsi="Arial" w:cs="Arial"/>
          <w:iCs/>
          <w:sz w:val="24"/>
          <w:szCs w:val="24"/>
        </w:rPr>
        <w:t>While there may be licensing implications for licensees who fail to comply</w:t>
      </w:r>
      <w:r w:rsidR="005860A6">
        <w:rPr>
          <w:rFonts w:ascii="Arial" w:hAnsi="Arial" w:cs="Arial"/>
          <w:iCs/>
          <w:sz w:val="24"/>
          <w:szCs w:val="24"/>
        </w:rPr>
        <w:t xml:space="preserve"> with obligations included in the Bill</w:t>
      </w:r>
      <w:r>
        <w:rPr>
          <w:rFonts w:ascii="Arial" w:hAnsi="Arial" w:cs="Arial"/>
          <w:iCs/>
          <w:sz w:val="24"/>
          <w:szCs w:val="24"/>
        </w:rPr>
        <w:t xml:space="preserve">, affecting employees and workers reliant on the licensee for employment, this is a necessary deterrent </w:t>
      </w:r>
      <w:r w:rsidR="004D7CD0">
        <w:rPr>
          <w:rFonts w:ascii="Arial" w:hAnsi="Arial" w:cs="Arial"/>
          <w:iCs/>
          <w:sz w:val="24"/>
          <w:szCs w:val="24"/>
        </w:rPr>
        <w:t xml:space="preserve">to prevent </w:t>
      </w:r>
      <w:r w:rsidR="009311D4">
        <w:rPr>
          <w:rFonts w:ascii="Arial" w:hAnsi="Arial" w:cs="Arial"/>
          <w:iCs/>
          <w:sz w:val="24"/>
          <w:szCs w:val="24"/>
        </w:rPr>
        <w:t xml:space="preserve">circumvention of licensees’ obligations </w:t>
      </w:r>
      <w:r w:rsidR="00284227">
        <w:rPr>
          <w:rFonts w:ascii="Arial" w:hAnsi="Arial" w:cs="Arial"/>
          <w:iCs/>
          <w:sz w:val="24"/>
          <w:szCs w:val="24"/>
        </w:rPr>
        <w:t>to</w:t>
      </w:r>
      <w:r w:rsidR="009311D4">
        <w:rPr>
          <w:rFonts w:ascii="Arial" w:hAnsi="Arial" w:cs="Arial"/>
          <w:iCs/>
          <w:sz w:val="24"/>
          <w:szCs w:val="24"/>
        </w:rPr>
        <w:t xml:space="preserve"> prevent and respond to harm, including </w:t>
      </w:r>
      <w:r w:rsidR="00284227">
        <w:rPr>
          <w:rFonts w:ascii="Arial" w:hAnsi="Arial" w:cs="Arial"/>
          <w:iCs/>
          <w:sz w:val="24"/>
          <w:szCs w:val="24"/>
        </w:rPr>
        <w:t>facilitating the gambling exclusion scheme.</w:t>
      </w:r>
      <w:r w:rsidR="00F25012">
        <w:rPr>
          <w:rFonts w:ascii="Arial" w:hAnsi="Arial" w:cs="Arial"/>
          <w:iCs/>
          <w:sz w:val="24"/>
          <w:szCs w:val="24"/>
        </w:rPr>
        <w:t xml:space="preserve"> There is no less restrictive approach available</w:t>
      </w:r>
      <w:r w:rsidR="00E042E1">
        <w:rPr>
          <w:rFonts w:ascii="Arial" w:hAnsi="Arial" w:cs="Arial"/>
          <w:iCs/>
          <w:sz w:val="24"/>
          <w:szCs w:val="24"/>
        </w:rPr>
        <w:t>, as</w:t>
      </w:r>
      <w:r w:rsidR="001B3241">
        <w:rPr>
          <w:rFonts w:ascii="Arial" w:hAnsi="Arial" w:cs="Arial"/>
          <w:iCs/>
          <w:sz w:val="24"/>
          <w:szCs w:val="24"/>
        </w:rPr>
        <w:t xml:space="preserve"> a regulatory framework with no possibility of sanctions is unlikely to be effective at realising its intent. Given the significance of the intent at the heart of the gambling harm minimisation and exclusion scheme, </w:t>
      </w:r>
      <w:r w:rsidR="00A4744E">
        <w:rPr>
          <w:rFonts w:ascii="Arial" w:hAnsi="Arial" w:cs="Arial"/>
          <w:iCs/>
          <w:sz w:val="24"/>
          <w:szCs w:val="24"/>
        </w:rPr>
        <w:t xml:space="preserve">the risk of licensing implications for licensees who fail to meet their obligations, and associated employment impacts for employees of those licensees, is </w:t>
      </w:r>
      <w:r w:rsidR="00AB11EF">
        <w:rPr>
          <w:rFonts w:ascii="Arial" w:hAnsi="Arial" w:cs="Arial"/>
          <w:iCs/>
          <w:sz w:val="24"/>
          <w:szCs w:val="24"/>
        </w:rPr>
        <w:t xml:space="preserve">proportionate to the aim of realising this intent. </w:t>
      </w:r>
    </w:p>
    <w:p w14:paraId="045F0BF5" w14:textId="77777777" w:rsidR="00412C43" w:rsidRDefault="00412C43" w:rsidP="00E90DF9">
      <w:pPr>
        <w:spacing w:after="0" w:line="240" w:lineRule="auto"/>
        <w:rPr>
          <w:rFonts w:asciiTheme="minorHAnsi" w:eastAsiaTheme="majorEastAsia" w:hAnsiTheme="minorHAnsi" w:cs="Arial"/>
          <w:sz w:val="28"/>
          <w:szCs w:val="28"/>
          <w:lang w:eastAsia="en-AU"/>
        </w:rPr>
      </w:pPr>
    </w:p>
    <w:p w14:paraId="76E0B3AB" w14:textId="77777777" w:rsidR="00F37EB9" w:rsidRDefault="00F37EB9">
      <w:pPr>
        <w:spacing w:after="160" w:line="259" w:lineRule="auto"/>
        <w:rPr>
          <w:rFonts w:asciiTheme="minorHAnsi" w:eastAsiaTheme="majorEastAsia" w:hAnsiTheme="minorHAnsi" w:cs="Arial"/>
          <w:sz w:val="28"/>
          <w:szCs w:val="28"/>
          <w:lang w:eastAsia="en-AU"/>
        </w:rPr>
      </w:pPr>
      <w:r>
        <w:rPr>
          <w:rFonts w:asciiTheme="minorHAnsi" w:hAnsiTheme="minorHAnsi" w:cs="Arial"/>
          <w:b/>
          <w:sz w:val="28"/>
          <w:szCs w:val="28"/>
          <w:lang w:eastAsia="en-AU"/>
        </w:rPr>
        <w:br w:type="page"/>
      </w:r>
    </w:p>
    <w:p w14:paraId="66BEC609" w14:textId="0F4A0A4B" w:rsidR="00E90DF9" w:rsidRPr="00943C7F" w:rsidRDefault="00583F76" w:rsidP="00E90DF9">
      <w:pPr>
        <w:pStyle w:val="Heading2"/>
        <w:ind w:left="-108"/>
        <w:jc w:val="center"/>
        <w:rPr>
          <w:rFonts w:asciiTheme="minorHAnsi" w:hAnsiTheme="minorHAnsi" w:cs="Arial"/>
          <w:b w:val="0"/>
          <w:bCs/>
          <w:i/>
          <w:iCs/>
          <w:sz w:val="28"/>
          <w:szCs w:val="28"/>
        </w:rPr>
      </w:pPr>
      <w:r>
        <w:rPr>
          <w:rFonts w:asciiTheme="minorHAnsi" w:hAnsiTheme="minorHAnsi" w:cs="Arial"/>
          <w:b w:val="0"/>
          <w:sz w:val="28"/>
          <w:szCs w:val="28"/>
          <w:lang w:eastAsia="en-AU"/>
        </w:rPr>
        <w:lastRenderedPageBreak/>
        <w:t xml:space="preserve">Gambling </w:t>
      </w:r>
      <w:r w:rsidR="00A80BAE">
        <w:rPr>
          <w:rFonts w:asciiTheme="minorHAnsi" w:hAnsiTheme="minorHAnsi" w:cs="Arial"/>
          <w:b w:val="0"/>
          <w:sz w:val="28"/>
          <w:szCs w:val="28"/>
          <w:lang w:eastAsia="en-AU"/>
        </w:rPr>
        <w:t xml:space="preserve">and Racing Control (Gambling </w:t>
      </w:r>
      <w:r>
        <w:rPr>
          <w:rFonts w:asciiTheme="minorHAnsi" w:hAnsiTheme="minorHAnsi" w:cs="Arial"/>
          <w:b w:val="0"/>
          <w:sz w:val="28"/>
          <w:szCs w:val="28"/>
          <w:lang w:eastAsia="en-AU"/>
        </w:rPr>
        <w:t>Exclusion</w:t>
      </w:r>
      <w:r w:rsidR="00A80BAE">
        <w:rPr>
          <w:rFonts w:asciiTheme="minorHAnsi" w:hAnsiTheme="minorHAnsi" w:cs="Arial"/>
          <w:b w:val="0"/>
          <w:sz w:val="28"/>
          <w:szCs w:val="28"/>
          <w:lang w:eastAsia="en-AU"/>
        </w:rPr>
        <w:t>)</w:t>
      </w:r>
      <w:r w:rsidR="000877EE">
        <w:rPr>
          <w:rFonts w:asciiTheme="minorHAnsi" w:hAnsiTheme="minorHAnsi" w:cs="Arial"/>
          <w:b w:val="0"/>
          <w:sz w:val="28"/>
          <w:szCs w:val="28"/>
          <w:lang w:eastAsia="en-AU"/>
        </w:rPr>
        <w:t xml:space="preserve"> Amendment Bill 202</w:t>
      </w:r>
      <w:r>
        <w:rPr>
          <w:rFonts w:asciiTheme="minorHAnsi" w:hAnsiTheme="minorHAnsi" w:cs="Arial"/>
          <w:b w:val="0"/>
          <w:sz w:val="28"/>
          <w:szCs w:val="28"/>
          <w:lang w:eastAsia="en-AU"/>
        </w:rPr>
        <w:t>6</w:t>
      </w:r>
    </w:p>
    <w:bookmarkEnd w:id="1"/>
    <w:p w14:paraId="3FC035F1" w14:textId="77777777" w:rsidR="00E90DF9" w:rsidRPr="003E5EE6" w:rsidRDefault="00E90DF9" w:rsidP="00E90DF9">
      <w:pPr>
        <w:pStyle w:val="Heading4"/>
        <w:ind w:left="-108"/>
        <w:jc w:val="center"/>
        <w:rPr>
          <w:rFonts w:asciiTheme="minorHAnsi" w:hAnsiTheme="minorHAnsi"/>
          <w:sz w:val="24"/>
          <w:szCs w:val="24"/>
        </w:rPr>
      </w:pPr>
      <w:r w:rsidRPr="003E5EE6">
        <w:rPr>
          <w:rFonts w:asciiTheme="minorHAnsi" w:hAnsiTheme="minorHAnsi"/>
          <w:sz w:val="24"/>
          <w:szCs w:val="24"/>
        </w:rPr>
        <w:t>Human Rights Act 2004 - Compatibility Statement</w:t>
      </w:r>
    </w:p>
    <w:p w14:paraId="4BE2285B" w14:textId="77777777" w:rsidR="00E90DF9" w:rsidRDefault="00E90DF9" w:rsidP="00E90DF9"/>
    <w:p w14:paraId="3E3301AD" w14:textId="77777777" w:rsidR="00E90DF9" w:rsidRPr="00D77995" w:rsidRDefault="00E90DF9" w:rsidP="00E90DF9"/>
    <w:p w14:paraId="45D422CA" w14:textId="7ACD7DBB" w:rsidR="00E90DF9" w:rsidRDefault="00E90DF9" w:rsidP="00E90DF9">
      <w:r w:rsidRPr="00521950">
        <w:rPr>
          <w:rFonts w:asciiTheme="minorHAnsi" w:hAnsiTheme="minorHAnsi"/>
        </w:rPr>
        <w:t xml:space="preserve">In accordance with section 37 of the </w:t>
      </w:r>
      <w:r w:rsidRPr="00521950">
        <w:rPr>
          <w:rFonts w:asciiTheme="minorHAnsi" w:hAnsiTheme="minorHAnsi"/>
          <w:i/>
          <w:iCs/>
        </w:rPr>
        <w:t>Human Rights Act 2004</w:t>
      </w:r>
      <w:r w:rsidRPr="00521950">
        <w:rPr>
          <w:rFonts w:asciiTheme="minorHAnsi" w:hAnsiTheme="minorHAnsi"/>
        </w:rPr>
        <w:t xml:space="preserve"> I have examined the</w:t>
      </w:r>
      <w:r>
        <w:rPr>
          <w:rFonts w:asciiTheme="minorHAnsi" w:hAnsiTheme="minorHAnsi"/>
          <w:b/>
        </w:rPr>
        <w:t xml:space="preserve"> </w:t>
      </w:r>
      <w:r w:rsidR="00106DFC">
        <w:rPr>
          <w:rFonts w:asciiTheme="minorHAnsi" w:hAnsiTheme="minorHAnsi"/>
          <w:b/>
        </w:rPr>
        <w:t xml:space="preserve">Gambling </w:t>
      </w:r>
      <w:r w:rsidR="001C0DE8">
        <w:rPr>
          <w:rFonts w:asciiTheme="minorHAnsi" w:hAnsiTheme="minorHAnsi"/>
          <w:b/>
        </w:rPr>
        <w:t xml:space="preserve">and Racing Control (Gambling </w:t>
      </w:r>
      <w:r w:rsidR="00106DFC">
        <w:rPr>
          <w:rFonts w:asciiTheme="minorHAnsi" w:hAnsiTheme="minorHAnsi"/>
          <w:b/>
        </w:rPr>
        <w:t>Exclusion</w:t>
      </w:r>
      <w:r w:rsidR="001C0DE8">
        <w:rPr>
          <w:rFonts w:asciiTheme="minorHAnsi" w:hAnsiTheme="minorHAnsi"/>
          <w:b/>
        </w:rPr>
        <w:t>)</w:t>
      </w:r>
      <w:r w:rsidR="000877EE">
        <w:rPr>
          <w:rFonts w:asciiTheme="minorHAnsi" w:hAnsiTheme="minorHAnsi"/>
          <w:b/>
        </w:rPr>
        <w:t xml:space="preserve"> Amendment Bill 202</w:t>
      </w:r>
      <w:r w:rsidR="00106DFC">
        <w:rPr>
          <w:rFonts w:asciiTheme="minorHAnsi" w:hAnsiTheme="minorHAnsi"/>
          <w:b/>
        </w:rPr>
        <w:t>6</w:t>
      </w:r>
      <w:r w:rsidRPr="00521950">
        <w:rPr>
          <w:rFonts w:asciiTheme="minorHAnsi" w:hAnsiTheme="minorHAnsi"/>
        </w:rPr>
        <w:t>.  In my opinion,</w:t>
      </w:r>
      <w:r>
        <w:rPr>
          <w:rFonts w:asciiTheme="minorHAnsi" w:hAnsiTheme="minorHAnsi"/>
        </w:rPr>
        <w:t xml:space="preserve"> having regard to the Bill and the outline of the policy considerations and justification of any limitations on rights outlined in this explanatory statement, </w:t>
      </w:r>
      <w:r w:rsidRPr="00521950">
        <w:rPr>
          <w:rFonts w:asciiTheme="minorHAnsi" w:hAnsiTheme="minorHAnsi"/>
        </w:rPr>
        <w:t>the Bill</w:t>
      </w:r>
      <w:r w:rsidRPr="005162FA">
        <w:rPr>
          <w:rFonts w:asciiTheme="minorHAnsi" w:hAnsiTheme="minorHAnsi"/>
        </w:rPr>
        <w:t xml:space="preserve"> </w:t>
      </w:r>
      <w:r w:rsidRPr="00521950">
        <w:rPr>
          <w:rFonts w:asciiTheme="minorHAnsi" w:hAnsiTheme="minorHAnsi"/>
        </w:rPr>
        <w:t xml:space="preserve">as presented </w:t>
      </w:r>
      <w:r>
        <w:rPr>
          <w:rFonts w:asciiTheme="minorHAnsi" w:hAnsiTheme="minorHAnsi"/>
        </w:rPr>
        <w:t>to the Legislative Assembly</w:t>
      </w:r>
      <w:r w:rsidR="00952F97">
        <w:rPr>
          <w:rFonts w:asciiTheme="minorHAnsi" w:hAnsiTheme="minorHAnsi"/>
          <w:b/>
        </w:rPr>
        <w:t xml:space="preserve"> is</w:t>
      </w:r>
      <w:r>
        <w:rPr>
          <w:rFonts w:asciiTheme="minorHAnsi" w:hAnsiTheme="minorHAnsi"/>
        </w:rPr>
        <w:t xml:space="preserve"> </w:t>
      </w:r>
      <w:r w:rsidRPr="00521950">
        <w:rPr>
          <w:rFonts w:asciiTheme="minorHAnsi" w:hAnsiTheme="minorHAnsi"/>
        </w:rPr>
        <w:t xml:space="preserve">consistent with the </w:t>
      </w:r>
      <w:r w:rsidRPr="00521950">
        <w:rPr>
          <w:rFonts w:asciiTheme="minorHAnsi" w:hAnsiTheme="minorHAnsi"/>
          <w:i/>
          <w:iCs/>
        </w:rPr>
        <w:t>Human Rights Act 2004</w:t>
      </w:r>
      <w:r>
        <w:rPr>
          <w:rFonts w:asciiTheme="minorHAnsi" w:hAnsiTheme="minorHAnsi"/>
          <w:i/>
          <w:iCs/>
        </w:rPr>
        <w:t>.</w:t>
      </w:r>
    </w:p>
    <w:p w14:paraId="76476A29" w14:textId="77777777" w:rsidR="00E90DF9" w:rsidRDefault="00E90DF9" w:rsidP="00E90DF9">
      <w:pPr>
        <w:rPr>
          <w:rFonts w:asciiTheme="minorHAnsi" w:hAnsiTheme="minorHAnsi" w:cstheme="minorHAnsi"/>
        </w:rPr>
      </w:pPr>
    </w:p>
    <w:p w14:paraId="2CC08B60" w14:textId="77777777" w:rsidR="00E90DF9" w:rsidRDefault="00E90DF9" w:rsidP="00E90DF9">
      <w:pPr>
        <w:rPr>
          <w:rFonts w:asciiTheme="minorHAnsi" w:hAnsiTheme="minorHAnsi" w:cstheme="minorHAnsi"/>
        </w:rPr>
      </w:pPr>
    </w:p>
    <w:p w14:paraId="71AFABAD" w14:textId="77777777" w:rsidR="00E90DF9" w:rsidRDefault="00E90DF9" w:rsidP="00E90DF9">
      <w:pPr>
        <w:rPr>
          <w:rFonts w:asciiTheme="minorHAnsi" w:hAnsiTheme="minorHAnsi" w:cstheme="minorHAnsi"/>
        </w:rPr>
      </w:pPr>
      <w:r>
        <w:rPr>
          <w:rFonts w:asciiTheme="minorHAnsi" w:hAnsiTheme="minorHAnsi" w:cstheme="minorHAnsi"/>
        </w:rPr>
        <w:t>………………………………………………….</w:t>
      </w:r>
    </w:p>
    <w:p w14:paraId="7B5A08D3" w14:textId="3F113ED4" w:rsidR="00E90DF9" w:rsidRDefault="00952F97" w:rsidP="00E90DF9">
      <w:pPr>
        <w:rPr>
          <w:rFonts w:asciiTheme="minorHAnsi" w:hAnsiTheme="minorHAnsi" w:cstheme="minorHAnsi"/>
        </w:rPr>
      </w:pPr>
      <w:r>
        <w:rPr>
          <w:rFonts w:asciiTheme="minorHAnsi" w:hAnsiTheme="minorHAnsi" w:cstheme="minorHAnsi"/>
        </w:rPr>
        <w:t>Tara Cheyne</w:t>
      </w:r>
      <w:r w:rsidR="00E90DF9">
        <w:rPr>
          <w:rFonts w:asciiTheme="minorHAnsi" w:hAnsiTheme="minorHAnsi" w:cstheme="minorHAnsi"/>
        </w:rPr>
        <w:t xml:space="preserve"> MLA</w:t>
      </w:r>
      <w:r w:rsidR="00E90DF9">
        <w:rPr>
          <w:rFonts w:asciiTheme="minorHAnsi" w:hAnsiTheme="minorHAnsi" w:cstheme="minorHAnsi"/>
        </w:rPr>
        <w:br/>
        <w:t>Attorney-General</w:t>
      </w:r>
    </w:p>
    <w:p w14:paraId="481185F5" w14:textId="77777777" w:rsidR="00E90DF9" w:rsidRPr="006D52AC" w:rsidRDefault="00E90DF9" w:rsidP="00E90DF9">
      <w:pPr>
        <w:spacing w:before="200"/>
        <w:rPr>
          <w:rFonts w:ascii="Arial" w:hAnsi="Arial" w:cs="Arial"/>
          <w:sz w:val="24"/>
          <w:szCs w:val="24"/>
        </w:rPr>
      </w:pPr>
    </w:p>
    <w:p w14:paraId="16DEAB09" w14:textId="7B5C2067" w:rsidR="00AB6F2E" w:rsidRDefault="00AB6F2E">
      <w:pPr>
        <w:spacing w:after="160" w:line="259" w:lineRule="auto"/>
        <w:rPr>
          <w:rFonts w:ascii="Arial" w:eastAsiaTheme="majorEastAsia" w:hAnsi="Arial" w:cstheme="majorBidi"/>
          <w:b/>
          <w:sz w:val="24"/>
          <w:szCs w:val="26"/>
        </w:rPr>
      </w:pPr>
      <w:r>
        <w:br w:type="page"/>
      </w:r>
    </w:p>
    <w:p w14:paraId="77542812" w14:textId="77777777" w:rsidR="00AB6F2E" w:rsidRDefault="00AB6F2E" w:rsidP="00AB6F2E">
      <w:pPr>
        <w:pStyle w:val="Heading2"/>
        <w:pageBreakBefore/>
        <w:spacing w:before="240" w:after="240"/>
      </w:pPr>
      <w:r w:rsidRPr="008C225D">
        <w:lastRenderedPageBreak/>
        <w:t>CLAUSE NOTES</w:t>
      </w:r>
    </w:p>
    <w:p w14:paraId="72923665" w14:textId="77777777" w:rsidR="00AB6F2E" w:rsidRPr="004413E3" w:rsidRDefault="00AB6F2E" w:rsidP="00AB6F2E">
      <w:pPr>
        <w:pStyle w:val="Heading2"/>
      </w:pPr>
      <w:r>
        <w:t>Part 1</w:t>
      </w:r>
      <w:r>
        <w:tab/>
      </w:r>
      <w:r>
        <w:tab/>
        <w:t>Preliminary</w:t>
      </w:r>
    </w:p>
    <w:p w14:paraId="6E3DA445" w14:textId="77777777" w:rsidR="00AB6F2E" w:rsidRDefault="00AB6F2E" w:rsidP="00AB6F2E">
      <w:pPr>
        <w:pStyle w:val="Heading3"/>
      </w:pPr>
      <w:r w:rsidRPr="00ED3B77">
        <w:t>Clause 1</w:t>
      </w:r>
      <w:r w:rsidRPr="00ED3B77">
        <w:tab/>
        <w:t>Name of Act</w:t>
      </w:r>
    </w:p>
    <w:p w14:paraId="4DD3D457" w14:textId="4822B614" w:rsidR="00AB6F2E" w:rsidRDefault="00AB6F2E" w:rsidP="00AB6F2E">
      <w:r>
        <w:t xml:space="preserve">This clause names the short title of this Act as the </w:t>
      </w:r>
      <w:r w:rsidR="008967A2">
        <w:rPr>
          <w:i/>
          <w:iCs/>
        </w:rPr>
        <w:t>Gambling and Racing Control (Gambling Exclusion) Amendment Act 2026</w:t>
      </w:r>
      <w:r>
        <w:t>.</w:t>
      </w:r>
    </w:p>
    <w:p w14:paraId="30D44715" w14:textId="77777777" w:rsidR="008967A2" w:rsidRDefault="008967A2" w:rsidP="008967A2">
      <w:pPr>
        <w:pStyle w:val="Heading3"/>
      </w:pPr>
      <w:r w:rsidRPr="00ED3B77">
        <w:t>Clause 2</w:t>
      </w:r>
      <w:r w:rsidRPr="00ED3B77">
        <w:tab/>
        <w:t>Commencement</w:t>
      </w:r>
    </w:p>
    <w:p w14:paraId="5AB7BCAE" w14:textId="118E173A" w:rsidR="008967A2" w:rsidRDefault="008967A2" w:rsidP="008967A2">
      <w:r>
        <w:t>This clause provides that</w:t>
      </w:r>
      <w:r w:rsidR="00144648">
        <w:t xml:space="preserve"> sections 3 and 25 of</w:t>
      </w:r>
      <w:r>
        <w:t xml:space="preserve"> this Act commence</w:t>
      </w:r>
      <w:r w:rsidR="00144648">
        <w:t xml:space="preserve"> on the day after this Act’s notification day. </w:t>
      </w:r>
      <w:r w:rsidR="00580C27">
        <w:t>S</w:t>
      </w:r>
      <w:r w:rsidR="00144648">
        <w:t>ection</w:t>
      </w:r>
      <w:r w:rsidR="00580C27">
        <w:t xml:space="preserve"> 3</w:t>
      </w:r>
      <w:r w:rsidR="00144648">
        <w:t xml:space="preserve"> describe</w:t>
      </w:r>
      <w:r w:rsidR="00580C27">
        <w:t>s</w:t>
      </w:r>
      <w:r w:rsidR="00144648">
        <w:t xml:space="preserve"> the legislation amended by the Act and</w:t>
      </w:r>
      <w:r w:rsidR="00580C27">
        <w:t xml:space="preserve"> section 25 provides for</w:t>
      </w:r>
      <w:r w:rsidR="00144648">
        <w:t xml:space="preserve"> the validation of certain deeds of exclusion</w:t>
      </w:r>
      <w:r>
        <w:t>.</w:t>
      </w:r>
      <w:r w:rsidR="00144648">
        <w:t xml:space="preserve"> </w:t>
      </w:r>
      <w:r w:rsidR="00580C27">
        <w:t>Section 25 ensures</w:t>
      </w:r>
      <w:r w:rsidR="00144648">
        <w:t xml:space="preserve"> that all previous and existing deeds of exclusion are valid to give effect to an exclusion, even if there is a defect or irregularity in the deed or the execution of the deed</w:t>
      </w:r>
      <w:r w:rsidR="00580C27">
        <w:t xml:space="preserve">, from the day after this Act is notified. </w:t>
      </w:r>
    </w:p>
    <w:p w14:paraId="1286ADEC" w14:textId="409E0BEF" w:rsidR="00144648" w:rsidRDefault="00144648" w:rsidP="008967A2">
      <w:r>
        <w:t xml:space="preserve">This clause provides that the remaining provisions of the Act commence on a day fixed by the Minister by written notice. However, subject to the Legislation Act 2001 section 79, the remaining provisions of the Act will commence on the day 6 months after the notification of the Act, even if the minister has not made written notice.  </w:t>
      </w:r>
    </w:p>
    <w:p w14:paraId="6A5AD139" w14:textId="77777777" w:rsidR="008967A2" w:rsidRPr="00ED3B77" w:rsidRDefault="008967A2" w:rsidP="008967A2">
      <w:pPr>
        <w:pStyle w:val="Heading3"/>
        <w:rPr>
          <w:b w:val="0"/>
        </w:rPr>
      </w:pPr>
      <w:r w:rsidRPr="00ED3B77">
        <w:t>Clause 3</w:t>
      </w:r>
      <w:r w:rsidRPr="00ED3B77">
        <w:tab/>
        <w:t>Legislation amended</w:t>
      </w:r>
    </w:p>
    <w:p w14:paraId="39196F5E" w14:textId="77777777" w:rsidR="008967A2" w:rsidRDefault="008967A2" w:rsidP="008967A2">
      <w:r w:rsidRPr="00FC65F5">
        <w:t>This clause</w:t>
      </w:r>
      <w:r>
        <w:t xml:space="preserve"> lists the legislation amended by this Act, which are the:</w:t>
      </w:r>
    </w:p>
    <w:p w14:paraId="1FD24610" w14:textId="3DF8348F" w:rsidR="008967A2" w:rsidRPr="008967A2" w:rsidRDefault="008967A2" w:rsidP="008967A2">
      <w:pPr>
        <w:pStyle w:val="ListParagraph"/>
        <w:numPr>
          <w:ilvl w:val="0"/>
          <w:numId w:val="10"/>
        </w:numPr>
        <w:rPr>
          <w:i/>
          <w:iCs/>
        </w:rPr>
      </w:pPr>
      <w:r w:rsidRPr="008967A2">
        <w:rPr>
          <w:i/>
          <w:iCs/>
        </w:rPr>
        <w:t>Gambling and Racing Control Act 1999</w:t>
      </w:r>
    </w:p>
    <w:p w14:paraId="60D69047" w14:textId="34EB4AED" w:rsidR="008967A2" w:rsidRPr="008967A2" w:rsidRDefault="008967A2" w:rsidP="008967A2">
      <w:pPr>
        <w:pStyle w:val="ListParagraph"/>
        <w:numPr>
          <w:ilvl w:val="0"/>
          <w:numId w:val="10"/>
        </w:numPr>
      </w:pPr>
      <w:r w:rsidRPr="008967A2">
        <w:t xml:space="preserve">Gambling and Racing Control (Code of Practice) Regulation 2002 </w:t>
      </w:r>
    </w:p>
    <w:p w14:paraId="21C48DCD" w14:textId="77777777" w:rsidR="008967A2" w:rsidRDefault="008967A2" w:rsidP="008967A2">
      <w:pPr>
        <w:spacing w:after="0"/>
      </w:pPr>
    </w:p>
    <w:p w14:paraId="7615448F" w14:textId="0CB0CCCA" w:rsidR="008967A2" w:rsidRDefault="008967A2" w:rsidP="008967A2">
      <w:r>
        <w:t>The Act makes consequential amendments to the:</w:t>
      </w:r>
    </w:p>
    <w:p w14:paraId="0AC13C36" w14:textId="1094AD7F" w:rsidR="008967A2" w:rsidRPr="008967A2" w:rsidRDefault="008967A2" w:rsidP="008967A2">
      <w:pPr>
        <w:pStyle w:val="ListParagraph"/>
        <w:numPr>
          <w:ilvl w:val="0"/>
          <w:numId w:val="23"/>
        </w:numPr>
        <w:rPr>
          <w:i/>
          <w:iCs/>
        </w:rPr>
      </w:pPr>
      <w:r w:rsidRPr="008967A2">
        <w:rPr>
          <w:i/>
          <w:iCs/>
        </w:rPr>
        <w:t>Casino Control Act 2006</w:t>
      </w:r>
    </w:p>
    <w:p w14:paraId="0635A478" w14:textId="49431CDC" w:rsidR="008967A2" w:rsidRPr="008967A2" w:rsidRDefault="008967A2" w:rsidP="008967A2">
      <w:pPr>
        <w:pStyle w:val="ListParagraph"/>
        <w:numPr>
          <w:ilvl w:val="0"/>
          <w:numId w:val="23"/>
        </w:numPr>
        <w:rPr>
          <w:i/>
          <w:iCs/>
        </w:rPr>
      </w:pPr>
      <w:r w:rsidRPr="008967A2">
        <w:rPr>
          <w:i/>
          <w:iCs/>
        </w:rPr>
        <w:t>Gaming Machine Act 2004</w:t>
      </w:r>
    </w:p>
    <w:p w14:paraId="3D6B70ED" w14:textId="6AA5D957" w:rsidR="008967A2" w:rsidRPr="008967A2" w:rsidRDefault="008967A2" w:rsidP="008967A2">
      <w:pPr>
        <w:pStyle w:val="ListParagraph"/>
        <w:numPr>
          <w:ilvl w:val="0"/>
          <w:numId w:val="23"/>
        </w:numPr>
      </w:pPr>
      <w:r w:rsidRPr="008967A2">
        <w:t>Gaming Machine Regulation 2004</w:t>
      </w:r>
    </w:p>
    <w:p w14:paraId="60C05248" w14:textId="75604252" w:rsidR="008967A2" w:rsidRPr="008967A2" w:rsidRDefault="008967A2" w:rsidP="008967A2">
      <w:pPr>
        <w:pStyle w:val="ListParagraph"/>
        <w:numPr>
          <w:ilvl w:val="0"/>
          <w:numId w:val="23"/>
        </w:numPr>
        <w:rPr>
          <w:i/>
          <w:iCs/>
        </w:rPr>
      </w:pPr>
      <w:r w:rsidRPr="008967A2">
        <w:rPr>
          <w:i/>
          <w:iCs/>
        </w:rPr>
        <w:t>Race and Sports Bookmaking Act 2001</w:t>
      </w:r>
    </w:p>
    <w:p w14:paraId="277E4760" w14:textId="3CFE0493" w:rsidR="008967A2" w:rsidRPr="008967A2" w:rsidRDefault="008967A2" w:rsidP="008967A2">
      <w:pPr>
        <w:pStyle w:val="ListParagraph"/>
        <w:numPr>
          <w:ilvl w:val="0"/>
          <w:numId w:val="23"/>
        </w:numPr>
        <w:rPr>
          <w:i/>
          <w:iCs/>
        </w:rPr>
      </w:pPr>
      <w:r w:rsidRPr="008967A2">
        <w:rPr>
          <w:i/>
          <w:iCs/>
        </w:rPr>
        <w:t>Racing Act 1999</w:t>
      </w:r>
    </w:p>
    <w:p w14:paraId="0E19AB5A" w14:textId="7EFA5E5D" w:rsidR="008967A2" w:rsidRPr="008967A2" w:rsidRDefault="008967A2" w:rsidP="008967A2">
      <w:pPr>
        <w:pStyle w:val="ListParagraph"/>
        <w:numPr>
          <w:ilvl w:val="0"/>
          <w:numId w:val="23"/>
        </w:numPr>
      </w:pPr>
      <w:r w:rsidRPr="008967A2">
        <w:t>Racing Regulation 2010</w:t>
      </w:r>
    </w:p>
    <w:p w14:paraId="1CD19ADE" w14:textId="02702E18" w:rsidR="008967A2" w:rsidRPr="008967A2" w:rsidRDefault="008967A2" w:rsidP="008967A2">
      <w:pPr>
        <w:pStyle w:val="ListParagraph"/>
        <w:numPr>
          <w:ilvl w:val="0"/>
          <w:numId w:val="23"/>
        </w:numPr>
        <w:rPr>
          <w:i/>
          <w:iCs/>
        </w:rPr>
      </w:pPr>
      <w:r w:rsidRPr="008967A2">
        <w:rPr>
          <w:i/>
          <w:iCs/>
        </w:rPr>
        <w:t>Totalisator Act 2014</w:t>
      </w:r>
    </w:p>
    <w:p w14:paraId="6691C985" w14:textId="721FA89C" w:rsidR="008967A2" w:rsidRDefault="008967A2" w:rsidP="008967A2">
      <w:pPr>
        <w:pStyle w:val="ListParagraph"/>
        <w:numPr>
          <w:ilvl w:val="0"/>
          <w:numId w:val="23"/>
        </w:numPr>
        <w:rPr>
          <w:i/>
          <w:iCs/>
        </w:rPr>
      </w:pPr>
      <w:r w:rsidRPr="008967A2">
        <w:rPr>
          <w:i/>
          <w:iCs/>
        </w:rPr>
        <w:t>Unlawful Gambling Act 2009</w:t>
      </w:r>
    </w:p>
    <w:p w14:paraId="6670CA3C" w14:textId="77777777" w:rsidR="008967A2" w:rsidRPr="008967A2" w:rsidRDefault="008967A2" w:rsidP="008967A2">
      <w:pPr>
        <w:pStyle w:val="ListParagraph"/>
        <w:rPr>
          <w:i/>
          <w:iCs/>
        </w:rPr>
      </w:pPr>
    </w:p>
    <w:p w14:paraId="20E9F612" w14:textId="2FF5AA3B" w:rsidR="008967A2" w:rsidRDefault="008967A2" w:rsidP="008967A2">
      <w:pPr>
        <w:pStyle w:val="Heading2"/>
      </w:pPr>
      <w:r>
        <w:t>Part 2</w:t>
      </w:r>
      <w:r>
        <w:tab/>
      </w:r>
      <w:r>
        <w:tab/>
        <w:t>Gambling and Racing Control Act 1999</w:t>
      </w:r>
    </w:p>
    <w:p w14:paraId="6CAC3BE3" w14:textId="77777777" w:rsidR="00A716DB" w:rsidRDefault="00C374B7" w:rsidP="008967A2">
      <w:pPr>
        <w:pStyle w:val="Heading3"/>
      </w:pPr>
      <w:r>
        <w:t xml:space="preserve">Clause 4 </w:t>
      </w:r>
      <w:r>
        <w:tab/>
        <w:t xml:space="preserve">Dictionary </w:t>
      </w:r>
    </w:p>
    <w:p w14:paraId="76E85315" w14:textId="07413C20" w:rsidR="00C374B7" w:rsidRDefault="00C374B7" w:rsidP="00A716DB">
      <w:pPr>
        <w:pStyle w:val="Heading3"/>
        <w:ind w:left="720" w:firstLine="720"/>
      </w:pPr>
      <w:r>
        <w:t>Section 2, note 1</w:t>
      </w:r>
    </w:p>
    <w:p w14:paraId="0DF4C186" w14:textId="54D01938" w:rsidR="00C374B7" w:rsidRDefault="00C374B7" w:rsidP="00C374B7">
      <w:r w:rsidRPr="00911DB2">
        <w:t xml:space="preserve">This clause </w:t>
      </w:r>
      <w:r>
        <w:t xml:space="preserve">is a technical amendment that </w:t>
      </w:r>
      <w:r w:rsidRPr="00911DB2">
        <w:t>amends the</w:t>
      </w:r>
      <w:r>
        <w:t xml:space="preserve"> dictionary at the end of the Act</w:t>
      </w:r>
      <w:r w:rsidRPr="00911DB2">
        <w:t xml:space="preserve"> </w:t>
      </w:r>
      <w:r>
        <w:t xml:space="preserve">and </w:t>
      </w:r>
      <w:r w:rsidR="00BB0397">
        <w:t>includes</w:t>
      </w:r>
      <w:r>
        <w:t xml:space="preserve"> signpost references to other terms defined elsewhere</w:t>
      </w:r>
      <w:r w:rsidRPr="00911DB2">
        <w:t>.</w:t>
      </w:r>
    </w:p>
    <w:p w14:paraId="7F426699" w14:textId="0486DBBE" w:rsidR="00C374B7" w:rsidRPr="00ED3B77" w:rsidRDefault="008967A2" w:rsidP="00593E49">
      <w:pPr>
        <w:pStyle w:val="Heading3"/>
        <w:rPr>
          <w:b w:val="0"/>
        </w:rPr>
      </w:pPr>
      <w:r w:rsidRPr="00ED3B77">
        <w:lastRenderedPageBreak/>
        <w:t xml:space="preserve">Clause </w:t>
      </w:r>
      <w:r w:rsidR="00C374B7">
        <w:t>5</w:t>
      </w:r>
      <w:r w:rsidRPr="00ED3B77">
        <w:tab/>
      </w:r>
      <w:r w:rsidR="00C374B7">
        <w:t>New Section 3A</w:t>
      </w:r>
    </w:p>
    <w:p w14:paraId="3166F99D" w14:textId="5692A652" w:rsidR="00C374B7" w:rsidRDefault="00C374B7" w:rsidP="00C374B7">
      <w:r w:rsidRPr="00911DB2">
        <w:t xml:space="preserve">This clause </w:t>
      </w:r>
      <w:r>
        <w:t>inserts a new section about offences against this Act</w:t>
      </w:r>
      <w:r w:rsidR="00E60F70">
        <w:t>.</w:t>
      </w:r>
      <w:r>
        <w:t xml:space="preserve"> </w:t>
      </w:r>
      <w:r w:rsidR="00152083">
        <w:t xml:space="preserve"> It states</w:t>
      </w:r>
      <w:r>
        <w:t xml:space="preserve"> how the Criminal Code 2002 applies to certain offences in the Act and how the Legislation Act deals with the meaning of offence penalties expressed in penalty units</w:t>
      </w:r>
      <w:r w:rsidRPr="00911DB2">
        <w:t>.</w:t>
      </w:r>
    </w:p>
    <w:p w14:paraId="1F77946A" w14:textId="77777777" w:rsidR="00A716DB" w:rsidRDefault="00C374B7" w:rsidP="00C374B7">
      <w:pPr>
        <w:pStyle w:val="Heading3"/>
      </w:pPr>
      <w:r w:rsidRPr="00ED3B77">
        <w:t xml:space="preserve">Clause </w:t>
      </w:r>
      <w:r>
        <w:t>6</w:t>
      </w:r>
      <w:r w:rsidRPr="00ED3B77">
        <w:tab/>
      </w:r>
      <w:r>
        <w:t>Functions of commission</w:t>
      </w:r>
    </w:p>
    <w:p w14:paraId="1DC0C8EE" w14:textId="7EF8879D" w:rsidR="00C374B7" w:rsidRPr="00ED3B77" w:rsidRDefault="00C374B7" w:rsidP="00A716DB">
      <w:pPr>
        <w:pStyle w:val="Heading3"/>
        <w:ind w:left="720" w:firstLine="720"/>
        <w:rPr>
          <w:b w:val="0"/>
        </w:rPr>
      </w:pPr>
      <w:r>
        <w:t>New section 6 (2) (ca)</w:t>
      </w:r>
    </w:p>
    <w:p w14:paraId="07E908F0" w14:textId="4A2F666C" w:rsidR="00C374B7" w:rsidRDefault="00C374B7" w:rsidP="00C374B7">
      <w:r w:rsidRPr="00911DB2">
        <w:t xml:space="preserve">This clause </w:t>
      </w:r>
      <w:r>
        <w:t xml:space="preserve">inserts </w:t>
      </w:r>
      <w:r w:rsidR="005B29D2">
        <w:t>a</w:t>
      </w:r>
      <w:r w:rsidR="00B44314">
        <w:t xml:space="preserve"> </w:t>
      </w:r>
      <w:r w:rsidR="00AA108D">
        <w:t>new</w:t>
      </w:r>
      <w:r w:rsidR="00196FD3">
        <w:t xml:space="preserve"> </w:t>
      </w:r>
      <w:r w:rsidR="005B29D2">
        <w:t>Gambling and Racing Commission</w:t>
      </w:r>
      <w:r w:rsidR="009D39AA">
        <w:t xml:space="preserve"> </w:t>
      </w:r>
      <w:r w:rsidR="00AC39DC">
        <w:t xml:space="preserve">(Commission) </w:t>
      </w:r>
      <w:r w:rsidR="00B44314">
        <w:t>function in relation</w:t>
      </w:r>
      <w:r w:rsidR="009D39AA">
        <w:t xml:space="preserve"> to prevent</w:t>
      </w:r>
      <w:r w:rsidR="00B44314">
        <w:t>ing</w:t>
      </w:r>
      <w:r w:rsidR="009D39AA">
        <w:t xml:space="preserve"> gambling harm. The</w:t>
      </w:r>
      <w:r w:rsidR="002566CA">
        <w:t xml:space="preserve"> clause provides that</w:t>
      </w:r>
      <w:r w:rsidR="005A5570">
        <w:t xml:space="preserve"> it is a function of </w:t>
      </w:r>
      <w:r w:rsidR="009D39AA">
        <w:t xml:space="preserve">the Commission to implement and oversee </w:t>
      </w:r>
      <w:r w:rsidR="00647DD4">
        <w:t>programs and</w:t>
      </w:r>
      <w:r w:rsidR="009D39AA">
        <w:t xml:space="preserve"> strategies to prevent and reduce gambling harm.</w:t>
      </w:r>
      <w:r w:rsidR="00943A96">
        <w:t xml:space="preserve"> </w:t>
      </w:r>
      <w:r w:rsidR="002F7E7B">
        <w:t>This new function is consistent with the Commission’s broad role in reducing gambling harm.</w:t>
      </w:r>
    </w:p>
    <w:p w14:paraId="647EB7C3" w14:textId="77777777" w:rsidR="00A716DB" w:rsidRDefault="009D39AA" w:rsidP="009D39AA">
      <w:pPr>
        <w:pStyle w:val="Heading3"/>
      </w:pPr>
      <w:r w:rsidRPr="00ED3B77">
        <w:t xml:space="preserve">Clause </w:t>
      </w:r>
      <w:r>
        <w:t>7</w:t>
      </w:r>
      <w:r w:rsidRPr="00ED3B77">
        <w:tab/>
      </w:r>
      <w:r>
        <w:t>Governing board members</w:t>
      </w:r>
    </w:p>
    <w:p w14:paraId="0DE43627" w14:textId="4B21A333" w:rsidR="009D39AA" w:rsidRPr="00ED3B77" w:rsidRDefault="009D39AA" w:rsidP="00A716DB">
      <w:pPr>
        <w:pStyle w:val="Heading3"/>
        <w:ind w:left="720" w:firstLine="720"/>
        <w:rPr>
          <w:b w:val="0"/>
        </w:rPr>
      </w:pPr>
      <w:r>
        <w:t xml:space="preserve">Section 12 (1) </w:t>
      </w:r>
    </w:p>
    <w:p w14:paraId="06FE2933" w14:textId="4E8C2FDC" w:rsidR="009D39AA" w:rsidRDefault="009D39AA" w:rsidP="009D39AA">
      <w:r w:rsidRPr="00911DB2">
        <w:t xml:space="preserve">This clause </w:t>
      </w:r>
      <w:r>
        <w:t>substitutes language to reflect a requirement that the knowledge, experience or qualifications of at least 1 of the board members must be related to providing counselling services to people experiencing or at risk of gambling harm</w:t>
      </w:r>
      <w:r w:rsidR="00415C02">
        <w:t>.</w:t>
      </w:r>
    </w:p>
    <w:p w14:paraId="522B69B9" w14:textId="694118D5" w:rsidR="000B4D3E" w:rsidRDefault="00C51614" w:rsidP="000B4D3E">
      <w:pPr>
        <w:pStyle w:val="Heading3"/>
      </w:pPr>
      <w:r w:rsidRPr="00ED3B77">
        <w:t xml:space="preserve">Clause </w:t>
      </w:r>
      <w:r>
        <w:t>8</w:t>
      </w:r>
      <w:r w:rsidRPr="00ED3B77">
        <w:tab/>
      </w:r>
      <w:r w:rsidR="000B4D3E">
        <w:t>Commission’s staff</w:t>
      </w:r>
    </w:p>
    <w:p w14:paraId="690A8F29" w14:textId="6E5178A5" w:rsidR="000B4D3E" w:rsidRPr="00D978E9" w:rsidRDefault="000B4D3E" w:rsidP="00D978E9">
      <w:pPr>
        <w:pStyle w:val="Heading3"/>
        <w:ind w:left="720" w:firstLine="720"/>
        <w:rPr>
          <w:b w:val="0"/>
        </w:rPr>
      </w:pPr>
      <w:r>
        <w:t xml:space="preserve">New section 14 (3) </w:t>
      </w:r>
    </w:p>
    <w:p w14:paraId="0AAC4F76" w14:textId="23898193" w:rsidR="00A6384F" w:rsidRDefault="00A6384F" w:rsidP="009D39AA">
      <w:r w:rsidRPr="00911DB2">
        <w:t>This</w:t>
      </w:r>
      <w:r w:rsidR="007879EF">
        <w:t xml:space="preserve"> clause</w:t>
      </w:r>
      <w:r w:rsidRPr="00911DB2">
        <w:t xml:space="preserve"> </w:t>
      </w:r>
      <w:r w:rsidR="00814452">
        <w:t xml:space="preserve">is a technical amendment to clarify the scope of the </w:t>
      </w:r>
      <w:r w:rsidR="00A23710">
        <w:t xml:space="preserve">new term ‘employ’ which this Act adds to the dictionary. </w:t>
      </w:r>
    </w:p>
    <w:p w14:paraId="2014A62E" w14:textId="7D286C06" w:rsidR="00C51614" w:rsidRPr="00ED3B77" w:rsidRDefault="00C51614" w:rsidP="00C51614">
      <w:pPr>
        <w:pStyle w:val="Heading3"/>
        <w:rPr>
          <w:b w:val="0"/>
        </w:rPr>
      </w:pPr>
      <w:r w:rsidRPr="00ED3B77">
        <w:t xml:space="preserve">Clause </w:t>
      </w:r>
      <w:r w:rsidR="00AF2800">
        <w:t>9</w:t>
      </w:r>
      <w:r w:rsidRPr="00ED3B77">
        <w:tab/>
      </w:r>
      <w:r>
        <w:t>New division 2.3 heading</w:t>
      </w:r>
    </w:p>
    <w:p w14:paraId="5337F09A" w14:textId="12C50D2E" w:rsidR="00C51614" w:rsidRDefault="00C51614" w:rsidP="00C51614">
      <w:r w:rsidRPr="00911DB2">
        <w:t xml:space="preserve">This clause </w:t>
      </w:r>
      <w:r>
        <w:t xml:space="preserve">creates a new division with the heading ‘Role of commission in </w:t>
      </w:r>
      <w:r w:rsidR="005D1ABF">
        <w:t xml:space="preserve">reducing </w:t>
      </w:r>
      <w:r>
        <w:t>gambling harm’.</w:t>
      </w:r>
    </w:p>
    <w:p w14:paraId="02091B08" w14:textId="2C975FE0" w:rsidR="00C51614" w:rsidRPr="00ED3B77" w:rsidRDefault="00C51614" w:rsidP="00C51614">
      <w:pPr>
        <w:pStyle w:val="Heading3"/>
        <w:rPr>
          <w:b w:val="0"/>
        </w:rPr>
      </w:pPr>
      <w:r w:rsidRPr="00ED3B77">
        <w:t xml:space="preserve">Clause </w:t>
      </w:r>
      <w:r w:rsidR="005D1ABF">
        <w:t>10</w:t>
      </w:r>
      <w:r w:rsidRPr="00ED3B77">
        <w:tab/>
      </w:r>
      <w:r>
        <w:t xml:space="preserve">Part 3 and division 3.1 headings </w:t>
      </w:r>
    </w:p>
    <w:p w14:paraId="325EBF6C" w14:textId="2B749497" w:rsidR="00C51614" w:rsidRDefault="00C51614" w:rsidP="00C51614">
      <w:r w:rsidRPr="00911DB2">
        <w:t xml:space="preserve">This clause </w:t>
      </w:r>
      <w:r>
        <w:t>amends the title of part 3 to ‘Gambling harm’. The clause also amends the title of division 3.1 to ‘Preliminary’.</w:t>
      </w:r>
    </w:p>
    <w:p w14:paraId="31C7E2D0" w14:textId="4645D6C3" w:rsidR="00A716DB" w:rsidRDefault="00C51614" w:rsidP="00C51614">
      <w:pPr>
        <w:pStyle w:val="Heading3"/>
      </w:pPr>
      <w:r w:rsidRPr="00ED3B77">
        <w:t xml:space="preserve">Clause </w:t>
      </w:r>
      <w:r w:rsidR="00EA7CA4">
        <w:t>11</w:t>
      </w:r>
      <w:r w:rsidRPr="00ED3B77">
        <w:tab/>
      </w:r>
      <w:r>
        <w:t>Monitoring and researc</w:t>
      </w:r>
      <w:r w:rsidR="00A716DB">
        <w:t>h</w:t>
      </w:r>
    </w:p>
    <w:p w14:paraId="568D927D" w14:textId="4E73210E" w:rsidR="00C51614" w:rsidRPr="00ED3B77" w:rsidRDefault="00C51614" w:rsidP="00A716DB">
      <w:pPr>
        <w:pStyle w:val="Heading3"/>
        <w:ind w:left="720" w:firstLine="720"/>
        <w:rPr>
          <w:b w:val="0"/>
        </w:rPr>
      </w:pPr>
      <w:r>
        <w:t xml:space="preserve">Section 17 </w:t>
      </w:r>
    </w:p>
    <w:p w14:paraId="4FB94746" w14:textId="17792C95" w:rsidR="00B80501" w:rsidRDefault="00C51614" w:rsidP="00C51614">
      <w:r w:rsidRPr="00911DB2">
        <w:t xml:space="preserve">This clause </w:t>
      </w:r>
      <w:r>
        <w:t xml:space="preserve">relocates section 17 ‘Monitoring and research’ to </w:t>
      </w:r>
      <w:r w:rsidR="006365E8">
        <w:t xml:space="preserve">section 16, </w:t>
      </w:r>
      <w:r>
        <w:t xml:space="preserve">division 2.3 ‘Role of commission in </w:t>
      </w:r>
      <w:r w:rsidR="006672C1">
        <w:t xml:space="preserve">reducing </w:t>
      </w:r>
      <w:r>
        <w:t>gambling harm’ as this section appropriate</w:t>
      </w:r>
      <w:r w:rsidR="002778A9">
        <w:t>ly</w:t>
      </w:r>
      <w:r>
        <w:t xml:space="preserve"> </w:t>
      </w:r>
      <w:r w:rsidR="009861F1">
        <w:t>sits in the division of the Act dealing with</w:t>
      </w:r>
      <w:r>
        <w:t xml:space="preserve"> the role of the </w:t>
      </w:r>
      <w:r w:rsidR="00AC39DC">
        <w:t>C</w:t>
      </w:r>
      <w:r>
        <w:t xml:space="preserve">ommission in </w:t>
      </w:r>
      <w:r w:rsidR="006412EF">
        <w:t xml:space="preserve">reducing </w:t>
      </w:r>
      <w:r>
        <w:t>gambling harm.</w:t>
      </w:r>
    </w:p>
    <w:p w14:paraId="06FB76F6" w14:textId="33E07F21" w:rsidR="00C51614" w:rsidRPr="00ED3B77" w:rsidRDefault="00C51614" w:rsidP="00C51614">
      <w:pPr>
        <w:pStyle w:val="Heading3"/>
        <w:rPr>
          <w:b w:val="0"/>
        </w:rPr>
      </w:pPr>
      <w:r w:rsidRPr="00ED3B77">
        <w:lastRenderedPageBreak/>
        <w:t xml:space="preserve">Clause </w:t>
      </w:r>
      <w:r>
        <w:t>1</w:t>
      </w:r>
      <w:r w:rsidR="00DD37AF">
        <w:t>2</w:t>
      </w:r>
      <w:r w:rsidRPr="00ED3B77">
        <w:tab/>
      </w:r>
      <w:r>
        <w:t>New sections 17A to 17</w:t>
      </w:r>
      <w:r w:rsidR="00D24C1C">
        <w:t>C</w:t>
      </w:r>
      <w:r>
        <w:t xml:space="preserve"> </w:t>
      </w:r>
    </w:p>
    <w:p w14:paraId="780F7BA7" w14:textId="4679EB3B" w:rsidR="00C51614" w:rsidRDefault="00C51614" w:rsidP="00C51614">
      <w:r w:rsidRPr="00911DB2">
        <w:t>This clause</w:t>
      </w:r>
      <w:r>
        <w:t xml:space="preserve"> inserts new sections in division 3.1 ‘Preliminary’. The clause inserts </w:t>
      </w:r>
      <w:r w:rsidR="00651B7A">
        <w:t xml:space="preserve">several </w:t>
      </w:r>
      <w:r>
        <w:t xml:space="preserve">definitions at section 17A, </w:t>
      </w:r>
      <w:r w:rsidR="000C4B3C">
        <w:t xml:space="preserve">the </w:t>
      </w:r>
      <w:r>
        <w:t>meaning of licensee at section 17B,</w:t>
      </w:r>
      <w:r w:rsidR="0003242A">
        <w:t xml:space="preserve"> and</w:t>
      </w:r>
      <w:r>
        <w:t xml:space="preserve"> </w:t>
      </w:r>
      <w:r w:rsidR="000C4B3C">
        <w:t xml:space="preserve">the </w:t>
      </w:r>
      <w:r>
        <w:t>meaning of risk of gambling harm at section 17C</w:t>
      </w:r>
      <w:r w:rsidR="00492E0D">
        <w:t>,</w:t>
      </w:r>
      <w:r w:rsidR="0026076E">
        <w:t xml:space="preserve"> which are </w:t>
      </w:r>
      <w:r w:rsidR="00C57C75">
        <w:t>terms</w:t>
      </w:r>
      <w:r w:rsidR="0026076E">
        <w:t xml:space="preserve"> used in the new </w:t>
      </w:r>
      <w:r w:rsidR="00086E26">
        <w:t>Gambling Harm</w:t>
      </w:r>
      <w:r w:rsidR="0026076E">
        <w:t xml:space="preserve"> part of the Act.</w:t>
      </w:r>
    </w:p>
    <w:p w14:paraId="21E65800" w14:textId="4E6A254F" w:rsidR="00C51614" w:rsidRPr="00DB7380" w:rsidRDefault="007358E5" w:rsidP="00C51614">
      <w:pPr>
        <w:rPr>
          <w:u w:val="single"/>
        </w:rPr>
      </w:pPr>
      <w:r>
        <w:rPr>
          <w:u w:val="single"/>
        </w:rPr>
        <w:t xml:space="preserve">17A – </w:t>
      </w:r>
      <w:r w:rsidR="00C51614" w:rsidRPr="00DB7380">
        <w:rPr>
          <w:u w:val="single"/>
        </w:rPr>
        <w:t>Definitions</w:t>
      </w:r>
      <w:r w:rsidR="00DB7380">
        <w:rPr>
          <w:u w:val="single"/>
        </w:rPr>
        <w:t xml:space="preserve"> – part 3</w:t>
      </w:r>
    </w:p>
    <w:p w14:paraId="10BC8AEE" w14:textId="3D2B5233" w:rsidR="00DB7380" w:rsidRDefault="007879EF" w:rsidP="00DB7380">
      <w:r>
        <w:t>S</w:t>
      </w:r>
      <w:r w:rsidR="00276099">
        <w:t xml:space="preserve">ection 17A </w:t>
      </w:r>
      <w:r w:rsidR="00DB7380">
        <w:t xml:space="preserve">provides new definitions for </w:t>
      </w:r>
      <w:r w:rsidR="00DB7380" w:rsidRPr="00DB7380">
        <w:t>part 3</w:t>
      </w:r>
      <w:r w:rsidR="00DB7380">
        <w:rPr>
          <w:i/>
          <w:iCs/>
        </w:rPr>
        <w:t xml:space="preserve"> </w:t>
      </w:r>
      <w:r w:rsidR="00DB7380">
        <w:t>to support the gambling harm framework</w:t>
      </w:r>
      <w:r w:rsidR="000B5617">
        <w:t xml:space="preserve"> in part 3</w:t>
      </w:r>
      <w:r w:rsidR="00FA1A38">
        <w:t xml:space="preserve"> of the Act</w:t>
      </w:r>
      <w:r w:rsidR="00DB7380">
        <w:t xml:space="preserve">. </w:t>
      </w:r>
    </w:p>
    <w:p w14:paraId="6C19A68C" w14:textId="57DBBA93" w:rsidR="00DB7380" w:rsidRDefault="007B4ECD" w:rsidP="00DB7380">
      <w:r>
        <w:t>Section 17A</w:t>
      </w:r>
      <w:r w:rsidR="00DB7380">
        <w:t xml:space="preserve"> provides new definitions for:</w:t>
      </w:r>
    </w:p>
    <w:p w14:paraId="2C2A846F" w14:textId="4776E814" w:rsidR="00DB7380" w:rsidRPr="00DB7380" w:rsidRDefault="00DB7380" w:rsidP="00DB7380">
      <w:pPr>
        <w:pStyle w:val="ListParagraph"/>
        <w:numPr>
          <w:ilvl w:val="0"/>
          <w:numId w:val="24"/>
        </w:numPr>
        <w:rPr>
          <w:i/>
          <w:iCs/>
        </w:rPr>
      </w:pPr>
      <w:r>
        <w:t>Exclusion period</w:t>
      </w:r>
    </w:p>
    <w:p w14:paraId="4642AAC7" w14:textId="6CEF3903" w:rsidR="00DB7380" w:rsidRPr="00DB7380" w:rsidRDefault="00DB7380" w:rsidP="00DB7380">
      <w:pPr>
        <w:pStyle w:val="ListParagraph"/>
        <w:numPr>
          <w:ilvl w:val="0"/>
          <w:numId w:val="24"/>
        </w:numPr>
        <w:rPr>
          <w:i/>
          <w:iCs/>
        </w:rPr>
      </w:pPr>
      <w:r>
        <w:t xml:space="preserve">Gambling activity </w:t>
      </w:r>
    </w:p>
    <w:p w14:paraId="161BA348" w14:textId="60C0CA07" w:rsidR="00DB7380" w:rsidRPr="00DB7380" w:rsidRDefault="00DB7380" w:rsidP="00DB7380">
      <w:pPr>
        <w:pStyle w:val="ListParagraph"/>
        <w:numPr>
          <w:ilvl w:val="0"/>
          <w:numId w:val="24"/>
        </w:numPr>
        <w:rPr>
          <w:i/>
          <w:iCs/>
        </w:rPr>
      </w:pPr>
      <w:r>
        <w:t>Gambling exclusion determination</w:t>
      </w:r>
    </w:p>
    <w:p w14:paraId="4A0A85D1" w14:textId="5E85F679" w:rsidR="00DB7380" w:rsidRPr="00DB7380" w:rsidRDefault="00DB7380" w:rsidP="00C51614">
      <w:pPr>
        <w:pStyle w:val="ListParagraph"/>
        <w:numPr>
          <w:ilvl w:val="0"/>
          <w:numId w:val="24"/>
        </w:numPr>
        <w:rPr>
          <w:i/>
          <w:iCs/>
        </w:rPr>
      </w:pPr>
      <w:r>
        <w:t>Gambling exclusion notice</w:t>
      </w:r>
    </w:p>
    <w:p w14:paraId="37079272" w14:textId="75305278" w:rsidR="00DB7380" w:rsidRPr="00DB7380" w:rsidRDefault="00DB7380" w:rsidP="00C51614">
      <w:pPr>
        <w:pStyle w:val="ListParagraph"/>
        <w:numPr>
          <w:ilvl w:val="0"/>
          <w:numId w:val="24"/>
        </w:numPr>
        <w:rPr>
          <w:i/>
          <w:iCs/>
        </w:rPr>
      </w:pPr>
      <w:r>
        <w:t>Gambling facility</w:t>
      </w:r>
    </w:p>
    <w:p w14:paraId="6C4B734D" w14:textId="47BD2A18" w:rsidR="00DB7380" w:rsidRPr="00DB7380" w:rsidRDefault="00DB7380" w:rsidP="00C51614">
      <w:pPr>
        <w:pStyle w:val="ListParagraph"/>
        <w:numPr>
          <w:ilvl w:val="0"/>
          <w:numId w:val="24"/>
        </w:numPr>
        <w:rPr>
          <w:i/>
          <w:iCs/>
        </w:rPr>
      </w:pPr>
      <w:r>
        <w:t>Gambling harm risk register</w:t>
      </w:r>
    </w:p>
    <w:p w14:paraId="13110DA5" w14:textId="47BA8DEB" w:rsidR="00DB7380" w:rsidRPr="00DB7380" w:rsidRDefault="00DB7380" w:rsidP="00C51614">
      <w:pPr>
        <w:pStyle w:val="ListParagraph"/>
        <w:numPr>
          <w:ilvl w:val="0"/>
          <w:numId w:val="24"/>
        </w:numPr>
        <w:rPr>
          <w:i/>
          <w:iCs/>
        </w:rPr>
      </w:pPr>
      <w:r>
        <w:t>Licensee</w:t>
      </w:r>
    </w:p>
    <w:p w14:paraId="37BC57D2" w14:textId="47B1935A" w:rsidR="00DB7380" w:rsidRPr="00DB7380" w:rsidRDefault="00DB7380" w:rsidP="00C51614">
      <w:pPr>
        <w:pStyle w:val="ListParagraph"/>
        <w:numPr>
          <w:ilvl w:val="0"/>
          <w:numId w:val="24"/>
        </w:numPr>
        <w:rPr>
          <w:i/>
          <w:iCs/>
        </w:rPr>
      </w:pPr>
      <w:r>
        <w:t xml:space="preserve">Licensee exclusion notice </w:t>
      </w:r>
    </w:p>
    <w:p w14:paraId="415041DB" w14:textId="5B9D0E6A" w:rsidR="00DB7380" w:rsidRPr="00DB7380" w:rsidRDefault="00DB7380" w:rsidP="00C51614">
      <w:pPr>
        <w:pStyle w:val="ListParagraph"/>
        <w:numPr>
          <w:ilvl w:val="0"/>
          <w:numId w:val="24"/>
        </w:numPr>
        <w:rPr>
          <w:i/>
          <w:iCs/>
        </w:rPr>
      </w:pPr>
      <w:r>
        <w:t>Risk of gambling harm</w:t>
      </w:r>
    </w:p>
    <w:p w14:paraId="6ACC4092" w14:textId="2299D85B" w:rsidR="00DB7380" w:rsidRPr="00DB7380" w:rsidRDefault="00DB7380" w:rsidP="00C51614">
      <w:pPr>
        <w:pStyle w:val="ListParagraph"/>
        <w:numPr>
          <w:ilvl w:val="0"/>
          <w:numId w:val="24"/>
        </w:numPr>
        <w:rPr>
          <w:i/>
          <w:iCs/>
        </w:rPr>
      </w:pPr>
      <w:r>
        <w:t>Self-exclusion notice</w:t>
      </w:r>
    </w:p>
    <w:p w14:paraId="470EE908" w14:textId="0087B868" w:rsidR="00DB7380" w:rsidRPr="008E2222" w:rsidRDefault="00DB7380" w:rsidP="00C51614">
      <w:pPr>
        <w:pStyle w:val="ListParagraph"/>
        <w:numPr>
          <w:ilvl w:val="0"/>
          <w:numId w:val="24"/>
        </w:numPr>
        <w:rPr>
          <w:i/>
        </w:rPr>
      </w:pPr>
      <w:r>
        <w:t>Sign of gambling harm risk</w:t>
      </w:r>
    </w:p>
    <w:p w14:paraId="3BFA69FB" w14:textId="0503772C" w:rsidR="00A3553F" w:rsidRPr="00DB7380" w:rsidRDefault="00A3553F" w:rsidP="00C51614">
      <w:pPr>
        <w:pStyle w:val="ListParagraph"/>
        <w:numPr>
          <w:ilvl w:val="0"/>
          <w:numId w:val="24"/>
        </w:numPr>
        <w:rPr>
          <w:i/>
          <w:iCs/>
        </w:rPr>
      </w:pPr>
      <w:r>
        <w:t>Support person</w:t>
      </w:r>
    </w:p>
    <w:p w14:paraId="0D7808B2" w14:textId="23917C03" w:rsidR="00DB7380" w:rsidRPr="00DB7380" w:rsidRDefault="00DB7380" w:rsidP="00C51614">
      <w:pPr>
        <w:pStyle w:val="ListParagraph"/>
        <w:numPr>
          <w:ilvl w:val="0"/>
          <w:numId w:val="24"/>
        </w:numPr>
        <w:rPr>
          <w:i/>
          <w:iCs/>
        </w:rPr>
      </w:pPr>
      <w:r>
        <w:t>Trading day</w:t>
      </w:r>
    </w:p>
    <w:p w14:paraId="0775E93C" w14:textId="77777777" w:rsidR="00C51614" w:rsidRDefault="00C51614" w:rsidP="00DB7380">
      <w:pPr>
        <w:spacing w:after="0"/>
      </w:pPr>
    </w:p>
    <w:p w14:paraId="0B749961" w14:textId="1A9F20E0" w:rsidR="00DB7380" w:rsidRPr="00DB7380" w:rsidRDefault="007358E5" w:rsidP="00C51614">
      <w:pPr>
        <w:rPr>
          <w:u w:val="single"/>
        </w:rPr>
      </w:pPr>
      <w:r>
        <w:rPr>
          <w:u w:val="single"/>
        </w:rPr>
        <w:t xml:space="preserve">17B – </w:t>
      </w:r>
      <w:r w:rsidR="00DB7380" w:rsidRPr="00DB7380">
        <w:rPr>
          <w:u w:val="single"/>
        </w:rPr>
        <w:t>Meaning of licensee – part 3</w:t>
      </w:r>
    </w:p>
    <w:p w14:paraId="635733D5" w14:textId="31F747BF" w:rsidR="00DB7380" w:rsidRDefault="007879EF" w:rsidP="00C51614">
      <w:r>
        <w:t>S</w:t>
      </w:r>
      <w:r w:rsidR="00224DBD">
        <w:t xml:space="preserve">ection 17B </w:t>
      </w:r>
      <w:r w:rsidR="00C65B57">
        <w:t>provides</w:t>
      </w:r>
      <w:r w:rsidR="000F6567">
        <w:t xml:space="preserve"> </w:t>
      </w:r>
      <w:r w:rsidR="00224DBD">
        <w:t>t</w:t>
      </w:r>
      <w:r w:rsidR="00DB7380">
        <w:t xml:space="preserve">he meaning of licensee </w:t>
      </w:r>
      <w:r w:rsidR="00284EFD">
        <w:t>of a gambling activity</w:t>
      </w:r>
      <w:r w:rsidR="00DB7380">
        <w:t xml:space="preserve"> </w:t>
      </w:r>
      <w:r w:rsidR="00951E71">
        <w:t>for the purposes of</w:t>
      </w:r>
      <w:r w:rsidR="00DB7380">
        <w:t xml:space="preserve"> part 3</w:t>
      </w:r>
      <w:r w:rsidR="00CA2F98">
        <w:t xml:space="preserve"> of the Act</w:t>
      </w:r>
      <w:r w:rsidR="007358E5">
        <w:t xml:space="preserve">. This </w:t>
      </w:r>
      <w:r w:rsidR="0043337F">
        <w:t xml:space="preserve">is consistent with the </w:t>
      </w:r>
      <w:r w:rsidR="000F6567">
        <w:t xml:space="preserve">existing </w:t>
      </w:r>
      <w:r w:rsidR="0043337F">
        <w:t>meaning of licensee at section 5 of the Regulation (Code of Practice)</w:t>
      </w:r>
      <w:r w:rsidR="007358E5">
        <w:t>, except that it does not include lottery and pool betting licensees</w:t>
      </w:r>
      <w:r w:rsidR="0043337F">
        <w:t>.</w:t>
      </w:r>
      <w:r w:rsidR="007358E5">
        <w:t xml:space="preserve"> This is because the definition applies to the whole of part 3, which includes a range of obligations and functions (such as the gambling exclusion scheme) that do not currently apply to lottery and pool betting licensees. This Act does not propose to extend the application of the gambling exclusion scheme and gambling harm framework to lottery and pool betting licensees, due to the lower </w:t>
      </w:r>
      <w:r w:rsidR="00AC39DC">
        <w:t>risk of</w:t>
      </w:r>
      <w:r w:rsidR="007358E5">
        <w:t xml:space="preserve"> harm</w:t>
      </w:r>
      <w:r w:rsidR="00AC39DC">
        <w:t>,</w:t>
      </w:r>
      <w:r w:rsidR="007358E5">
        <w:t xml:space="preserve"> higher frequency</w:t>
      </w:r>
      <w:r w:rsidR="00AC39DC">
        <w:t xml:space="preserve"> of play and</w:t>
      </w:r>
      <w:r w:rsidR="007358E5">
        <w:t xml:space="preserve"> casual participation associated with lotteries. </w:t>
      </w:r>
    </w:p>
    <w:p w14:paraId="03ED2BBA" w14:textId="50B80C7C" w:rsidR="00CA2F98" w:rsidRPr="0043337F" w:rsidRDefault="00CA2F98" w:rsidP="00C51614">
      <w:pPr>
        <w:rPr>
          <w:u w:val="single"/>
        </w:rPr>
      </w:pPr>
      <w:r w:rsidRPr="0043337F">
        <w:rPr>
          <w:u w:val="single"/>
        </w:rPr>
        <w:t>Meaning of risk of gambling harm</w:t>
      </w:r>
      <w:r w:rsidR="0037546D">
        <w:rPr>
          <w:u w:val="single"/>
        </w:rPr>
        <w:t xml:space="preserve"> – part 3</w:t>
      </w:r>
    </w:p>
    <w:p w14:paraId="43B80CC9" w14:textId="371FE2AC" w:rsidR="00CA2F98" w:rsidRDefault="0022539B" w:rsidP="00C51614">
      <w:r>
        <w:t>S</w:t>
      </w:r>
      <w:r w:rsidR="00224DBD">
        <w:t xml:space="preserve">ection 17C </w:t>
      </w:r>
      <w:r w:rsidR="000F6567">
        <w:t>defines</w:t>
      </w:r>
      <w:r w:rsidR="00CA2F98">
        <w:t xml:space="preserve"> the </w:t>
      </w:r>
      <w:r w:rsidR="00CA2F98" w:rsidRPr="0043337F">
        <w:rPr>
          <w:i/>
          <w:iCs/>
        </w:rPr>
        <w:t>risk of gambling harm</w:t>
      </w:r>
      <w:r w:rsidR="00CA2F98">
        <w:t xml:space="preserve"> in relation to a person</w:t>
      </w:r>
      <w:r w:rsidR="00E6090D">
        <w:t xml:space="preserve"> which is central to the gambling harm framework</w:t>
      </w:r>
      <w:r w:rsidR="0043337F">
        <w:t xml:space="preserve">. This </w:t>
      </w:r>
      <w:r w:rsidR="00FD1691">
        <w:t xml:space="preserve">new </w:t>
      </w:r>
      <w:r w:rsidR="0043337F">
        <w:t>definition</w:t>
      </w:r>
      <w:r w:rsidR="00F7751B">
        <w:t xml:space="preserve"> replaces the concept of ‘problem gambling’ as defined in the Regulation (Code of Practice) </w:t>
      </w:r>
      <w:r w:rsidR="00FD1691">
        <w:t>at schedule 1, section 1.2</w:t>
      </w:r>
      <w:r w:rsidR="0037546D">
        <w:t xml:space="preserve"> and definition of a ‘problem gambling incident at schedule 1, section 1.6A of the Regulation (Code of Practice).</w:t>
      </w:r>
      <w:r w:rsidR="00260259">
        <w:t xml:space="preserve"> The new definition of risk of gambling harm is consistent with</w:t>
      </w:r>
      <w:r w:rsidR="00FF4249">
        <w:t>, and clarifies,</w:t>
      </w:r>
      <w:r w:rsidR="00260259">
        <w:t xml:space="preserve"> the ‘problem</w:t>
      </w:r>
      <w:r w:rsidR="00FF4249">
        <w:t> </w:t>
      </w:r>
      <w:r w:rsidR="00260259">
        <w:t xml:space="preserve">gambling’ definition at schedule 1, section 1.2 of the </w:t>
      </w:r>
      <w:r w:rsidR="00215334">
        <w:t>Regulation (</w:t>
      </w:r>
      <w:r w:rsidR="00260259">
        <w:t>Code of Practice</w:t>
      </w:r>
      <w:r w:rsidR="00215334">
        <w:t>)</w:t>
      </w:r>
      <w:r w:rsidR="007159EB">
        <w:t xml:space="preserve"> and the </w:t>
      </w:r>
      <w:r w:rsidR="00BC14FB">
        <w:t xml:space="preserve">Examples – signs that person has gambling problem at </w:t>
      </w:r>
      <w:r w:rsidR="00215334">
        <w:t>schedule 1, section 1.6A of the Regulation (Code of Practice)</w:t>
      </w:r>
      <w:r w:rsidR="00FF4249">
        <w:t>.</w:t>
      </w:r>
      <w:r w:rsidR="00260259">
        <w:t xml:space="preserve"> </w:t>
      </w:r>
      <w:r w:rsidR="00FF4249">
        <w:t>I</w:t>
      </w:r>
      <w:r w:rsidR="00260259">
        <w:t xml:space="preserve">t reflects contemporary </w:t>
      </w:r>
      <w:r w:rsidR="004462E3">
        <w:t>evidence and understanding</w:t>
      </w:r>
      <w:r w:rsidR="00260259">
        <w:t xml:space="preserve"> that the </w:t>
      </w:r>
      <w:r w:rsidR="00FF4249">
        <w:t xml:space="preserve">problem or risk is the </w:t>
      </w:r>
      <w:r w:rsidR="00260259">
        <w:t>gambling activity, rather than the individual</w:t>
      </w:r>
      <w:r w:rsidR="002E17A4">
        <w:t>s</w:t>
      </w:r>
      <w:r w:rsidR="00E6090D">
        <w:t xml:space="preserve"> participating in the activity</w:t>
      </w:r>
      <w:r w:rsidR="00260259">
        <w:t xml:space="preserve">. This approach moves </w:t>
      </w:r>
      <w:r w:rsidR="00E6090D">
        <w:t xml:space="preserve">the gambling harm framework </w:t>
      </w:r>
      <w:r w:rsidR="00E6090D">
        <w:lastRenderedPageBreak/>
        <w:t xml:space="preserve">to a preventive approach by focusing on </w:t>
      </w:r>
      <w:r w:rsidR="00E76645">
        <w:t>preventing</w:t>
      </w:r>
      <w:r w:rsidR="00E6090D">
        <w:t xml:space="preserve"> the </w:t>
      </w:r>
      <w:r w:rsidR="00260259">
        <w:t>cause of gambling harm</w:t>
      </w:r>
      <w:r w:rsidR="00FF4249">
        <w:t xml:space="preserve"> and addressing the risk</w:t>
      </w:r>
      <w:r w:rsidR="00AC39DC">
        <w:t xml:space="preserve"> of such harm</w:t>
      </w:r>
      <w:r w:rsidR="00260259">
        <w:t xml:space="preserve">, rather than </w:t>
      </w:r>
      <w:r w:rsidR="00AC39DC">
        <w:t xml:space="preserve">only acting after </w:t>
      </w:r>
      <w:r w:rsidR="00E6090D">
        <w:t>harm</w:t>
      </w:r>
      <w:r w:rsidR="00AC39DC">
        <w:t xml:space="preserve"> has </w:t>
      </w:r>
      <w:r w:rsidR="001946EC">
        <w:t>occurred</w:t>
      </w:r>
      <w:r w:rsidR="00260259">
        <w:t>.</w:t>
      </w:r>
    </w:p>
    <w:p w14:paraId="0237AFDA" w14:textId="0BC7B5F3" w:rsidR="0000701B" w:rsidRDefault="0000701B" w:rsidP="00C51614">
      <w:r>
        <w:t xml:space="preserve">The </w:t>
      </w:r>
      <w:r w:rsidR="00661061">
        <w:t xml:space="preserve">amendments </w:t>
      </w:r>
      <w:r w:rsidR="00694920">
        <w:t>also embed contemporary evidence around the indicators of gambling harm</w:t>
      </w:r>
      <w:r w:rsidR="00E76645">
        <w:t xml:space="preserve"> and gambling harm risk</w:t>
      </w:r>
      <w:r w:rsidR="00694920">
        <w:t>, moving beyond the signs and examples described in the Regulation (Code of Practice) to</w:t>
      </w:r>
      <w:r w:rsidR="00661061">
        <w:t xml:space="preserve"> </w:t>
      </w:r>
      <w:r w:rsidR="0037546D">
        <w:t>provide a</w:t>
      </w:r>
      <w:r w:rsidR="009F6B1F">
        <w:t xml:space="preserve"> </w:t>
      </w:r>
      <w:r w:rsidR="00E1512D">
        <w:t xml:space="preserve">revised </w:t>
      </w:r>
      <w:r w:rsidR="009F6B1F">
        <w:t>evidence</w:t>
      </w:r>
      <w:r w:rsidR="00260259">
        <w:t>-</w:t>
      </w:r>
      <w:r w:rsidR="009F6B1F">
        <w:t>based list of</w:t>
      </w:r>
      <w:r w:rsidR="0037546D">
        <w:t xml:space="preserve"> </w:t>
      </w:r>
      <w:r w:rsidR="009F6B1F">
        <w:t>the signs of gambling harm risk to a person engaging in a gambling activity. Th</w:t>
      </w:r>
      <w:r w:rsidR="00F75DA0">
        <w:t>e new</w:t>
      </w:r>
      <w:r w:rsidR="009F6B1F">
        <w:t xml:space="preserve"> list of signs at section 17C (1) (a) (i–</w:t>
      </w:r>
      <w:r w:rsidR="007358E5">
        <w:t>vi</w:t>
      </w:r>
      <w:r w:rsidR="00E76645">
        <w:t>i</w:t>
      </w:r>
      <w:r w:rsidR="009F6B1F">
        <w:t xml:space="preserve">) is </w:t>
      </w:r>
      <w:r w:rsidR="0037546D">
        <w:t>non-exhaustive</w:t>
      </w:r>
      <w:r w:rsidR="001255B9">
        <w:t xml:space="preserve"> </w:t>
      </w:r>
      <w:r w:rsidR="00BA08EF">
        <w:t xml:space="preserve">and when one or more is present, risk of harm will be taken to be </w:t>
      </w:r>
      <w:r w:rsidR="00A16679">
        <w:t>present in relation to a person</w:t>
      </w:r>
      <w:r w:rsidR="009F6B1F">
        <w:t xml:space="preserve">. </w:t>
      </w:r>
      <w:r w:rsidR="00E76645">
        <w:t>F</w:t>
      </w:r>
      <w:r w:rsidR="00F75DA0">
        <w:t>urther to the list of signs</w:t>
      </w:r>
      <w:r w:rsidR="00E76645">
        <w:t xml:space="preserve"> at (1) (a)</w:t>
      </w:r>
      <w:r w:rsidR="00456F07">
        <w:t>,</w:t>
      </w:r>
      <w:r w:rsidR="00E76645">
        <w:t xml:space="preserve"> sub-section (1) (b) also provides that</w:t>
      </w:r>
      <w:r w:rsidR="00F75DA0">
        <w:t xml:space="preserve"> </w:t>
      </w:r>
      <w:r w:rsidR="009F6B1F">
        <w:t xml:space="preserve">risk of gambling harm </w:t>
      </w:r>
      <w:r w:rsidR="007358E5">
        <w:t xml:space="preserve">is present in relation to a person if </w:t>
      </w:r>
      <w:r w:rsidR="009F6B1F">
        <w:t>the person is experiencing</w:t>
      </w:r>
      <w:r w:rsidR="00FF4249">
        <w:t>,</w:t>
      </w:r>
      <w:r w:rsidR="009F6B1F">
        <w:t xml:space="preserve"> or is reasonably likely to experience</w:t>
      </w:r>
      <w:r w:rsidR="00FF4249">
        <w:t>,</w:t>
      </w:r>
      <w:r w:rsidR="009F6B1F">
        <w:t xml:space="preserve"> an adverse social, emotional, physical or financial effect resulting from their gambling, or another person’s gambling.</w:t>
      </w:r>
      <w:r w:rsidR="004255FA">
        <w:t xml:space="preserve"> </w:t>
      </w:r>
      <w:r w:rsidR="00FF4249">
        <w:t xml:space="preserve">This reflects contemporary evidence that gambling harm has wide-ranging adverse effects, which </w:t>
      </w:r>
      <w:r w:rsidR="00F07584">
        <w:t xml:space="preserve">extend beyond financial impacts and </w:t>
      </w:r>
      <w:r w:rsidR="00FF4249">
        <w:t>can also</w:t>
      </w:r>
      <w:r w:rsidR="004255FA">
        <w:t xml:space="preserve"> extend to another person (or people) connected to the person engaging in the gambling activity.</w:t>
      </w:r>
    </w:p>
    <w:p w14:paraId="00A76305" w14:textId="1C4992D8" w:rsidR="000E7F08" w:rsidRPr="00ED3B77" w:rsidRDefault="000E7F08" w:rsidP="000E7F08">
      <w:pPr>
        <w:pStyle w:val="Heading3"/>
        <w:rPr>
          <w:b w:val="0"/>
        </w:rPr>
      </w:pPr>
      <w:r w:rsidRPr="00ED3B77">
        <w:t xml:space="preserve">Clause </w:t>
      </w:r>
      <w:r>
        <w:t>1</w:t>
      </w:r>
      <w:r w:rsidR="00BA24D4">
        <w:t>3</w:t>
      </w:r>
      <w:r w:rsidRPr="00ED3B77">
        <w:tab/>
      </w:r>
      <w:r>
        <w:t xml:space="preserve">Division 3.2 heading </w:t>
      </w:r>
    </w:p>
    <w:p w14:paraId="68FEF888" w14:textId="5FAAF9AA" w:rsidR="000E7F08" w:rsidRDefault="000E7F08" w:rsidP="000E7F08">
      <w:r w:rsidRPr="00911DB2">
        <w:t xml:space="preserve">This </w:t>
      </w:r>
      <w:r w:rsidR="0022539B">
        <w:t xml:space="preserve">clause </w:t>
      </w:r>
      <w:r>
        <w:t xml:space="preserve">is a technical amendment which substitutes the heading of division 3.2 </w:t>
      </w:r>
    </w:p>
    <w:p w14:paraId="06270DA1" w14:textId="079BEE1E" w:rsidR="00A716DB" w:rsidRDefault="000E7F08" w:rsidP="000E7F08">
      <w:pPr>
        <w:pStyle w:val="Heading3"/>
      </w:pPr>
      <w:r w:rsidRPr="00ED3B77">
        <w:t xml:space="preserve">Clause </w:t>
      </w:r>
      <w:r>
        <w:t>1</w:t>
      </w:r>
      <w:r w:rsidR="00CE25B6">
        <w:t>4</w:t>
      </w:r>
      <w:r w:rsidRPr="00ED3B77">
        <w:tab/>
      </w:r>
      <w:r w:rsidR="007358E5">
        <w:t>New section 18A</w:t>
      </w:r>
    </w:p>
    <w:p w14:paraId="0FB085C9" w14:textId="280CBAFF" w:rsidR="00C51614" w:rsidRDefault="000E7F08" w:rsidP="00C51614">
      <w:r w:rsidRPr="00911DB2">
        <w:t>This</w:t>
      </w:r>
      <w:r w:rsidR="0022539B">
        <w:t xml:space="preserve"> clause</w:t>
      </w:r>
      <w:r w:rsidR="007358E5">
        <w:t xml:space="preserve"> expand</w:t>
      </w:r>
      <w:r w:rsidR="007D1FA2">
        <w:t>s the</w:t>
      </w:r>
      <w:r w:rsidR="007358E5">
        <w:t xml:space="preserve"> definition of licensee</w:t>
      </w:r>
      <w:r w:rsidR="007D1FA2">
        <w:t xml:space="preserve"> in </w:t>
      </w:r>
      <w:r w:rsidR="00B613C9">
        <w:t>Part 3 introduced in clause 12</w:t>
      </w:r>
      <w:r w:rsidR="007358E5">
        <w:t xml:space="preserve"> for the purpose of Division 3.2 only. The expanded definition includes lottery and pool betting licensees</w:t>
      </w:r>
      <w:r w:rsidR="00BE77F5">
        <w:t>, as well as the categories included in clause 12</w:t>
      </w:r>
      <w:r w:rsidR="007358E5">
        <w:t xml:space="preserve">. This is necessary to enable provisions of the Code of Practice to apply to </w:t>
      </w:r>
      <w:r w:rsidR="00BE77F5">
        <w:t>lottery and pool betting</w:t>
      </w:r>
      <w:r w:rsidR="007358E5">
        <w:t xml:space="preserve"> licensees, while the remainder of </w:t>
      </w:r>
      <w:r w:rsidR="00BE77F5">
        <w:t>P</w:t>
      </w:r>
      <w:r w:rsidR="007358E5">
        <w:t>art 3 continues to not apply to those licensees per section 17B.</w:t>
      </w:r>
      <w:r w:rsidRPr="00911DB2">
        <w:t xml:space="preserve"> </w:t>
      </w:r>
    </w:p>
    <w:p w14:paraId="10C6CD3C" w14:textId="31DADA77" w:rsidR="0066276D" w:rsidRDefault="000E7F08" w:rsidP="000E7F08">
      <w:pPr>
        <w:pStyle w:val="Heading3"/>
      </w:pPr>
      <w:r w:rsidRPr="00ED3B77">
        <w:t xml:space="preserve">Clause </w:t>
      </w:r>
      <w:r>
        <w:t>1</w:t>
      </w:r>
      <w:r w:rsidR="00306F35">
        <w:t>5</w:t>
      </w:r>
      <w:r w:rsidRPr="00ED3B77">
        <w:tab/>
      </w:r>
      <w:r w:rsidR="0066276D">
        <w:t>Code of practice</w:t>
      </w:r>
    </w:p>
    <w:p w14:paraId="07257BBD" w14:textId="2CA147E9" w:rsidR="000E7F08" w:rsidRPr="00ED3B77" w:rsidRDefault="00145619" w:rsidP="00593E49">
      <w:pPr>
        <w:pStyle w:val="Heading3"/>
        <w:ind w:left="720" w:firstLine="720"/>
        <w:rPr>
          <w:b w:val="0"/>
        </w:rPr>
      </w:pPr>
      <w:r>
        <w:t>Section 18 (</w:t>
      </w:r>
      <w:r w:rsidR="0066276D">
        <w:t>1</w:t>
      </w:r>
      <w:r>
        <w:t>) (</w:t>
      </w:r>
      <w:r w:rsidR="0066276D">
        <w:t>c</w:t>
      </w:r>
      <w:r>
        <w:t>)</w:t>
      </w:r>
      <w:r w:rsidR="000E7F08">
        <w:t xml:space="preserve"> </w:t>
      </w:r>
    </w:p>
    <w:p w14:paraId="779FA9AC" w14:textId="6FBB6F6B" w:rsidR="0066276D" w:rsidRDefault="0066276D" w:rsidP="000E7F08">
      <w:r>
        <w:t xml:space="preserve">This clause is a technical amendment consequential to inserting a definition of employ in the dictionary. </w:t>
      </w:r>
    </w:p>
    <w:p w14:paraId="478F7BD6" w14:textId="42507D80" w:rsidR="002D50D9" w:rsidRPr="00ED3B77" w:rsidRDefault="002D50D9" w:rsidP="002D50D9">
      <w:pPr>
        <w:pStyle w:val="Heading3"/>
        <w:rPr>
          <w:b w:val="0"/>
        </w:rPr>
      </w:pPr>
      <w:r w:rsidRPr="00ED3B77">
        <w:t xml:space="preserve">Clause </w:t>
      </w:r>
      <w:r>
        <w:t>1</w:t>
      </w:r>
      <w:r w:rsidR="00A2318A">
        <w:t>6</w:t>
      </w:r>
      <w:r w:rsidRPr="00ED3B77">
        <w:tab/>
      </w:r>
      <w:r>
        <w:t>Section 18 (2) (</w:t>
      </w:r>
      <w:r w:rsidR="0066276D">
        <w:t>d</w:t>
      </w:r>
      <w:r>
        <w:t>)</w:t>
      </w:r>
    </w:p>
    <w:p w14:paraId="664C75D5" w14:textId="475A255A" w:rsidR="0066276D" w:rsidRDefault="0066276D" w:rsidP="002D50D9">
      <w:r>
        <w:t>This clause is a technical amendment which omits paragraph (d) because the gambling exclusion mechanisms described as being part of a code of practice have been moved from the Code of Practice to the Act.</w:t>
      </w:r>
    </w:p>
    <w:p w14:paraId="79F1EC5F" w14:textId="24EB78C2" w:rsidR="002F64AF" w:rsidRPr="00ED3B77" w:rsidRDefault="002F64AF" w:rsidP="002F64AF">
      <w:pPr>
        <w:pStyle w:val="Heading3"/>
        <w:rPr>
          <w:b w:val="0"/>
        </w:rPr>
      </w:pPr>
      <w:r w:rsidRPr="00ED3B77">
        <w:t xml:space="preserve">Clause </w:t>
      </w:r>
      <w:r>
        <w:t>1</w:t>
      </w:r>
      <w:r w:rsidR="00525E15">
        <w:t>7</w:t>
      </w:r>
      <w:r w:rsidRPr="00ED3B77">
        <w:tab/>
      </w:r>
      <w:r>
        <w:t>Section 18 (</w:t>
      </w:r>
      <w:r w:rsidR="0066276D">
        <w:t>2</w:t>
      </w:r>
      <w:r>
        <w:t>)</w:t>
      </w:r>
      <w:r w:rsidR="0066276D">
        <w:t xml:space="preserve"> (e)</w:t>
      </w:r>
    </w:p>
    <w:p w14:paraId="26A94A2E" w14:textId="29EA5220" w:rsidR="002D50D9" w:rsidRDefault="0066276D" w:rsidP="002F64AF">
      <w:r w:rsidRPr="00911DB2">
        <w:t xml:space="preserve">This </w:t>
      </w:r>
      <w:r>
        <w:t xml:space="preserve">clause substitutes the language used in sub-section </w:t>
      </w:r>
      <w:r w:rsidR="00E76645">
        <w:t>18 (2) (e)</w:t>
      </w:r>
      <w:r>
        <w:t xml:space="preserve"> without changing the substantive requirements in paragraph (e) and of section 18 (2). The amendment</w:t>
      </w:r>
      <w:r w:rsidR="00E76645">
        <w:t xml:space="preserve"> emphasises</w:t>
      </w:r>
      <w:r>
        <w:t xml:space="preserve"> that a code of practice may </w:t>
      </w:r>
      <w:r w:rsidRPr="00D978E9">
        <w:rPr>
          <w:i/>
          <w:iCs/>
        </w:rPr>
        <w:t xml:space="preserve">reduce </w:t>
      </w:r>
      <w:r w:rsidRPr="00D978E9">
        <w:rPr>
          <w:i/>
        </w:rPr>
        <w:t>the</w:t>
      </w:r>
      <w:r>
        <w:t xml:space="preserve"> </w:t>
      </w:r>
      <w:r>
        <w:rPr>
          <w:i/>
          <w:iCs/>
        </w:rPr>
        <w:t>risk</w:t>
      </w:r>
      <w:r>
        <w:t xml:space="preserve"> of gambling harm to people, rather than </w:t>
      </w:r>
      <w:r w:rsidRPr="00D978E9">
        <w:rPr>
          <w:i/>
        </w:rPr>
        <w:t>deal with</w:t>
      </w:r>
      <w:r>
        <w:t xml:space="preserve"> </w:t>
      </w:r>
      <w:r w:rsidRPr="00B406B9">
        <w:rPr>
          <w:i/>
          <w:iCs/>
        </w:rPr>
        <w:t>people</w:t>
      </w:r>
      <w:r>
        <w:t xml:space="preserve"> experiencing gambling harm. This amendment </w:t>
      </w:r>
      <w:r w:rsidR="00E76645">
        <w:t>ensures</w:t>
      </w:r>
      <w:r>
        <w:t xml:space="preserve"> that </w:t>
      </w:r>
      <w:r w:rsidR="00E76645">
        <w:t>the</w:t>
      </w:r>
      <w:r>
        <w:t xml:space="preserve"> code of practice primarily focuses on dealing with the cause rather than symptoms of problems caused by gambling.</w:t>
      </w:r>
    </w:p>
    <w:p w14:paraId="200922A5" w14:textId="636168B6" w:rsidR="0066276D" w:rsidRDefault="0066276D" w:rsidP="0066276D">
      <w:pPr>
        <w:pStyle w:val="Heading3"/>
      </w:pPr>
      <w:r w:rsidRPr="00ED3B77">
        <w:lastRenderedPageBreak/>
        <w:t xml:space="preserve">Clause </w:t>
      </w:r>
      <w:r>
        <w:t>18</w:t>
      </w:r>
      <w:r w:rsidRPr="00ED3B77">
        <w:tab/>
      </w:r>
      <w:r>
        <w:t>Section 18 (2) (f)</w:t>
      </w:r>
    </w:p>
    <w:p w14:paraId="47687449" w14:textId="1D5D6739" w:rsidR="0066276D" w:rsidRDefault="0066276D" w:rsidP="0066276D">
      <w:r>
        <w:t>Similar to above, t</w:t>
      </w:r>
      <w:r w:rsidRPr="00911DB2">
        <w:t>his</w:t>
      </w:r>
      <w:r>
        <w:t xml:space="preserve"> clause</w:t>
      </w:r>
      <w:r w:rsidRPr="00911DB2">
        <w:t xml:space="preserve"> </w:t>
      </w:r>
      <w:r>
        <w:t xml:space="preserve">is a technical amendment which substitutes the language in this paragraph to emphasise that a code of practice may include addressing the </w:t>
      </w:r>
      <w:r>
        <w:rPr>
          <w:i/>
          <w:iCs/>
        </w:rPr>
        <w:t>risk</w:t>
      </w:r>
      <w:r>
        <w:t xml:space="preserve"> of gambling harm to people, rather than deal</w:t>
      </w:r>
      <w:r w:rsidR="00E76645">
        <w:t>ing</w:t>
      </w:r>
      <w:r>
        <w:t xml:space="preserve"> with people experiencing gambling harm.</w:t>
      </w:r>
    </w:p>
    <w:p w14:paraId="77BF61AC" w14:textId="33491819" w:rsidR="0066276D" w:rsidRDefault="0066276D" w:rsidP="0066276D">
      <w:pPr>
        <w:pStyle w:val="Heading3"/>
      </w:pPr>
      <w:r w:rsidRPr="00ED3B77">
        <w:t xml:space="preserve">Clause </w:t>
      </w:r>
      <w:r>
        <w:t>19</w:t>
      </w:r>
      <w:r w:rsidRPr="00ED3B77">
        <w:tab/>
      </w:r>
      <w:r>
        <w:t>Section 18 (2) (h)</w:t>
      </w:r>
    </w:p>
    <w:p w14:paraId="6075C1C5" w14:textId="5E12901D" w:rsidR="0066276D" w:rsidRDefault="0066276D" w:rsidP="0066276D">
      <w:r>
        <w:t xml:space="preserve">This clause is a technical amendment to ensure consistent language throughout the Act. </w:t>
      </w:r>
    </w:p>
    <w:p w14:paraId="24425419" w14:textId="135D1F68" w:rsidR="0066276D" w:rsidRDefault="0066276D" w:rsidP="00593E49">
      <w:pPr>
        <w:pStyle w:val="Heading3"/>
      </w:pPr>
      <w:r w:rsidRPr="00ED3B77">
        <w:t xml:space="preserve">Clause </w:t>
      </w:r>
      <w:r>
        <w:t>20</w:t>
      </w:r>
      <w:r w:rsidRPr="00ED3B77">
        <w:tab/>
      </w:r>
      <w:r>
        <w:t>Section 18 (4)</w:t>
      </w:r>
    </w:p>
    <w:p w14:paraId="2A3D1D21" w14:textId="08F4DB6C" w:rsidR="0066276D" w:rsidRPr="0066276D" w:rsidRDefault="0066276D" w:rsidP="0066276D">
      <w:r>
        <w:t>T</w:t>
      </w:r>
      <w:r w:rsidRPr="00911DB2">
        <w:t>his</w:t>
      </w:r>
      <w:r>
        <w:t xml:space="preserve"> clause</w:t>
      </w:r>
      <w:r w:rsidRPr="00911DB2">
        <w:t xml:space="preserve"> </w:t>
      </w:r>
      <w:r>
        <w:t>is a technical amendment to clearly describe that the code of practice relates to a gambling activity conducted by a licensee.</w:t>
      </w:r>
    </w:p>
    <w:p w14:paraId="7EF6A97D" w14:textId="7A036C55" w:rsidR="00A716DB" w:rsidRDefault="002F64AF" w:rsidP="002F64AF">
      <w:pPr>
        <w:pStyle w:val="Heading3"/>
      </w:pPr>
      <w:r w:rsidRPr="00ED3B77">
        <w:t xml:space="preserve">Clause </w:t>
      </w:r>
      <w:r w:rsidR="0066276D">
        <w:t>21</w:t>
      </w:r>
      <w:r w:rsidRPr="00ED3B77">
        <w:tab/>
      </w:r>
      <w:r>
        <w:t>Education and counselling</w:t>
      </w:r>
    </w:p>
    <w:p w14:paraId="16FF5472" w14:textId="05D95DF8" w:rsidR="002F64AF" w:rsidRPr="00ED3B77" w:rsidRDefault="002F64AF" w:rsidP="00A716DB">
      <w:pPr>
        <w:pStyle w:val="Heading3"/>
        <w:ind w:left="720" w:firstLine="720"/>
        <w:rPr>
          <w:b w:val="0"/>
        </w:rPr>
      </w:pPr>
      <w:r>
        <w:t xml:space="preserve">Section 19 (1) (a) </w:t>
      </w:r>
    </w:p>
    <w:p w14:paraId="648F56AA" w14:textId="705FEA9E" w:rsidR="000E7F08" w:rsidRDefault="002F64AF" w:rsidP="00C51614">
      <w:r>
        <w:t>T</w:t>
      </w:r>
      <w:r w:rsidRPr="00911DB2">
        <w:t>his</w:t>
      </w:r>
      <w:r w:rsidR="0022539B">
        <w:t xml:space="preserve"> clause</w:t>
      </w:r>
      <w:r w:rsidRPr="00911DB2">
        <w:t xml:space="preserve"> </w:t>
      </w:r>
      <w:r>
        <w:t>is a technical amendment to clarify that the Commission may sponsor counselling for people at risk of gambling harm, in addition to people experiencing gambling harm.</w:t>
      </w:r>
    </w:p>
    <w:p w14:paraId="2E1DC664" w14:textId="08AE8A49" w:rsidR="002F64AF" w:rsidRPr="00ED3B77" w:rsidRDefault="002F64AF" w:rsidP="002F64AF">
      <w:pPr>
        <w:pStyle w:val="Heading3"/>
        <w:rPr>
          <w:b w:val="0"/>
        </w:rPr>
      </w:pPr>
      <w:r w:rsidRPr="00ED3B77">
        <w:t xml:space="preserve">Clause </w:t>
      </w:r>
      <w:r w:rsidR="0066276D">
        <w:t>22</w:t>
      </w:r>
      <w:r w:rsidRPr="00ED3B77">
        <w:tab/>
      </w:r>
      <w:r>
        <w:t xml:space="preserve">Section 19 (1) (b) </w:t>
      </w:r>
      <w:r w:rsidR="0059753C">
        <w:t>(i)</w:t>
      </w:r>
    </w:p>
    <w:p w14:paraId="4750B87A" w14:textId="024D984B" w:rsidR="002F64AF" w:rsidRDefault="002F64AF" w:rsidP="002F64AF">
      <w:r>
        <w:t>T</w:t>
      </w:r>
      <w:r w:rsidRPr="00911DB2">
        <w:t xml:space="preserve">his </w:t>
      </w:r>
      <w:r w:rsidR="0022539B">
        <w:t xml:space="preserve">clause </w:t>
      </w:r>
      <w:r>
        <w:t xml:space="preserve">is a technical amendment to </w:t>
      </w:r>
      <w:r w:rsidR="00256959">
        <w:t>align the language in the Act which describes different gambling ‘activities’.</w:t>
      </w:r>
    </w:p>
    <w:p w14:paraId="38149AC6" w14:textId="2AFBBD88" w:rsidR="00256959" w:rsidRPr="00ED3B77" w:rsidRDefault="00256959" w:rsidP="00256959">
      <w:pPr>
        <w:pStyle w:val="Heading3"/>
        <w:rPr>
          <w:b w:val="0"/>
        </w:rPr>
      </w:pPr>
      <w:r w:rsidRPr="00ED3B77">
        <w:t xml:space="preserve">Clause </w:t>
      </w:r>
      <w:r w:rsidR="0066276D">
        <w:t>23</w:t>
      </w:r>
      <w:r w:rsidRPr="00ED3B77">
        <w:tab/>
      </w:r>
      <w:r>
        <w:t>Section 19 (1) (b) (ii) and (iii)</w:t>
      </w:r>
    </w:p>
    <w:p w14:paraId="09827E5E" w14:textId="7DDC8771" w:rsidR="00256959" w:rsidRDefault="00256959" w:rsidP="00256959">
      <w:r>
        <w:t>T</w:t>
      </w:r>
      <w:r w:rsidRPr="00911DB2">
        <w:t xml:space="preserve">his </w:t>
      </w:r>
      <w:r w:rsidR="0022539B">
        <w:t xml:space="preserve">clause </w:t>
      </w:r>
      <w:r>
        <w:t xml:space="preserve">is a technical amendment to clarify that this section means </w:t>
      </w:r>
      <w:r w:rsidR="00E76645">
        <w:t xml:space="preserve">publicity and education programs about the </w:t>
      </w:r>
      <w:r>
        <w:t>risk of gambling harm</w:t>
      </w:r>
      <w:r w:rsidR="00E76645">
        <w:t xml:space="preserve"> to people</w:t>
      </w:r>
      <w:r>
        <w:t>.</w:t>
      </w:r>
    </w:p>
    <w:p w14:paraId="6AA73997" w14:textId="3EEB7C43" w:rsidR="00864A72" w:rsidRPr="00ED3B77" w:rsidRDefault="00864A72" w:rsidP="00864A72">
      <w:pPr>
        <w:pStyle w:val="Heading3"/>
        <w:rPr>
          <w:b w:val="0"/>
        </w:rPr>
      </w:pPr>
      <w:r w:rsidRPr="00ED3B77">
        <w:t xml:space="preserve">Clause </w:t>
      </w:r>
      <w:r w:rsidR="0066276D">
        <w:t>24</w:t>
      </w:r>
      <w:r w:rsidRPr="00ED3B77">
        <w:tab/>
      </w:r>
      <w:r>
        <w:t>Section 19 (as amended)</w:t>
      </w:r>
    </w:p>
    <w:p w14:paraId="2C594AF8" w14:textId="1AE12696" w:rsidR="00864A72" w:rsidRDefault="00864A72" w:rsidP="00864A72">
      <w:r>
        <w:t>T</w:t>
      </w:r>
      <w:r w:rsidRPr="00911DB2">
        <w:t>his</w:t>
      </w:r>
      <w:r w:rsidR="0022539B">
        <w:t xml:space="preserve"> clause</w:t>
      </w:r>
      <w:r w:rsidRPr="00911DB2">
        <w:t xml:space="preserve"> </w:t>
      </w:r>
      <w:r>
        <w:t xml:space="preserve">is a technical amendment which relocates section 19 (as amended) to division 2.3 as section 16A as this section </w:t>
      </w:r>
      <w:r w:rsidR="00E76645">
        <w:t xml:space="preserve">is relevant to </w:t>
      </w:r>
      <w:r>
        <w:t>the role of the Commission.</w:t>
      </w:r>
    </w:p>
    <w:p w14:paraId="6BC98DE4" w14:textId="4A92184A" w:rsidR="00864A72" w:rsidRPr="00ED3B77" w:rsidRDefault="00864A72" w:rsidP="00864A72">
      <w:pPr>
        <w:pStyle w:val="Heading3"/>
        <w:rPr>
          <w:b w:val="0"/>
        </w:rPr>
      </w:pPr>
      <w:r w:rsidRPr="00ED3B77">
        <w:t xml:space="preserve">Clause </w:t>
      </w:r>
      <w:r>
        <w:t>2</w:t>
      </w:r>
      <w:r w:rsidR="0066276D">
        <w:t>5</w:t>
      </w:r>
      <w:r w:rsidRPr="00ED3B77">
        <w:tab/>
      </w:r>
      <w:r>
        <w:t xml:space="preserve">New divisions 3.3 </w:t>
      </w:r>
      <w:r w:rsidR="003B3E47">
        <w:t>to 3.5</w:t>
      </w:r>
      <w:r>
        <w:t xml:space="preserve"> </w:t>
      </w:r>
    </w:p>
    <w:p w14:paraId="3390FC99" w14:textId="00E9FA94" w:rsidR="0022539B" w:rsidRPr="0022539B" w:rsidRDefault="0022539B" w:rsidP="00864A72">
      <w:r>
        <w:t xml:space="preserve">This clause </w:t>
      </w:r>
      <w:r w:rsidR="00D3703A">
        <w:t>inserts</w:t>
      </w:r>
      <w:r>
        <w:t xml:space="preserve"> new divisions 3.3 to 3.5</w:t>
      </w:r>
      <w:r w:rsidR="00D3703A">
        <w:t xml:space="preserve"> </w:t>
      </w:r>
      <w:r>
        <w:t xml:space="preserve">which outline the rights, obligations and processes in relation to monitoring, reducing and recording gambling harm risk and the ACT’s gambling exclusion scheme.  </w:t>
      </w:r>
    </w:p>
    <w:p w14:paraId="527BF972" w14:textId="26C11AC1" w:rsidR="002B62B5" w:rsidRPr="002B62B5" w:rsidRDefault="007862BD" w:rsidP="00864A72">
      <w:pPr>
        <w:rPr>
          <w:u w:val="single"/>
        </w:rPr>
      </w:pPr>
      <w:r>
        <w:rPr>
          <w:u w:val="single"/>
        </w:rPr>
        <w:t>D</w:t>
      </w:r>
      <w:r w:rsidR="002B62B5" w:rsidRPr="002B62B5">
        <w:rPr>
          <w:u w:val="single"/>
        </w:rPr>
        <w:t>ivision 3.3</w:t>
      </w:r>
      <w:r w:rsidR="00D3703A">
        <w:rPr>
          <w:u w:val="single"/>
        </w:rPr>
        <w:t xml:space="preserve"> </w:t>
      </w:r>
      <w:r w:rsidR="00D3703A">
        <w:rPr>
          <w:u w:val="single"/>
        </w:rPr>
        <w:tab/>
      </w:r>
      <w:r w:rsidR="0009208A">
        <w:rPr>
          <w:u w:val="single"/>
        </w:rPr>
        <w:t>M</w:t>
      </w:r>
      <w:r w:rsidR="0000340D">
        <w:rPr>
          <w:u w:val="single"/>
        </w:rPr>
        <w:t>onitoring and reducing risk of gambling harm</w:t>
      </w:r>
    </w:p>
    <w:p w14:paraId="2A545491" w14:textId="5379D543" w:rsidR="0038111B" w:rsidRPr="00A80BAE" w:rsidRDefault="00A00FAD" w:rsidP="00864A72">
      <w:r w:rsidRPr="00A80BAE">
        <w:t>This</w:t>
      </w:r>
      <w:r w:rsidR="0022539B">
        <w:t xml:space="preserve"> clause</w:t>
      </w:r>
      <w:r w:rsidRPr="00A80BAE">
        <w:t xml:space="preserve"> </w:t>
      </w:r>
      <w:r w:rsidR="001B429E" w:rsidRPr="00A80BAE">
        <w:t xml:space="preserve">inserts a new division </w:t>
      </w:r>
      <w:r w:rsidR="0009208A" w:rsidRPr="00A80BAE">
        <w:t>‘Monitoring and reducing risk of gambling harm’ which</w:t>
      </w:r>
      <w:r w:rsidR="001B429E" w:rsidRPr="00A80BAE">
        <w:t xml:space="preserve"> establish</w:t>
      </w:r>
      <w:r w:rsidR="0009208A" w:rsidRPr="00A80BAE">
        <w:t>es</w:t>
      </w:r>
      <w:r w:rsidR="001B429E" w:rsidRPr="00A80BAE">
        <w:t xml:space="preserve"> licensees’ obligations to monitor and reduce the risk of gambling harm. </w:t>
      </w:r>
      <w:r w:rsidR="007862BD" w:rsidRPr="00A80BAE">
        <w:t xml:space="preserve">This division </w:t>
      </w:r>
      <w:r w:rsidR="00FB7411" w:rsidRPr="00A80BAE">
        <w:t>clarifies that licensees must tak</w:t>
      </w:r>
      <w:r w:rsidR="00E76645">
        <w:t>e</w:t>
      </w:r>
      <w:r w:rsidR="00FB7411" w:rsidRPr="00A80BAE">
        <w:t xml:space="preserve"> proactive steps to monitor and reduce the risk of gambling harm</w:t>
      </w:r>
      <w:r w:rsidR="00D8150C" w:rsidRPr="00A80BAE">
        <w:t xml:space="preserve"> and reactively responding to harm is insufficient</w:t>
      </w:r>
      <w:r w:rsidR="00FB7411" w:rsidRPr="00A80BAE">
        <w:t xml:space="preserve">.  </w:t>
      </w:r>
    </w:p>
    <w:p w14:paraId="2B11B5D5" w14:textId="6EED8D58" w:rsidR="00F40BEB" w:rsidRDefault="00F40BEB" w:rsidP="00864A72">
      <w:pPr>
        <w:rPr>
          <w:u w:val="single"/>
        </w:rPr>
      </w:pPr>
      <w:r>
        <w:rPr>
          <w:u w:val="single"/>
        </w:rPr>
        <w:t>19A – Licensees must monitor risk of gambling harm</w:t>
      </w:r>
    </w:p>
    <w:p w14:paraId="39A8B78E" w14:textId="03F75418" w:rsidR="00EF02C5" w:rsidRPr="00A80BAE" w:rsidRDefault="0022539B" w:rsidP="00864A72">
      <w:r>
        <w:lastRenderedPageBreak/>
        <w:t>S</w:t>
      </w:r>
      <w:r w:rsidR="003565BE" w:rsidRPr="00A80BAE">
        <w:t>ection</w:t>
      </w:r>
      <w:r>
        <w:t xml:space="preserve"> 19A</w:t>
      </w:r>
      <w:r w:rsidR="001B429E" w:rsidRPr="00A80BAE">
        <w:t xml:space="preserve"> provides that licensees must monitor the risk of gambling harm in relation to people engaging in gambling activities conducted by the licensee</w:t>
      </w:r>
      <w:r w:rsidR="00507B0C" w:rsidRPr="00A80BAE">
        <w:t xml:space="preserve">, present at the licensee premises, and communicating with the licensee. This is a positive </w:t>
      </w:r>
      <w:r w:rsidR="00AB478D" w:rsidRPr="00A80BAE">
        <w:t xml:space="preserve">obligation </w:t>
      </w:r>
      <w:r w:rsidR="00157D10" w:rsidRPr="00A80BAE">
        <w:t>on licensees</w:t>
      </w:r>
      <w:r w:rsidR="00AB478D" w:rsidRPr="00A80BAE">
        <w:t xml:space="preserve"> requiring </w:t>
      </w:r>
      <w:r w:rsidR="00E76645">
        <w:t>them to</w:t>
      </w:r>
      <w:r w:rsidR="00AB478D" w:rsidRPr="00A80BAE">
        <w:t xml:space="preserve"> proactive</w:t>
      </w:r>
      <w:r w:rsidR="00E76645">
        <w:t>ly monitor</w:t>
      </w:r>
      <w:r w:rsidR="00AB478D" w:rsidRPr="00A80BAE">
        <w:t xml:space="preserve"> </w:t>
      </w:r>
      <w:r w:rsidR="00707A10" w:rsidRPr="00A80BAE">
        <w:t xml:space="preserve">the risk of gambling harm in relation to people engaging with them, their premises, and </w:t>
      </w:r>
      <w:r w:rsidR="00B4389A" w:rsidRPr="00A80BAE">
        <w:t xml:space="preserve">the gambling activities they facilitate. </w:t>
      </w:r>
      <w:r w:rsidR="00157D10" w:rsidRPr="00A80BAE">
        <w:t>There is an offence for failing to comply with this obligation.</w:t>
      </w:r>
    </w:p>
    <w:p w14:paraId="4C185D0D" w14:textId="5DA39D33" w:rsidR="00B4389A" w:rsidRPr="00C9020A" w:rsidRDefault="00B4389A" w:rsidP="00864A72">
      <w:pPr>
        <w:rPr>
          <w:u w:val="single"/>
        </w:rPr>
      </w:pPr>
      <w:r w:rsidRPr="00C9020A">
        <w:rPr>
          <w:u w:val="single"/>
        </w:rPr>
        <w:t xml:space="preserve">19B – </w:t>
      </w:r>
      <w:r w:rsidR="00E51C8E">
        <w:rPr>
          <w:u w:val="single"/>
        </w:rPr>
        <w:t>L</w:t>
      </w:r>
      <w:r w:rsidRPr="00C9020A">
        <w:rPr>
          <w:u w:val="single"/>
        </w:rPr>
        <w:t>icensees must take action to reduce risk of gambling harm</w:t>
      </w:r>
    </w:p>
    <w:p w14:paraId="5A66BECD" w14:textId="661522ED" w:rsidR="00B4389A" w:rsidRPr="00B4389A" w:rsidRDefault="0022539B" w:rsidP="00864A72">
      <w:r>
        <w:t>S</w:t>
      </w:r>
      <w:r w:rsidR="003565BE">
        <w:t>ection</w:t>
      </w:r>
      <w:r>
        <w:t xml:space="preserve"> 19A</w:t>
      </w:r>
      <w:r w:rsidR="00B4389A">
        <w:t xml:space="preserve"> provides that </w:t>
      </w:r>
      <w:r w:rsidR="00A07550">
        <w:t>licensees</w:t>
      </w:r>
      <w:r w:rsidR="00B4389A">
        <w:t xml:space="preserve"> must take action to reduce the risk of gambling harm in relation to </w:t>
      </w:r>
      <w:r w:rsidR="00B83D8C">
        <w:t xml:space="preserve">people </w:t>
      </w:r>
      <w:r w:rsidR="00030E02">
        <w:t xml:space="preserve">engaging in gambling activities conducted by the licensee, present at the licensee premises and communicating with the licensee. </w:t>
      </w:r>
      <w:r w:rsidR="00157D10">
        <w:t xml:space="preserve">Examples of actions to reduce the risk of gambling harm include talking to people about the effects of gambling harm, giving information about support services, telling people about self-exclusion, and making licensee exclusion notices. </w:t>
      </w:r>
    </w:p>
    <w:p w14:paraId="71BA1E17" w14:textId="0DD0B5B0" w:rsidR="00157D10" w:rsidRPr="00B4389A" w:rsidRDefault="00157D10" w:rsidP="00864A72">
      <w:r>
        <w:t xml:space="preserve">This is a positive obligation on licensees requiring proactive </w:t>
      </w:r>
      <w:r w:rsidR="00E76645">
        <w:t xml:space="preserve">steps </w:t>
      </w:r>
      <w:r>
        <w:t xml:space="preserve">to </w:t>
      </w:r>
      <w:r w:rsidR="00E76645">
        <w:t>be taken to</w:t>
      </w:r>
      <w:r>
        <w:t xml:space="preserve"> reduce the risk of gambling harm</w:t>
      </w:r>
      <w:r w:rsidR="00961D99">
        <w:t xml:space="preserve"> in relation to people engaging with them, their premises and the gambling activities they facilitate. </w:t>
      </w:r>
      <w:r w:rsidR="00E76645">
        <w:t xml:space="preserve">Section 19B provides that it </w:t>
      </w:r>
      <w:r w:rsidR="00F87450">
        <w:t xml:space="preserve">is an offence for failing to comply with this obligation. </w:t>
      </w:r>
    </w:p>
    <w:p w14:paraId="4F01D413" w14:textId="54E2B163" w:rsidR="007862BD" w:rsidRDefault="00D8150C" w:rsidP="00864A72">
      <w:pPr>
        <w:rPr>
          <w:u w:val="single"/>
        </w:rPr>
      </w:pPr>
      <w:r>
        <w:rPr>
          <w:u w:val="single"/>
        </w:rPr>
        <w:t>Division 3.4</w:t>
      </w:r>
      <w:r w:rsidR="00D3703A">
        <w:rPr>
          <w:u w:val="single"/>
        </w:rPr>
        <w:tab/>
      </w:r>
      <w:r>
        <w:rPr>
          <w:u w:val="single"/>
        </w:rPr>
        <w:t xml:space="preserve"> Gambling harm risk register</w:t>
      </w:r>
    </w:p>
    <w:p w14:paraId="2E555AF7" w14:textId="1EC80AF6" w:rsidR="00864A72" w:rsidRDefault="00864A72" w:rsidP="00864A72">
      <w:r>
        <w:t>T</w:t>
      </w:r>
      <w:r w:rsidRPr="00911DB2">
        <w:t xml:space="preserve">his </w:t>
      </w:r>
      <w:r>
        <w:t>inserts new division 3.</w:t>
      </w:r>
      <w:r w:rsidR="0009208A">
        <w:t>4</w:t>
      </w:r>
      <w:r w:rsidR="00A716DB">
        <w:t xml:space="preserve"> ‘Gambling harm risk register’</w:t>
      </w:r>
      <w:r>
        <w:t xml:space="preserve"> into the Act, which describes the requirement that the Commission keep a gambling harm risk register, the purpose of the register, </w:t>
      </w:r>
      <w:r w:rsidR="00A716DB">
        <w:t xml:space="preserve">when and </w:t>
      </w:r>
      <w:r>
        <w:t xml:space="preserve">how licensees must record </w:t>
      </w:r>
      <w:r w:rsidR="00A716DB">
        <w:t xml:space="preserve">matters relating to </w:t>
      </w:r>
      <w:r>
        <w:t xml:space="preserve">gambling harm risk in the register, and who </w:t>
      </w:r>
      <w:r w:rsidR="00A716DB">
        <w:t xml:space="preserve">is authorised to </w:t>
      </w:r>
      <w:r>
        <w:t xml:space="preserve">access </w:t>
      </w:r>
      <w:r w:rsidR="00A716DB">
        <w:t xml:space="preserve">and amend </w:t>
      </w:r>
      <w:r>
        <w:t>the register.</w:t>
      </w:r>
    </w:p>
    <w:p w14:paraId="683E578B" w14:textId="5ECC6BF1" w:rsidR="00864A72" w:rsidRPr="00864A72" w:rsidRDefault="007D778E" w:rsidP="00864A72">
      <w:pPr>
        <w:rPr>
          <w:u w:val="single"/>
        </w:rPr>
      </w:pPr>
      <w:r>
        <w:rPr>
          <w:u w:val="single"/>
        </w:rPr>
        <w:t>19C – G</w:t>
      </w:r>
      <w:r w:rsidR="00864A72" w:rsidRPr="00864A72">
        <w:rPr>
          <w:u w:val="single"/>
        </w:rPr>
        <w:t>ambling harm risk register</w:t>
      </w:r>
    </w:p>
    <w:p w14:paraId="3F622F50" w14:textId="3D35887A" w:rsidR="00C45A8D" w:rsidRDefault="0022539B" w:rsidP="00864A72">
      <w:r>
        <w:t>S</w:t>
      </w:r>
      <w:r w:rsidR="00864A72">
        <w:t xml:space="preserve">ection </w:t>
      </w:r>
      <w:r w:rsidR="007B0F32">
        <w:t>19</w:t>
      </w:r>
      <w:r w:rsidR="00B94B03">
        <w:t>C</w:t>
      </w:r>
      <w:r w:rsidR="007B0F32">
        <w:t xml:space="preserve"> </w:t>
      </w:r>
      <w:r w:rsidR="001B2A89">
        <w:t xml:space="preserve">renames the ‘problem gambling incident register’ </w:t>
      </w:r>
      <w:r w:rsidR="00E76645">
        <w:t>as</w:t>
      </w:r>
      <w:r w:rsidR="001B2A89">
        <w:t xml:space="preserve"> the gambling harm risk register</w:t>
      </w:r>
      <w:r w:rsidR="00C45A8D">
        <w:t>, previously described in the</w:t>
      </w:r>
      <w:r w:rsidR="00FC5FA3">
        <w:t xml:space="preserve"> Regulation </w:t>
      </w:r>
      <w:r w:rsidR="00C45A8D">
        <w:t>(Code of Practice)</w:t>
      </w:r>
      <w:r w:rsidR="001B2A89">
        <w:t>.</w:t>
      </w:r>
      <w:r w:rsidR="00956B98">
        <w:t xml:space="preserve"> This clause retains </w:t>
      </w:r>
      <w:r w:rsidR="00C45A8D">
        <w:t xml:space="preserve">consistency with the </w:t>
      </w:r>
      <w:r w:rsidR="00956B98">
        <w:t xml:space="preserve">requirements under the Regulation (Code of Practice) Division 1.2.2 sections 1.6 and 1.6A </w:t>
      </w:r>
      <w:r w:rsidR="000F390C">
        <w:t xml:space="preserve">which prescribe </w:t>
      </w:r>
      <w:r w:rsidR="00C45A8D">
        <w:t xml:space="preserve">that </w:t>
      </w:r>
      <w:r w:rsidR="000F390C">
        <w:t xml:space="preserve">the </w:t>
      </w:r>
      <w:r w:rsidR="00956B98">
        <w:t xml:space="preserve">Commission </w:t>
      </w:r>
      <w:r w:rsidR="00C45A8D">
        <w:t xml:space="preserve">must </w:t>
      </w:r>
      <w:r w:rsidR="00956B98">
        <w:t xml:space="preserve">establish a register </w:t>
      </w:r>
      <w:r w:rsidR="000F390C">
        <w:t xml:space="preserve">to record </w:t>
      </w:r>
      <w:r w:rsidR="00DC49DB">
        <w:t xml:space="preserve">problem </w:t>
      </w:r>
      <w:r w:rsidR="000F390C">
        <w:t>gambling incidents</w:t>
      </w:r>
      <w:r w:rsidR="00C45A8D">
        <w:t>,</w:t>
      </w:r>
      <w:r w:rsidR="000F390C">
        <w:t xml:space="preserve"> </w:t>
      </w:r>
      <w:r w:rsidR="00956B98">
        <w:t xml:space="preserve">and licensees </w:t>
      </w:r>
      <w:r w:rsidR="00C45A8D">
        <w:t xml:space="preserve">must use this register </w:t>
      </w:r>
      <w:r w:rsidR="00956B98">
        <w:t xml:space="preserve">to record </w:t>
      </w:r>
      <w:r w:rsidR="00716FBA">
        <w:t>such incidents</w:t>
      </w:r>
      <w:r w:rsidR="00D67ADD">
        <w:t>, while reframing requirements to focus on a risk-responsive framework and early intervention ethos, rather than a problem-responsive framework</w:t>
      </w:r>
      <w:r w:rsidR="00716FBA">
        <w:t xml:space="preserve">. </w:t>
      </w:r>
    </w:p>
    <w:p w14:paraId="5BD7AB53" w14:textId="1E20B820" w:rsidR="00864A72" w:rsidRDefault="005F2753" w:rsidP="00864A72">
      <w:r>
        <w:t>The requirements described in new section 19</w:t>
      </w:r>
      <w:r w:rsidR="00D67ADD">
        <w:t>C</w:t>
      </w:r>
      <w:r>
        <w:t xml:space="preserve"> align with the </w:t>
      </w:r>
      <w:r w:rsidR="00D67ADD">
        <w:t>overall</w:t>
      </w:r>
      <w:r>
        <w:t xml:space="preserve"> approach of the gambling harm framework, requiring that licensees must </w:t>
      </w:r>
      <w:r w:rsidR="00BE01FA">
        <w:t>proactively</w:t>
      </w:r>
      <w:r>
        <w:t xml:space="preserve"> </w:t>
      </w:r>
      <w:r w:rsidR="00D67ADD">
        <w:t>monitor</w:t>
      </w:r>
      <w:r>
        <w:t xml:space="preserve"> for gambling harm risk signs and record any such matters observed in the register. Licensees must also record in the register any actions taken in relation to observed signs of gambling harm risk</w:t>
      </w:r>
      <w:r w:rsidR="009A1ADC">
        <w:t>, including actions to reduce this risk</w:t>
      </w:r>
      <w:r>
        <w:t>. The register is also</w:t>
      </w:r>
      <w:r w:rsidR="00F13C43">
        <w:t xml:space="preserve"> to be</w:t>
      </w:r>
      <w:r>
        <w:t xml:space="preserve"> used by licensees </w:t>
      </w:r>
      <w:r w:rsidR="00F13C43">
        <w:t xml:space="preserve">where a licensee </w:t>
      </w:r>
      <w:r>
        <w:t>tell</w:t>
      </w:r>
      <w:r w:rsidR="00F13C43">
        <w:t>s</w:t>
      </w:r>
      <w:r>
        <w:t xml:space="preserve"> the Commission that it has received a self-exclusion notice from a person or given a person a licensee exclusion notice. The Commission must advi</w:t>
      </w:r>
      <w:r w:rsidR="00543F09">
        <w:t>s</w:t>
      </w:r>
      <w:r>
        <w:t xml:space="preserve">e </w:t>
      </w:r>
      <w:r w:rsidR="00F13C43">
        <w:t xml:space="preserve">a </w:t>
      </w:r>
      <w:r>
        <w:t>licensee if it makes a gambling exclusion determination which affects the licensee of the gambling activity.</w:t>
      </w:r>
    </w:p>
    <w:p w14:paraId="31FBC7D8" w14:textId="70CF6319" w:rsidR="00864A72" w:rsidRDefault="00083769" w:rsidP="00864A72">
      <w:r>
        <w:t>Section 19</w:t>
      </w:r>
      <w:r w:rsidR="009B42AA">
        <w:t>C</w:t>
      </w:r>
      <w:r>
        <w:t xml:space="preserve"> (3) prescribes the information that licensees must include in relation to any matter that is entered into the register. This includes the relevant person’s name, date of birth and contact details </w:t>
      </w:r>
      <w:r w:rsidR="002B62B5">
        <w:t xml:space="preserve">for the purpose of identifying the person at risk of harm to ensure appropriate action can be </w:t>
      </w:r>
      <w:r w:rsidR="002B62B5">
        <w:lastRenderedPageBreak/>
        <w:t>taken by the licensee and the Commission to prevent harm to the person, including giving effect to a person’s request to self-exclude from a gambling activity.</w:t>
      </w:r>
    </w:p>
    <w:p w14:paraId="7CBC9201" w14:textId="68D29A05" w:rsidR="002C1894" w:rsidRPr="00C9020A" w:rsidRDefault="002C1894" w:rsidP="00864A72">
      <w:pPr>
        <w:rPr>
          <w:u w:val="single"/>
        </w:rPr>
      </w:pPr>
      <w:r w:rsidRPr="00C9020A">
        <w:rPr>
          <w:u w:val="single"/>
        </w:rPr>
        <w:t xml:space="preserve">19D – </w:t>
      </w:r>
      <w:r w:rsidR="00E51C8E">
        <w:rPr>
          <w:u w:val="single"/>
        </w:rPr>
        <w:t>O</w:t>
      </w:r>
      <w:r w:rsidRPr="00C9020A">
        <w:rPr>
          <w:u w:val="single"/>
        </w:rPr>
        <w:t>ffences – licensees not entering records in gambling harm risk register</w:t>
      </w:r>
    </w:p>
    <w:p w14:paraId="19DC269C" w14:textId="4D910B27" w:rsidR="002C1894" w:rsidRPr="00A80BAE" w:rsidRDefault="0022539B" w:rsidP="00864A72">
      <w:r>
        <w:t>Section 19D</w:t>
      </w:r>
      <w:r w:rsidR="002C1894" w:rsidRPr="00A80BAE">
        <w:t xml:space="preserve"> provides </w:t>
      </w:r>
      <w:r w:rsidR="00F13C43">
        <w:t xml:space="preserve">that it is </w:t>
      </w:r>
      <w:r w:rsidR="002C1894" w:rsidRPr="00A80BAE">
        <w:t xml:space="preserve">an offence for licensees </w:t>
      </w:r>
      <w:r w:rsidR="00F13C43">
        <w:t>to</w:t>
      </w:r>
      <w:r w:rsidR="002C1894" w:rsidRPr="00A80BAE">
        <w:t xml:space="preserve"> possess information about </w:t>
      </w:r>
      <w:r w:rsidR="00A72C66" w:rsidRPr="00A80BAE">
        <w:t xml:space="preserve">gambling harm risk, </w:t>
      </w:r>
      <w:r w:rsidR="00F13C43">
        <w:t>such as</w:t>
      </w:r>
      <w:r w:rsidR="00A72C66" w:rsidRPr="00A80BAE">
        <w:t xml:space="preserve"> </w:t>
      </w:r>
      <w:r w:rsidR="00F13C43">
        <w:t xml:space="preserve">taking </w:t>
      </w:r>
      <w:r w:rsidR="00A72C66" w:rsidRPr="00A80BAE">
        <w:t xml:space="preserve">action to reduce the risk of gambling harm, or </w:t>
      </w:r>
      <w:r w:rsidR="00F13C43">
        <w:t xml:space="preserve">giving </w:t>
      </w:r>
      <w:r w:rsidR="00A72C66" w:rsidRPr="00A80BAE">
        <w:t>or</w:t>
      </w:r>
      <w:r w:rsidR="00F13C43">
        <w:t xml:space="preserve"> receiving an </w:t>
      </w:r>
      <w:r w:rsidR="00A56ACA" w:rsidRPr="00A80BAE">
        <w:t>exclusion notice</w:t>
      </w:r>
      <w:r w:rsidR="00F13C43">
        <w:t>,</w:t>
      </w:r>
      <w:r w:rsidR="00A56ACA" w:rsidRPr="00A80BAE">
        <w:t xml:space="preserve"> but fail to enter a record of that information in the gambling harm risk register</w:t>
      </w:r>
      <w:r w:rsidR="00F13C43">
        <w:t xml:space="preserve"> </w:t>
      </w:r>
      <w:r w:rsidR="007A7BB5" w:rsidRPr="00A80BAE">
        <w:t xml:space="preserve">within </w:t>
      </w:r>
      <w:r w:rsidR="004A7308" w:rsidRPr="00A80BAE">
        <w:t>3</w:t>
      </w:r>
      <w:r w:rsidR="00F13C43">
        <w:t> </w:t>
      </w:r>
      <w:r w:rsidR="004A7308" w:rsidRPr="00A80BAE">
        <w:t>trading days</w:t>
      </w:r>
      <w:r w:rsidR="00F13C43">
        <w:t xml:space="preserve"> </w:t>
      </w:r>
      <w:r w:rsidR="00F13C43" w:rsidRPr="009C726B">
        <w:t>of coming into possession of the relevant information or taking the relevant action</w:t>
      </w:r>
      <w:r w:rsidR="00AA0933" w:rsidRPr="00A80BAE">
        <w:t>.</w:t>
      </w:r>
    </w:p>
    <w:p w14:paraId="29CC2F1A" w14:textId="0289C74F" w:rsidR="002B62B5" w:rsidRDefault="00F43D38" w:rsidP="00864A72">
      <w:r>
        <w:t>The intention of th</w:t>
      </w:r>
      <w:r w:rsidR="000132BA">
        <w:t>ese</w:t>
      </w:r>
      <w:r>
        <w:t xml:space="preserve"> </w:t>
      </w:r>
      <w:r w:rsidR="000132BA">
        <w:t>amendments</w:t>
      </w:r>
      <w:r>
        <w:t xml:space="preserve"> is to clarify licensees’ existing obligations </w:t>
      </w:r>
      <w:r w:rsidR="005A7C8D">
        <w:t xml:space="preserve">under division 1.1.2 of the Regulation (Code of Practice) </w:t>
      </w:r>
      <w:r>
        <w:t>to monitor for signs of the risk of gambling harm, take appropriate action in response</w:t>
      </w:r>
      <w:r w:rsidR="000132BA">
        <w:t xml:space="preserve"> to observed risk</w:t>
      </w:r>
      <w:r>
        <w:t xml:space="preserve">, and record </w:t>
      </w:r>
      <w:r w:rsidR="000132BA">
        <w:t xml:space="preserve">the </w:t>
      </w:r>
      <w:r>
        <w:t xml:space="preserve">relevant matters </w:t>
      </w:r>
      <w:r w:rsidR="000132BA">
        <w:t xml:space="preserve">and actions </w:t>
      </w:r>
      <w:r>
        <w:t>in the register promptly</w:t>
      </w:r>
      <w:r w:rsidR="000132BA">
        <w:t>.</w:t>
      </w:r>
      <w:r w:rsidR="00636651">
        <w:t xml:space="preserve"> Personal information is collected for the purposes of identifying a person at risk of gambling harm, and to ensure the licensee take steps to prevent risk of harm to that person.</w:t>
      </w:r>
    </w:p>
    <w:p w14:paraId="6742AEA4" w14:textId="19141FCA" w:rsidR="00743CC5" w:rsidRDefault="001D13D4" w:rsidP="00864A72">
      <w:pPr>
        <w:rPr>
          <w:u w:val="single"/>
        </w:rPr>
      </w:pPr>
      <w:r>
        <w:rPr>
          <w:u w:val="single"/>
        </w:rPr>
        <w:t>19E – A</w:t>
      </w:r>
      <w:r w:rsidR="00743CC5">
        <w:rPr>
          <w:u w:val="single"/>
        </w:rPr>
        <w:t>ccessing etc the gambling harm risk register</w:t>
      </w:r>
    </w:p>
    <w:p w14:paraId="0B44117B" w14:textId="4ABC9E78" w:rsidR="00743CC5" w:rsidRDefault="0022539B" w:rsidP="00864A72">
      <w:r>
        <w:t>S</w:t>
      </w:r>
      <w:r w:rsidR="00743CC5">
        <w:t>ection 19</w:t>
      </w:r>
      <w:r w:rsidR="001D13D4">
        <w:t>E</w:t>
      </w:r>
      <w:r w:rsidR="00743CC5">
        <w:t xml:space="preserve"> describes who is authorised to access the gambling harm risk register for the purposes of the gambling harm framework.</w:t>
      </w:r>
      <w:r w:rsidR="00636651">
        <w:t xml:space="preserve"> Access to the register which contains </w:t>
      </w:r>
      <w:r w:rsidR="005369AC">
        <w:t>the</w:t>
      </w:r>
      <w:r w:rsidR="00636651">
        <w:t xml:space="preserve"> person</w:t>
      </w:r>
      <w:r w:rsidR="005369AC">
        <w:t>al</w:t>
      </w:r>
      <w:r w:rsidR="00636651">
        <w:t xml:space="preserve"> information of people who have self-excluded, or the licensee has excluded, or identified are at risk of harm, is limited to licensees and staff working under the licensee to operate the gambling activity. Access to the register is controlled by the Commission</w:t>
      </w:r>
      <w:r w:rsidR="001E6FE1">
        <w:t>. Licensees and their staff</w:t>
      </w:r>
      <w:r w:rsidR="00636651">
        <w:t xml:space="preserve"> must request </w:t>
      </w:r>
      <w:r w:rsidR="001E6FE1">
        <w:t xml:space="preserve">access </w:t>
      </w:r>
      <w:r w:rsidR="00636651">
        <w:t xml:space="preserve">and </w:t>
      </w:r>
      <w:r w:rsidR="001E6FE1">
        <w:t xml:space="preserve">be </w:t>
      </w:r>
      <w:r w:rsidR="00636651">
        <w:t xml:space="preserve">approved by the Commission </w:t>
      </w:r>
      <w:r w:rsidR="001E6FE1">
        <w:t xml:space="preserve">to access the register. This section authorises the Commission and people approved to access the register to use the information for </w:t>
      </w:r>
      <w:r w:rsidR="00636651">
        <w:t>legitimate purpose</w:t>
      </w:r>
      <w:r w:rsidR="001E6FE1">
        <w:t>s required to exercise functions under the Act and comply with the Act</w:t>
      </w:r>
      <w:r w:rsidR="00636651">
        <w:t>.</w:t>
      </w:r>
      <w:r w:rsidR="00C13097">
        <w:t xml:space="preserve"> </w:t>
      </w:r>
      <w:r w:rsidR="005369AC">
        <w:t>Section 19E</w:t>
      </w:r>
      <w:r w:rsidR="00C13097">
        <w:t xml:space="preserve"> includes an offence for </w:t>
      </w:r>
      <w:r w:rsidR="00602EF5">
        <w:t>unauthorised access to the register and unauthorised addition, deletion</w:t>
      </w:r>
      <w:r w:rsidR="00F13C43">
        <w:t xml:space="preserve"> or</w:t>
      </w:r>
      <w:r w:rsidR="00602EF5">
        <w:t xml:space="preserve"> amendment of information on the register. </w:t>
      </w:r>
    </w:p>
    <w:p w14:paraId="3E0EEF85" w14:textId="09E41A98" w:rsidR="00C67876" w:rsidRPr="00C67876" w:rsidRDefault="00AC6B92" w:rsidP="00864A72">
      <w:pPr>
        <w:rPr>
          <w:u w:val="single"/>
        </w:rPr>
      </w:pPr>
      <w:r>
        <w:rPr>
          <w:u w:val="single"/>
        </w:rPr>
        <w:t>19F – O</w:t>
      </w:r>
      <w:r w:rsidR="00C67876" w:rsidRPr="00C67876">
        <w:rPr>
          <w:u w:val="single"/>
        </w:rPr>
        <w:t xml:space="preserve">ffence–licensees failing to review gambling harm risk register information </w:t>
      </w:r>
    </w:p>
    <w:p w14:paraId="6F55CDB2" w14:textId="5B564FDB" w:rsidR="00610DAB" w:rsidRPr="00743CC5" w:rsidRDefault="0022539B" w:rsidP="00864A72">
      <w:r>
        <w:t>S</w:t>
      </w:r>
      <w:r w:rsidR="00C67876">
        <w:t>ection 19</w:t>
      </w:r>
      <w:r w:rsidR="00AC6B92">
        <w:t>F</w:t>
      </w:r>
      <w:r w:rsidR="00C67876">
        <w:t xml:space="preserve"> </w:t>
      </w:r>
      <w:r w:rsidR="00F13C43">
        <w:t xml:space="preserve">provides that it is </w:t>
      </w:r>
      <w:r w:rsidR="00C67876">
        <w:t xml:space="preserve">an offence for a licensee </w:t>
      </w:r>
      <w:r w:rsidR="00F13C43">
        <w:t>to</w:t>
      </w:r>
      <w:r w:rsidR="00C67876">
        <w:t xml:space="preserve"> fail to review </w:t>
      </w:r>
      <w:r w:rsidR="003564B8">
        <w:t xml:space="preserve">information relating to </w:t>
      </w:r>
      <w:r w:rsidR="00C67876">
        <w:t>a notification about a record being added, amended or removed from the register. The purpose of the offence is to ensure licensees regularly review the register and note any additions, changes or updates to ensure they meet their obligations under the Act.</w:t>
      </w:r>
    </w:p>
    <w:p w14:paraId="7ADB4F03" w14:textId="60999182" w:rsidR="002B62B5" w:rsidRPr="002B62B5" w:rsidRDefault="00D3703A" w:rsidP="00864A72">
      <w:pPr>
        <w:rPr>
          <w:u w:val="single"/>
        </w:rPr>
      </w:pPr>
      <w:r>
        <w:rPr>
          <w:u w:val="single"/>
        </w:rPr>
        <w:t>D</w:t>
      </w:r>
      <w:r w:rsidR="002B62B5" w:rsidRPr="002B62B5">
        <w:rPr>
          <w:u w:val="single"/>
        </w:rPr>
        <w:t>ivision 3.</w:t>
      </w:r>
      <w:r w:rsidR="00D86BF7">
        <w:rPr>
          <w:u w:val="single"/>
        </w:rPr>
        <w:t>5</w:t>
      </w:r>
      <w:r w:rsidR="005E2E80">
        <w:rPr>
          <w:u w:val="single"/>
        </w:rPr>
        <w:tab/>
        <w:t xml:space="preserve">Exclusion from gambling </w:t>
      </w:r>
    </w:p>
    <w:p w14:paraId="2DCB704D" w14:textId="22B07AC8" w:rsidR="00864A72" w:rsidRDefault="00864A72" w:rsidP="00864A72">
      <w:r>
        <w:t>Th</w:t>
      </w:r>
      <w:r w:rsidR="005369AC">
        <w:t>e Bill</w:t>
      </w:r>
      <w:r>
        <w:t xml:space="preserve"> inserts </w:t>
      </w:r>
      <w:r w:rsidR="00D86BF7">
        <w:t>a</w:t>
      </w:r>
      <w:r>
        <w:t xml:space="preserve"> new division 3.</w:t>
      </w:r>
      <w:r w:rsidR="00D86BF7">
        <w:t>5</w:t>
      </w:r>
      <w:r>
        <w:t xml:space="preserve"> into the Act which </w:t>
      </w:r>
      <w:r w:rsidR="00A938D5">
        <w:t xml:space="preserve">provides a statutory basis for gambling exclusion in the ACT. It describes the </w:t>
      </w:r>
      <w:r w:rsidR="008C2121">
        <w:t>rights and obligations of individuals and licensees in the context of the ACT’s new statutory gambling exclusion scheme. This includes</w:t>
      </w:r>
      <w:r>
        <w:t xml:space="preserve"> </w:t>
      </w:r>
      <w:r w:rsidR="008C2121">
        <w:t>both</w:t>
      </w:r>
      <w:r>
        <w:t xml:space="preserve"> self-exclusion and licensee exclusion</w:t>
      </w:r>
      <w:r w:rsidR="008C2121">
        <w:t>.</w:t>
      </w:r>
    </w:p>
    <w:p w14:paraId="2E604504" w14:textId="47EFBFBE" w:rsidR="008C2121" w:rsidRPr="00C9020A" w:rsidRDefault="008C2121" w:rsidP="00864A72">
      <w:pPr>
        <w:rPr>
          <w:u w:val="single"/>
        </w:rPr>
      </w:pPr>
      <w:r w:rsidRPr="00C9020A">
        <w:rPr>
          <w:u w:val="single"/>
        </w:rPr>
        <w:t xml:space="preserve">Subdivision 3.5.1 </w:t>
      </w:r>
      <w:r w:rsidRPr="00C9020A">
        <w:rPr>
          <w:u w:val="single"/>
        </w:rPr>
        <w:tab/>
        <w:t>Preliminary</w:t>
      </w:r>
    </w:p>
    <w:p w14:paraId="505F1C32" w14:textId="266F280E" w:rsidR="00864A72" w:rsidRPr="005E2E80" w:rsidRDefault="008C2121" w:rsidP="00864A72">
      <w:pPr>
        <w:rPr>
          <w:u w:val="single"/>
        </w:rPr>
      </w:pPr>
      <w:r>
        <w:rPr>
          <w:u w:val="single"/>
        </w:rPr>
        <w:t>19G – A</w:t>
      </w:r>
      <w:r w:rsidR="005E2E80" w:rsidRPr="005E2E80">
        <w:rPr>
          <w:u w:val="single"/>
        </w:rPr>
        <w:t>pplication–div 3.</w:t>
      </w:r>
      <w:r w:rsidR="00280060">
        <w:rPr>
          <w:u w:val="single"/>
        </w:rPr>
        <w:t>5</w:t>
      </w:r>
    </w:p>
    <w:p w14:paraId="5CA26C9A" w14:textId="0ED44722" w:rsidR="005E2E80" w:rsidRDefault="0022539B" w:rsidP="00864A72">
      <w:r>
        <w:t>S</w:t>
      </w:r>
      <w:r w:rsidR="005E2E80">
        <w:t>ection 19</w:t>
      </w:r>
      <w:r w:rsidR="008C2121">
        <w:t>G</w:t>
      </w:r>
      <w:r w:rsidR="005E2E80">
        <w:t xml:space="preserve"> </w:t>
      </w:r>
    </w:p>
    <w:p w14:paraId="3F93EAAB" w14:textId="6D54783C" w:rsidR="005E2E80" w:rsidRDefault="00203A22" w:rsidP="00864A72">
      <w:r>
        <w:lastRenderedPageBreak/>
        <w:t>provides that the division, other than sections 19</w:t>
      </w:r>
      <w:r w:rsidR="00243514">
        <w:t>J</w:t>
      </w:r>
      <w:r>
        <w:t>, 19</w:t>
      </w:r>
      <w:r w:rsidR="00243514">
        <w:t>O</w:t>
      </w:r>
      <w:r>
        <w:t xml:space="preserve">, </w:t>
      </w:r>
      <w:r w:rsidR="00243514">
        <w:t>and subdivision 3.5.6</w:t>
      </w:r>
      <w:r>
        <w:t xml:space="preserve">, does not apply to a licensed provider under the </w:t>
      </w:r>
      <w:r w:rsidRPr="00203A22">
        <w:rPr>
          <w:i/>
          <w:iCs/>
        </w:rPr>
        <w:t>Interactive Gambling Act 1998</w:t>
      </w:r>
      <w:r>
        <w:t>.</w:t>
      </w:r>
      <w:r w:rsidR="000C0A19">
        <w:t xml:space="preserve"> </w:t>
      </w:r>
      <w:r w:rsidR="00A43DF8" w:rsidRPr="00A43DF8">
        <w:t>The ACT does regulate online wagering services (e.g. sports bookmakers)</w:t>
      </w:r>
      <w:r w:rsidR="00A43DF8">
        <w:t xml:space="preserve"> and the Commission does not issue interactive gambling licences</w:t>
      </w:r>
      <w:r w:rsidR="00A43DF8" w:rsidRPr="00A43DF8">
        <w:t>. Online sports bookmakers based in the ACT must hold an ACT Sports Bookmaking Licence</w:t>
      </w:r>
      <w:r w:rsidR="00A43DF8">
        <w:t>.</w:t>
      </w:r>
    </w:p>
    <w:p w14:paraId="1D0E855C" w14:textId="5DF30447" w:rsidR="00203A22" w:rsidRPr="00203A22" w:rsidRDefault="00375CAC" w:rsidP="00864A72">
      <w:pPr>
        <w:rPr>
          <w:u w:val="single"/>
        </w:rPr>
      </w:pPr>
      <w:r>
        <w:rPr>
          <w:u w:val="single"/>
        </w:rPr>
        <w:t xml:space="preserve">19H – </w:t>
      </w:r>
      <w:r w:rsidR="00203A22" w:rsidRPr="00203A22">
        <w:rPr>
          <w:u w:val="single"/>
        </w:rPr>
        <w:t>Meaning of internal review</w:t>
      </w:r>
      <w:r w:rsidR="00E51C8E">
        <w:rPr>
          <w:u w:val="single"/>
        </w:rPr>
        <w:t>er</w:t>
      </w:r>
      <w:r w:rsidR="00203A22" w:rsidRPr="00203A22">
        <w:rPr>
          <w:u w:val="single"/>
        </w:rPr>
        <w:t>–div 3.</w:t>
      </w:r>
      <w:r>
        <w:rPr>
          <w:u w:val="single"/>
        </w:rPr>
        <w:t>5</w:t>
      </w:r>
    </w:p>
    <w:p w14:paraId="347D3E5B" w14:textId="34E9E7E8" w:rsidR="00203A22" w:rsidRDefault="0022539B" w:rsidP="00864A72">
      <w:r>
        <w:t xml:space="preserve">Section 19H </w:t>
      </w:r>
      <w:r w:rsidR="00203A22">
        <w:t>is a technical amendment which provides a signpost to the meaning of internal reviewer used at Section 19</w:t>
      </w:r>
      <w:r w:rsidR="00710AA0">
        <w:t>R</w:t>
      </w:r>
      <w:r w:rsidR="00203A22">
        <w:t xml:space="preserve"> (</w:t>
      </w:r>
      <w:r w:rsidR="00710AA0">
        <w:t>5</w:t>
      </w:r>
      <w:r w:rsidR="00203A22">
        <w:t xml:space="preserve">), which is a person who reviews a </w:t>
      </w:r>
      <w:r w:rsidR="00D362A9">
        <w:t>gambling exclusion</w:t>
      </w:r>
      <w:r w:rsidR="00203A22">
        <w:t xml:space="preserve"> determination, who did not make the original determination.</w:t>
      </w:r>
    </w:p>
    <w:p w14:paraId="2F574276" w14:textId="3C15E940" w:rsidR="00D362A9" w:rsidRPr="00D978E9" w:rsidRDefault="00D362A9" w:rsidP="00864A72">
      <w:pPr>
        <w:rPr>
          <w:u w:val="single"/>
        </w:rPr>
      </w:pPr>
      <w:r>
        <w:rPr>
          <w:u w:val="single"/>
        </w:rPr>
        <w:t xml:space="preserve">Subdivision 3.5.2 </w:t>
      </w:r>
      <w:r>
        <w:rPr>
          <w:u w:val="single"/>
        </w:rPr>
        <w:tab/>
        <w:t>Gambling exclusion notices</w:t>
      </w:r>
    </w:p>
    <w:p w14:paraId="39556981" w14:textId="5C957D46" w:rsidR="0076780C" w:rsidRPr="00A80BAE" w:rsidRDefault="0076780C" w:rsidP="00864A72">
      <w:r w:rsidRPr="00A80BAE">
        <w:t>Th</w:t>
      </w:r>
      <w:r w:rsidR="005369AC">
        <w:t>e Bill</w:t>
      </w:r>
      <w:r w:rsidRPr="00A80BAE">
        <w:t xml:space="preserve"> inserts a new subdivision about rights and obligations in relation to gambling exclusion notices – both self-exclusion notices and licensee exclusion notices. </w:t>
      </w:r>
    </w:p>
    <w:p w14:paraId="4FB17ECC" w14:textId="6B8F0A97" w:rsidR="00203A22" w:rsidRPr="00203A22" w:rsidRDefault="0076780C" w:rsidP="00864A72">
      <w:pPr>
        <w:rPr>
          <w:u w:val="single"/>
        </w:rPr>
      </w:pPr>
      <w:r>
        <w:rPr>
          <w:u w:val="single"/>
        </w:rPr>
        <w:t xml:space="preserve">19I – </w:t>
      </w:r>
      <w:r w:rsidR="00203A22" w:rsidRPr="00203A22">
        <w:rPr>
          <w:u w:val="single"/>
        </w:rPr>
        <w:t>People giving notice of self-exclusion</w:t>
      </w:r>
    </w:p>
    <w:p w14:paraId="03EBEC58" w14:textId="6AF740CD" w:rsidR="00203A22" w:rsidRDefault="0022539B" w:rsidP="00864A72">
      <w:r>
        <w:t>S</w:t>
      </w:r>
      <w:r w:rsidR="00203A22">
        <w:t>ection 19</w:t>
      </w:r>
      <w:r w:rsidR="0076780C">
        <w:t>I</w:t>
      </w:r>
      <w:r w:rsidR="005902F7">
        <w:t xml:space="preserve"> </w:t>
      </w:r>
      <w:r w:rsidR="001B3AF0">
        <w:t>replaces the deed of self-exclusion process in the Regulation (Code of Practice)</w:t>
      </w:r>
      <w:r w:rsidR="00F53081">
        <w:t xml:space="preserve"> (Section 1.13 – Deeds of exclusion)</w:t>
      </w:r>
      <w:r w:rsidR="001B3AF0">
        <w:t>. The amendments provide that a</w:t>
      </w:r>
      <w:r w:rsidR="00502120">
        <w:t>n eligible</w:t>
      </w:r>
      <w:r w:rsidR="001B3AF0">
        <w:t xml:space="preserve"> person wishing to self-exclude from a gambling activity or place where licensed gambling activities occur can give written notice to the Commission and/or </w:t>
      </w:r>
      <w:r w:rsidR="00877C31">
        <w:t xml:space="preserve">a licensee </w:t>
      </w:r>
      <w:r w:rsidR="001B3AF0">
        <w:t>of their intent to be self-excluded. Section 19</w:t>
      </w:r>
      <w:r w:rsidR="00326A69">
        <w:t>I</w:t>
      </w:r>
      <w:r w:rsidR="001B3AF0">
        <w:t xml:space="preserve"> (1) specifies that </w:t>
      </w:r>
      <w:r w:rsidR="00877C31">
        <w:t xml:space="preserve">a </w:t>
      </w:r>
      <w:r w:rsidR="001B3AF0">
        <w:t>support a person</w:t>
      </w:r>
      <w:r w:rsidR="00BD1971">
        <w:t>, such as a friend, family member, or counsellor,</w:t>
      </w:r>
      <w:r w:rsidR="00877C31">
        <w:t xml:space="preserve"> </w:t>
      </w:r>
      <w:r w:rsidR="00BD1971">
        <w:t>may assist</w:t>
      </w:r>
      <w:r w:rsidR="001B3AF0">
        <w:t xml:space="preserve"> </w:t>
      </w:r>
      <w:r w:rsidR="00BD1971">
        <w:t>with this</w:t>
      </w:r>
      <w:r w:rsidR="001B3AF0">
        <w:t>.</w:t>
      </w:r>
      <w:r w:rsidR="00502120">
        <w:t xml:space="preserve"> Section 19</w:t>
      </w:r>
      <w:r w:rsidR="00326A69">
        <w:t>I</w:t>
      </w:r>
      <w:r w:rsidR="00502120">
        <w:t xml:space="preserve"> (6) defines ‘eligible person’ as a person who is an adult or at least 17 years old and intends on self-excluding from one or more licensed gambling activities on or after reaching 18 years of age. This means that a person who is 17 years of age, but not yet 18, may opt to self-exclude before they are legally old enough to participate in the gambling activity.</w:t>
      </w:r>
    </w:p>
    <w:p w14:paraId="5730F62B" w14:textId="55E10369" w:rsidR="00027785" w:rsidRDefault="00027785" w:rsidP="00864A72">
      <w:r>
        <w:t xml:space="preserve">This section gives effect to the intention to deliver a statutory self-exclusion scheme in the ACT and remove the requirement for individuals to give effect to their choice to self-exclude via completion of a self-exclusion deed. </w:t>
      </w:r>
    </w:p>
    <w:p w14:paraId="55C41DF2" w14:textId="3BFE5EE9" w:rsidR="001B3AF0" w:rsidRDefault="001B3AF0" w:rsidP="00864A72">
      <w:r>
        <w:t>Section 19</w:t>
      </w:r>
      <w:r w:rsidR="00027785">
        <w:t>I</w:t>
      </w:r>
      <w:r>
        <w:t xml:space="preserve"> requires that a self-exclusion notice </w:t>
      </w:r>
      <w:r w:rsidR="00AD1EAF">
        <w:t>must</w:t>
      </w:r>
      <w:r>
        <w:t xml:space="preserve"> include the person’s details to confirm their identity, including name, date of birth, contact details, and the gambling activity</w:t>
      </w:r>
      <w:r w:rsidR="00502120">
        <w:t xml:space="preserve">/activities or place/s the person wishes to be excluded from. The self-exclusion notice must include the person’s consent to provide their personal details and their </w:t>
      </w:r>
      <w:r w:rsidR="00612019">
        <w:t xml:space="preserve">agreement </w:t>
      </w:r>
      <w:r w:rsidR="00502120">
        <w:t>to</w:t>
      </w:r>
      <w:r w:rsidR="00B71A7C">
        <w:t xml:space="preserve"> </w:t>
      </w:r>
      <w:r w:rsidR="00502120">
        <w:t xml:space="preserve">not engage in the gambling activity they nominate. The consent also includes that they may be removed from the place or prevented from entering the place where the gambling activity occurs. The self-exclusion notice must specify the period </w:t>
      </w:r>
      <w:r w:rsidR="005369AC">
        <w:t>of</w:t>
      </w:r>
      <w:r w:rsidR="00502120">
        <w:t xml:space="preserve"> the self-exclusion, which can be between 6 months and 5 years.</w:t>
      </w:r>
      <w:r w:rsidR="00F53081">
        <w:t xml:space="preserve"> </w:t>
      </w:r>
    </w:p>
    <w:p w14:paraId="0800B987" w14:textId="4E67A524" w:rsidR="00502120" w:rsidRDefault="00502120" w:rsidP="00864A72">
      <w:r>
        <w:t>Section 19</w:t>
      </w:r>
      <w:r w:rsidR="00D120FC">
        <w:t>I</w:t>
      </w:r>
      <w:r>
        <w:t xml:space="preserve"> (3) provides that a licensee </w:t>
      </w:r>
      <w:r w:rsidR="00D120FC">
        <w:t>must</w:t>
      </w:r>
      <w:r>
        <w:t xml:space="preserve"> accept a self-exclusion notice, </w:t>
      </w:r>
      <w:r w:rsidR="00D120FC">
        <w:t>unless</w:t>
      </w:r>
      <w:r>
        <w:t xml:space="preserve"> </w:t>
      </w:r>
      <w:r w:rsidR="00D120FC">
        <w:t>the notice</w:t>
      </w:r>
      <w:r>
        <w:t xml:space="preserve"> does not comply with the requirements </w:t>
      </w:r>
      <w:r w:rsidR="00FC0C96">
        <w:t>for a valid/complete notice</w:t>
      </w:r>
      <w:r w:rsidR="00F53081">
        <w:t xml:space="preserve">. If a licensee does not accept the notice on these grounds, they must explain to the person why they cannot accept the notice, and give the person or their </w:t>
      </w:r>
      <w:r w:rsidR="00D85591">
        <w:t xml:space="preserve">support person </w:t>
      </w:r>
      <w:r w:rsidR="00F53081">
        <w:t>information about how to comply with the requirements. The licensee must also make a record in the register about being given the self-exclusion notice and any actions taken.</w:t>
      </w:r>
    </w:p>
    <w:p w14:paraId="18EA9FF2" w14:textId="77E19031" w:rsidR="00F53081" w:rsidRPr="00F53081" w:rsidRDefault="00F22A44" w:rsidP="00864A72">
      <w:pPr>
        <w:rPr>
          <w:u w:val="single"/>
        </w:rPr>
      </w:pPr>
      <w:r>
        <w:rPr>
          <w:u w:val="single"/>
        </w:rPr>
        <w:t xml:space="preserve">19J – </w:t>
      </w:r>
      <w:r w:rsidR="00F53081" w:rsidRPr="00F53081">
        <w:rPr>
          <w:u w:val="single"/>
        </w:rPr>
        <w:t>Licensees giving people notice of gambling exclusion</w:t>
      </w:r>
    </w:p>
    <w:p w14:paraId="62E26EBB" w14:textId="288BE3E4" w:rsidR="00F53081" w:rsidRDefault="00F22A44" w:rsidP="00864A72">
      <w:r>
        <w:lastRenderedPageBreak/>
        <w:t>S</w:t>
      </w:r>
      <w:r w:rsidR="00F53081">
        <w:t>ection 19</w:t>
      </w:r>
      <w:r>
        <w:t>J</w:t>
      </w:r>
      <w:r w:rsidR="00F53081">
        <w:t xml:space="preserve"> replaces Section 1.14 of the Regulation (Code of Practice)</w:t>
      </w:r>
      <w:r w:rsidR="00510C56">
        <w:t xml:space="preserve"> which </w:t>
      </w:r>
      <w:r w:rsidR="00582B9D">
        <w:t xml:space="preserve">provides the grounds for </w:t>
      </w:r>
      <w:r w:rsidR="00510C56">
        <w:t xml:space="preserve">licensees </w:t>
      </w:r>
      <w:r w:rsidR="00582B9D">
        <w:t xml:space="preserve">to </w:t>
      </w:r>
      <w:r w:rsidR="00510C56">
        <w:t>exclud</w:t>
      </w:r>
      <w:r w:rsidR="00582B9D">
        <w:t>e</w:t>
      </w:r>
      <w:r w:rsidR="00510C56">
        <w:t xml:space="preserve"> people at risk of gambling harm.</w:t>
      </w:r>
      <w:r w:rsidR="00582B9D">
        <w:t xml:space="preserve"> </w:t>
      </w:r>
      <w:r w:rsidR="005369AC">
        <w:t>Section 19J provides that a</w:t>
      </w:r>
      <w:r w:rsidR="00582B9D">
        <w:t xml:space="preserve"> written ‘licensee exclusion notice’ must be given to a person engaging in a gambling activity </w:t>
      </w:r>
      <w:r w:rsidR="00B75A72">
        <w:t xml:space="preserve">if there is </w:t>
      </w:r>
      <w:r w:rsidR="00582B9D">
        <w:t xml:space="preserve">risk of </w:t>
      </w:r>
      <w:r w:rsidR="00F73BD4">
        <w:t>gambling</w:t>
      </w:r>
      <w:r w:rsidR="00582B9D">
        <w:t xml:space="preserve"> harm</w:t>
      </w:r>
      <w:r w:rsidR="00F73BD4">
        <w:t xml:space="preserve"> in relation to that person</w:t>
      </w:r>
      <w:r w:rsidR="000D236C">
        <w:t xml:space="preserve"> engaging in that activity, and the person is not already named in a gambling exclusion notice or determination in relation to the activity</w:t>
      </w:r>
      <w:r w:rsidR="00582B9D">
        <w:t>. The notice must include sufficient details to identify the person</w:t>
      </w:r>
      <w:r w:rsidR="008928C1">
        <w:t>, the reasons fo</w:t>
      </w:r>
      <w:r w:rsidR="00704158">
        <w:t>r the exclusion,</w:t>
      </w:r>
      <w:r w:rsidR="00582B9D">
        <w:t xml:space="preserve"> and the period of the exclusion, which is determined by the licensee, and can be for a period of no longer than 5 years.</w:t>
      </w:r>
    </w:p>
    <w:p w14:paraId="44DB584E" w14:textId="6E1CCDDA" w:rsidR="00582B9D" w:rsidRDefault="00582B9D" w:rsidP="00864A72">
      <w:r>
        <w:t>Section 19</w:t>
      </w:r>
      <w:r w:rsidR="00A472C9">
        <w:t>J (</w:t>
      </w:r>
      <w:r w:rsidR="000D236C">
        <w:t>4</w:t>
      </w:r>
      <w:r w:rsidR="00A472C9">
        <w:t>)</w:t>
      </w:r>
      <w:r>
        <w:t xml:space="preserve"> </w:t>
      </w:r>
      <w:r w:rsidR="005369AC">
        <w:t xml:space="preserve">provides that </w:t>
      </w:r>
      <w:r>
        <w:t xml:space="preserve">it </w:t>
      </w:r>
      <w:r w:rsidR="005369AC">
        <w:t>is</w:t>
      </w:r>
      <w:r>
        <w:t xml:space="preserve"> an offence if a licensee is required to give a licensee exclusion notice to a person at risk of gambling harm and fails to do so</w:t>
      </w:r>
      <w:r w:rsidR="000D236C">
        <w:t xml:space="preserve"> as soon as practicable, but not later than 3 trading days after the requirement to give the notice arises</w:t>
      </w:r>
      <w:r>
        <w:t xml:space="preserve">. This offence carries a maximum of 30 penalty units. The purpose of this offence is to ensure licensees respond </w:t>
      </w:r>
      <w:r w:rsidR="006C6155">
        <w:t xml:space="preserve">proportionately </w:t>
      </w:r>
      <w:r>
        <w:t>to the risk of gambling harm</w:t>
      </w:r>
      <w:r w:rsidR="006C6155">
        <w:t>. It is a defence to a prosecution of this offence if the defendant proves that giving a licensee exclusion notice to the person was not proportionate to the risk of gambling harm to the person at the time and other more proportionate measures were taken to address the risk. This defence states that the defendant must record the decision and action or measure taken in the gambling harm risk register.</w:t>
      </w:r>
      <w:r w:rsidR="00413D92">
        <w:t xml:space="preserve"> The defendant has a legal burden in relation to this defence.</w:t>
      </w:r>
    </w:p>
    <w:p w14:paraId="53201B04" w14:textId="0F5D67B6" w:rsidR="00CA23DE" w:rsidRDefault="00413D92" w:rsidP="00864A72">
      <w:pPr>
        <w:rPr>
          <w:u w:val="single"/>
        </w:rPr>
      </w:pPr>
      <w:r>
        <w:rPr>
          <w:u w:val="single"/>
        </w:rPr>
        <w:t>19K – L</w:t>
      </w:r>
      <w:r w:rsidR="00CA23DE">
        <w:rPr>
          <w:u w:val="single"/>
        </w:rPr>
        <w:t>icensees must tell commission about gambling exclusion notices</w:t>
      </w:r>
    </w:p>
    <w:p w14:paraId="0AD88684" w14:textId="77777777" w:rsidR="00144648" w:rsidRDefault="00CA23DE" w:rsidP="00CA23DE">
      <w:r>
        <w:t xml:space="preserve">Section 19J provides that a licensee must tell the Commission if they receive a self-exclusion notice </w:t>
      </w:r>
      <w:r w:rsidR="00516A86">
        <w:t>(and accept the notice)</w:t>
      </w:r>
      <w:r>
        <w:t xml:space="preserve"> or give a person a licensee exclusion notice. </w:t>
      </w:r>
      <w:r w:rsidR="00A560AB">
        <w:t>There is</w:t>
      </w:r>
      <w:r>
        <w:t xml:space="preserve"> an offence for failing to do so within 3 trading days after receiving or giving the notice. </w:t>
      </w:r>
    </w:p>
    <w:p w14:paraId="54FA3100" w14:textId="2D3950AB" w:rsidR="007C0AF0" w:rsidRPr="00144648" w:rsidRDefault="007C0AF0" w:rsidP="00CA23DE">
      <w:pPr>
        <w:rPr>
          <w:u w:val="single"/>
        </w:rPr>
      </w:pPr>
      <w:r w:rsidRPr="00144648">
        <w:rPr>
          <w:u w:val="single"/>
        </w:rPr>
        <w:t>19L – End of gambling exclusion notices</w:t>
      </w:r>
    </w:p>
    <w:p w14:paraId="428A2184" w14:textId="6C1C9975" w:rsidR="007757D1" w:rsidRDefault="0022539B" w:rsidP="00CA23DE">
      <w:r>
        <w:t>S</w:t>
      </w:r>
      <w:r w:rsidR="00FE23AC">
        <w:t>ection</w:t>
      </w:r>
      <w:r>
        <w:t xml:space="preserve"> 19L</w:t>
      </w:r>
      <w:r w:rsidR="00FE23AC">
        <w:t xml:space="preserve"> provides that a </w:t>
      </w:r>
      <w:r w:rsidR="00C21A48">
        <w:t>gambling</w:t>
      </w:r>
      <w:r w:rsidR="00FE23AC">
        <w:t xml:space="preserve"> exclusion notice ends </w:t>
      </w:r>
      <w:r w:rsidR="00C63036">
        <w:t>either</w:t>
      </w:r>
      <w:r w:rsidR="004A58E7">
        <w:t xml:space="preserve"> on the day the exclusion period ends,</w:t>
      </w:r>
      <w:r w:rsidR="00C63036">
        <w:t xml:space="preserve"> </w:t>
      </w:r>
      <w:r w:rsidR="00C534AE">
        <w:t xml:space="preserve">the day after a gambling exclusion determination </w:t>
      </w:r>
      <w:r w:rsidR="000D236C">
        <w:t>starts</w:t>
      </w:r>
      <w:r w:rsidR="004A58E7">
        <w:t>,</w:t>
      </w:r>
      <w:r w:rsidR="00C534AE">
        <w:t xml:space="preserve"> or the day after the commission </w:t>
      </w:r>
      <w:r w:rsidR="00C21A48">
        <w:t xml:space="preserve">gives notice that the </w:t>
      </w:r>
      <w:r w:rsidR="005369AC">
        <w:t>C</w:t>
      </w:r>
      <w:r w:rsidR="00C21A48">
        <w:t>ommission has decided not to make a gambling exclusion determination</w:t>
      </w:r>
      <w:r w:rsidR="00FE23AC">
        <w:t xml:space="preserve"> </w:t>
      </w:r>
      <w:r w:rsidR="004A58E7">
        <w:t xml:space="preserve">– whichever is the earliest. This is necessary to avoid </w:t>
      </w:r>
      <w:r w:rsidR="007757D1">
        <w:t xml:space="preserve">a notice and determination operating concurrently. </w:t>
      </w:r>
    </w:p>
    <w:p w14:paraId="250C651A" w14:textId="77777777" w:rsidR="007757D1" w:rsidRPr="00144648" w:rsidRDefault="007757D1" w:rsidP="00CA23DE">
      <w:pPr>
        <w:rPr>
          <w:u w:val="single"/>
        </w:rPr>
      </w:pPr>
      <w:r w:rsidRPr="00144648">
        <w:rPr>
          <w:u w:val="single"/>
        </w:rPr>
        <w:t>Subdivision 3.5.3</w:t>
      </w:r>
      <w:r w:rsidRPr="00144648">
        <w:rPr>
          <w:u w:val="single"/>
        </w:rPr>
        <w:tab/>
        <w:t>Gambling exclusion determinations</w:t>
      </w:r>
    </w:p>
    <w:p w14:paraId="3D676B16" w14:textId="31250C13" w:rsidR="00214293" w:rsidRPr="00FA2CD6" w:rsidRDefault="00E91FDA" w:rsidP="00214293">
      <w:pPr>
        <w:rPr>
          <w:u w:val="single"/>
        </w:rPr>
      </w:pPr>
      <w:r w:rsidRPr="00D3703A">
        <w:rPr>
          <w:u w:val="single"/>
        </w:rPr>
        <w:t>19M –</w:t>
      </w:r>
      <w:r w:rsidR="00FE23AC" w:rsidRPr="00D3703A">
        <w:rPr>
          <w:u w:val="single"/>
        </w:rPr>
        <w:t xml:space="preserve"> </w:t>
      </w:r>
      <w:r w:rsidR="00214293" w:rsidRPr="00FA2CD6">
        <w:rPr>
          <w:u w:val="single"/>
        </w:rPr>
        <w:t xml:space="preserve">Commission must make gambling exclusion determination </w:t>
      </w:r>
    </w:p>
    <w:p w14:paraId="69D3146E" w14:textId="3F4EDD29" w:rsidR="00CA23DE" w:rsidRDefault="00E91FDA" w:rsidP="00864A72">
      <w:r>
        <w:t>S</w:t>
      </w:r>
      <w:r w:rsidR="00214293">
        <w:t>ection 19</w:t>
      </w:r>
      <w:r>
        <w:t>M</w:t>
      </w:r>
      <w:r w:rsidR="00214293">
        <w:t xml:space="preserve"> provides that the Commission must make a gambling exclusion determination within 3 days if it </w:t>
      </w:r>
      <w:r w:rsidR="000F76C3">
        <w:t>is told about</w:t>
      </w:r>
      <w:r w:rsidR="00214293">
        <w:t xml:space="preserve"> a self-exclusion notice or a licensee exclusion notice. A gambling exclusion determination made by the Commission verifies that the appropriate details have been provided as part of the notice to confirm the identity of the person and the term for the exclusion. In the case of a licensee exclusion, the determination will also confirm that the Commission </w:t>
      </w:r>
      <w:r w:rsidR="0054132B">
        <w:t>is satisfied as to</w:t>
      </w:r>
      <w:r w:rsidR="00214293">
        <w:t xml:space="preserve"> the term of exclusion</w:t>
      </w:r>
      <w:r w:rsidR="007C33D2">
        <w:t xml:space="preserve">, the scale of the exclusion (i.e. activities from which the person is excluded), and </w:t>
      </w:r>
      <w:r w:rsidR="00214293">
        <w:t xml:space="preserve">the reasons </w:t>
      </w:r>
      <w:r w:rsidR="007C33D2">
        <w:t>for exclusion</w:t>
      </w:r>
      <w:r w:rsidR="00214293">
        <w:t xml:space="preserve"> provided by the licensee. The Commission must give a copy of the determination to the person it applies to and record the details of the determination in the gambling harm risk register. The Commission need not make a determination if it is not satisfied about the person’s identity</w:t>
      </w:r>
      <w:r w:rsidR="007823D8">
        <w:t xml:space="preserve"> or the matters stated by the licensee</w:t>
      </w:r>
      <w:r w:rsidR="00214293">
        <w:t>, and may ask the person or licensee for further information needed to make the determination</w:t>
      </w:r>
      <w:r w:rsidR="00630F3D">
        <w:t xml:space="preserve">. </w:t>
      </w:r>
    </w:p>
    <w:p w14:paraId="115BF822" w14:textId="2768FC16" w:rsidR="000D236C" w:rsidRDefault="00630F3D" w:rsidP="000D236C">
      <w:r>
        <w:lastRenderedPageBreak/>
        <w:t xml:space="preserve">If the </w:t>
      </w:r>
      <w:r w:rsidR="005369AC">
        <w:t>C</w:t>
      </w:r>
      <w:r>
        <w:t xml:space="preserve">ommission decides not to make a gambling exclusion determination, the </w:t>
      </w:r>
      <w:r w:rsidR="005369AC">
        <w:t>C</w:t>
      </w:r>
      <w:r>
        <w:t xml:space="preserve">ommission must tell the </w:t>
      </w:r>
      <w:r w:rsidR="00AA53DF">
        <w:t xml:space="preserve">person </w:t>
      </w:r>
      <w:r w:rsidR="005369AC">
        <w:t>to</w:t>
      </w:r>
      <w:r w:rsidR="009C120B">
        <w:t xml:space="preserve"> whom the notice relates (and their support person if relevant) </w:t>
      </w:r>
      <w:r w:rsidR="00E91850">
        <w:t>and the licensee</w:t>
      </w:r>
      <w:r w:rsidR="00651F3C">
        <w:t xml:space="preserve"> who made the notice if it is a licensee exclusion notice. </w:t>
      </w:r>
    </w:p>
    <w:p w14:paraId="5F0F7C84" w14:textId="019BB1FC" w:rsidR="000D236C" w:rsidRDefault="000D236C" w:rsidP="000D236C">
      <w:r>
        <w:t xml:space="preserve">A gambling exclusion determination starts on the day stated in the determination or, if not stated, then the day after the </w:t>
      </w:r>
      <w:r w:rsidR="00AC39DC">
        <w:t>C</w:t>
      </w:r>
      <w:r>
        <w:t>ommission gives the determination to the person and record</w:t>
      </w:r>
      <w:r w:rsidR="00AC39DC">
        <w:t>s</w:t>
      </w:r>
      <w:r>
        <w:t xml:space="preserve"> relevant details in the gambling harm risk register.</w:t>
      </w:r>
    </w:p>
    <w:p w14:paraId="23BE2DF8" w14:textId="66AA93F4" w:rsidR="004A52A5" w:rsidRPr="00D978E9" w:rsidRDefault="004A52A5" w:rsidP="00214293">
      <w:pPr>
        <w:rPr>
          <w:u w:val="single"/>
        </w:rPr>
      </w:pPr>
      <w:r w:rsidRPr="00D978E9">
        <w:rPr>
          <w:u w:val="single"/>
        </w:rPr>
        <w:t>19N – End of gambling exclusion determinations</w:t>
      </w:r>
    </w:p>
    <w:p w14:paraId="251F8B73" w14:textId="4FD2C08B" w:rsidR="004A52A5" w:rsidRDefault="0022539B" w:rsidP="00214293">
      <w:r>
        <w:t>S</w:t>
      </w:r>
      <w:r w:rsidR="004A52A5">
        <w:t>ection</w:t>
      </w:r>
      <w:r>
        <w:t xml:space="preserve"> 19N</w:t>
      </w:r>
      <w:r w:rsidR="004A52A5">
        <w:t xml:space="preserve"> provides that a gambling exclusion determination ends </w:t>
      </w:r>
      <w:r w:rsidR="00EB74CB">
        <w:t>when revoked</w:t>
      </w:r>
      <w:r w:rsidR="0029491D">
        <w:t xml:space="preserve"> by the person (for a self-exclusion notice), when revoked by </w:t>
      </w:r>
      <w:r w:rsidR="005369AC">
        <w:t>the ACT Civil and Administrative Tribunal (</w:t>
      </w:r>
      <w:r w:rsidR="0029491D">
        <w:t>ACAT</w:t>
      </w:r>
      <w:r w:rsidR="005369AC">
        <w:t>)</w:t>
      </w:r>
      <w:r w:rsidR="00C55EB7">
        <w:t xml:space="preserve"> or the Commission</w:t>
      </w:r>
      <w:r w:rsidR="0029491D">
        <w:t xml:space="preserve">, or when the exclusion period ends – whichever is the earliest. </w:t>
      </w:r>
    </w:p>
    <w:p w14:paraId="18455607" w14:textId="32170102" w:rsidR="00C55EB7" w:rsidRPr="00A80BAE" w:rsidRDefault="00C55EB7" w:rsidP="00214293">
      <w:pPr>
        <w:rPr>
          <w:u w:val="single"/>
        </w:rPr>
      </w:pPr>
      <w:r w:rsidRPr="00A80BAE">
        <w:rPr>
          <w:u w:val="single"/>
        </w:rPr>
        <w:t xml:space="preserve">Subdivision 3.5.4 </w:t>
      </w:r>
      <w:r w:rsidR="0022539B">
        <w:rPr>
          <w:u w:val="single"/>
        </w:rPr>
        <w:tab/>
      </w:r>
      <w:r w:rsidRPr="00A80BAE">
        <w:rPr>
          <w:u w:val="single"/>
        </w:rPr>
        <w:t>Exclusion of people from gambling activities</w:t>
      </w:r>
    </w:p>
    <w:p w14:paraId="0E3F625C" w14:textId="726BB29E" w:rsidR="00B11901" w:rsidRPr="00B11901" w:rsidRDefault="00E359A4" w:rsidP="00864A72">
      <w:pPr>
        <w:rPr>
          <w:u w:val="single"/>
        </w:rPr>
      </w:pPr>
      <w:r>
        <w:rPr>
          <w:u w:val="single"/>
        </w:rPr>
        <w:t>19O</w:t>
      </w:r>
      <w:r w:rsidR="008A10C2">
        <w:rPr>
          <w:u w:val="single"/>
        </w:rPr>
        <w:t xml:space="preserve"> – </w:t>
      </w:r>
      <w:r w:rsidR="00B11901" w:rsidRPr="00B11901">
        <w:rPr>
          <w:u w:val="single"/>
        </w:rPr>
        <w:t>Exclusion of people</w:t>
      </w:r>
      <w:r w:rsidR="00665573">
        <w:rPr>
          <w:u w:val="single"/>
        </w:rPr>
        <w:t xml:space="preserve"> named in</w:t>
      </w:r>
      <w:r w:rsidR="00B11901" w:rsidRPr="00B11901">
        <w:rPr>
          <w:u w:val="single"/>
        </w:rPr>
        <w:t xml:space="preserve"> gambling exclusion </w:t>
      </w:r>
      <w:r w:rsidR="00DA0E6A">
        <w:rPr>
          <w:u w:val="single"/>
        </w:rPr>
        <w:t xml:space="preserve">notice or gambling exclusion </w:t>
      </w:r>
      <w:r w:rsidR="00B11901" w:rsidRPr="00B11901">
        <w:rPr>
          <w:u w:val="single"/>
        </w:rPr>
        <w:t>determination</w:t>
      </w:r>
    </w:p>
    <w:p w14:paraId="051BDB7F" w14:textId="4D07C9CB" w:rsidR="00B11901" w:rsidRDefault="0022539B" w:rsidP="00864A72">
      <w:r>
        <w:t>S</w:t>
      </w:r>
      <w:r w:rsidR="00B11901">
        <w:t>ection 19</w:t>
      </w:r>
      <w:r w:rsidR="00DA0E6A">
        <w:t>O</w:t>
      </w:r>
      <w:r w:rsidR="00B11901">
        <w:t xml:space="preserve"> </w:t>
      </w:r>
      <w:r w:rsidR="005369AC">
        <w:t xml:space="preserve">provides that </w:t>
      </w:r>
      <w:r w:rsidR="00B11901">
        <w:t xml:space="preserve">it </w:t>
      </w:r>
      <w:r w:rsidR="005369AC">
        <w:t>is</w:t>
      </w:r>
      <w:r w:rsidR="00B11901">
        <w:t xml:space="preserve"> an offence if </w:t>
      </w:r>
      <w:r w:rsidR="001563E5">
        <w:t>a licensee fails to stop a person from engaging in a gambling activity if</w:t>
      </w:r>
      <w:r w:rsidR="000860BF">
        <w:t>, at that time,</w:t>
      </w:r>
      <w:r w:rsidR="001563E5">
        <w:t xml:space="preserve"> they</w:t>
      </w:r>
      <w:r w:rsidR="00E76E30">
        <w:t xml:space="preserve"> are</w:t>
      </w:r>
      <w:r w:rsidR="000860BF">
        <w:t xml:space="preserve"> excluded under a self-exclusion notice or determination or </w:t>
      </w:r>
      <w:r w:rsidR="007B5F8D">
        <w:t xml:space="preserve">a </w:t>
      </w:r>
      <w:r w:rsidR="000860BF">
        <w:t>licens</w:t>
      </w:r>
      <w:r w:rsidR="007B5F8D">
        <w:t>e</w:t>
      </w:r>
      <w:r w:rsidR="000860BF">
        <w:t>e notice or determination.</w:t>
      </w:r>
      <w:r w:rsidR="00AA3E94">
        <w:t xml:space="preserve"> This offence applies to a licensee and carries a maximum of 30 penalty units. The purpose of this offence is to ensure compliance with the gambling exclusion framework by establishing the obligation that licensees must exclude people subject to a</w:t>
      </w:r>
      <w:r w:rsidR="00FB2594">
        <w:t xml:space="preserve"> current gambling exclusion</w:t>
      </w:r>
      <w:r w:rsidR="00AA3E94">
        <w:t xml:space="preserve"> from gambling to prevent risk of gambling harm. Sub-section </w:t>
      </w:r>
      <w:r w:rsidR="00FD6CBE">
        <w:t>4</w:t>
      </w:r>
      <w:r w:rsidR="00AA3E94">
        <w:t xml:space="preserve"> provides that the licensee must not use unreasonable force or subject the person to any greater indignity than necessary to stop the person from engaging in the activity.</w:t>
      </w:r>
      <w:r w:rsidR="004B2D5A">
        <w:t xml:space="preserve"> Sub-section 3 </w:t>
      </w:r>
      <w:r w:rsidR="0095314B">
        <w:t>makes a defence</w:t>
      </w:r>
      <w:r w:rsidR="0032720F">
        <w:t xml:space="preserve"> to a prosecution</w:t>
      </w:r>
      <w:r w:rsidR="005E3954">
        <w:t xml:space="preserve"> for this offence if the licensee</w:t>
      </w:r>
      <w:r w:rsidR="00CF74B4">
        <w:t xml:space="preserve"> proves they took all reasonable steps</w:t>
      </w:r>
      <w:r w:rsidR="0073429C">
        <w:t xml:space="preserve"> to stop the excluded person from gambling.</w:t>
      </w:r>
    </w:p>
    <w:p w14:paraId="58E8BA75" w14:textId="1A16F4A4" w:rsidR="00782684" w:rsidRPr="007D2C05" w:rsidRDefault="00782684" w:rsidP="00782684">
      <w:pPr>
        <w:rPr>
          <w:u w:val="single"/>
        </w:rPr>
      </w:pPr>
      <w:r>
        <w:rPr>
          <w:u w:val="single"/>
        </w:rPr>
        <w:t>19P</w:t>
      </w:r>
      <w:r w:rsidR="0022539B">
        <w:rPr>
          <w:u w:val="single"/>
        </w:rPr>
        <w:t xml:space="preserve"> </w:t>
      </w:r>
      <w:r w:rsidR="00EF0367">
        <w:rPr>
          <w:u w:val="single"/>
        </w:rPr>
        <w:t>–</w:t>
      </w:r>
      <w:r w:rsidR="0022539B">
        <w:rPr>
          <w:u w:val="single"/>
        </w:rPr>
        <w:t xml:space="preserve"> </w:t>
      </w:r>
      <w:r w:rsidRPr="007D2C05">
        <w:rPr>
          <w:u w:val="single"/>
        </w:rPr>
        <w:t>Exclusion procedures</w:t>
      </w:r>
    </w:p>
    <w:p w14:paraId="6E7E709D" w14:textId="3ED541E5" w:rsidR="00782684" w:rsidRDefault="0022539B" w:rsidP="00864A72">
      <w:r>
        <w:t>S</w:t>
      </w:r>
      <w:r w:rsidR="00782684">
        <w:t xml:space="preserve">ection 19P </w:t>
      </w:r>
      <w:r w:rsidR="005369AC">
        <w:t xml:space="preserve">provides that </w:t>
      </w:r>
      <w:r w:rsidR="00782684">
        <w:t xml:space="preserve">it </w:t>
      </w:r>
      <w:r w:rsidR="005369AC">
        <w:t>is</w:t>
      </w:r>
      <w:r w:rsidR="00782684">
        <w:t xml:space="preserve"> an offence if a licensee does not prepare written procedures about how a person subject to a gambling exclusion notice or determination is to be excluded from the gambling activity. New section 19P also makes it an offence if a licensee fails to comply with a direction from the Commission in relation to the exclusion procedures. Both offences are strict liability offences with a maximum of 10 penalty units. The purpose of these offences is to ensure that licensees establish gambling exclusion procedures that achieve the intent of preventing risk of gambling harm, and that the procedures are easy to understand by staff using them to ensure compliance with the Act.</w:t>
      </w:r>
    </w:p>
    <w:p w14:paraId="1E443705" w14:textId="0EF74593" w:rsidR="0022539B" w:rsidRPr="00A80BAE" w:rsidRDefault="0022539B" w:rsidP="0022539B">
      <w:pPr>
        <w:rPr>
          <w:u w:val="single"/>
        </w:rPr>
      </w:pPr>
      <w:r w:rsidRPr="00A80BAE">
        <w:rPr>
          <w:u w:val="single"/>
        </w:rPr>
        <w:t>Subdivision 3.5.</w:t>
      </w:r>
      <w:r>
        <w:rPr>
          <w:u w:val="single"/>
        </w:rPr>
        <w:t>5</w:t>
      </w:r>
      <w:r w:rsidRPr="00A80BAE">
        <w:rPr>
          <w:u w:val="single"/>
        </w:rPr>
        <w:t xml:space="preserve"> </w:t>
      </w:r>
      <w:r>
        <w:rPr>
          <w:u w:val="single"/>
        </w:rPr>
        <w:tab/>
        <w:t>Amending etc gambling exclusion decisions</w:t>
      </w:r>
    </w:p>
    <w:p w14:paraId="5AE292CA" w14:textId="799831E7" w:rsidR="00AA3E94" w:rsidRPr="00AA3E94" w:rsidRDefault="00897576" w:rsidP="00864A72">
      <w:pPr>
        <w:rPr>
          <w:u w:val="single"/>
        </w:rPr>
      </w:pPr>
      <w:r>
        <w:rPr>
          <w:u w:val="single"/>
        </w:rPr>
        <w:t>19Q</w:t>
      </w:r>
      <w:r w:rsidR="0022539B">
        <w:rPr>
          <w:u w:val="single"/>
        </w:rPr>
        <w:t xml:space="preserve"> </w:t>
      </w:r>
      <w:r>
        <w:rPr>
          <w:u w:val="single"/>
        </w:rPr>
        <w:t>–</w:t>
      </w:r>
      <w:r w:rsidR="0022539B">
        <w:rPr>
          <w:u w:val="single"/>
        </w:rPr>
        <w:t xml:space="preserve"> </w:t>
      </w:r>
      <w:r w:rsidR="00AA3E94" w:rsidRPr="00AA3E94">
        <w:rPr>
          <w:u w:val="single"/>
        </w:rPr>
        <w:t>Amending o</w:t>
      </w:r>
      <w:r w:rsidR="00A2463E">
        <w:rPr>
          <w:u w:val="single"/>
        </w:rPr>
        <w:t>r</w:t>
      </w:r>
      <w:r w:rsidR="00AA3E94" w:rsidRPr="00AA3E94">
        <w:rPr>
          <w:u w:val="single"/>
        </w:rPr>
        <w:t xml:space="preserve"> revoking a gambling exclusion determination</w:t>
      </w:r>
      <w:r w:rsidR="00A2463E">
        <w:rPr>
          <w:u w:val="single"/>
        </w:rPr>
        <w:t xml:space="preserve"> based on self-exclusion notice</w:t>
      </w:r>
    </w:p>
    <w:p w14:paraId="20C13977" w14:textId="62F2E560" w:rsidR="00AA3E94" w:rsidRDefault="0022539B" w:rsidP="00864A72">
      <w:r>
        <w:t>S</w:t>
      </w:r>
      <w:r w:rsidR="00AA3E94">
        <w:t>ection 19</w:t>
      </w:r>
      <w:r w:rsidR="00A55360">
        <w:t>Q</w:t>
      </w:r>
      <w:r w:rsidR="00AA3E94">
        <w:t xml:space="preserve"> provides that a person may apply to the Commission to amend or revoke </w:t>
      </w:r>
      <w:r w:rsidR="00A2463E">
        <w:t>their self</w:t>
      </w:r>
      <w:r w:rsidR="0003242A">
        <w:t>-</w:t>
      </w:r>
      <w:r w:rsidR="00A2463E">
        <w:t>exclusion, based on the</w:t>
      </w:r>
      <w:r w:rsidR="00AA3E94">
        <w:t xml:space="preserve"> gambling exclusion determination. This request can be made no earlier than 3 months from the time the Commission made the determination</w:t>
      </w:r>
      <w:r w:rsidR="00A2463E">
        <w:t>, and the Commission must amend or revoke the determination, not sooner than 5 days after receiving the request from the person. The person may withdraw their application at any time within the 5</w:t>
      </w:r>
      <w:r w:rsidR="005369AC">
        <w:t>-</w:t>
      </w:r>
      <w:r w:rsidR="00A2463E">
        <w:t>day</w:t>
      </w:r>
      <w:r w:rsidR="00B73FFF">
        <w:t xml:space="preserve"> cooling off period</w:t>
      </w:r>
      <w:r w:rsidR="00A2463E">
        <w:t xml:space="preserve"> after </w:t>
      </w:r>
      <w:r w:rsidR="00A2463E">
        <w:lastRenderedPageBreak/>
        <w:t xml:space="preserve">making the application to the Commission. The purpose of this section is to </w:t>
      </w:r>
      <w:r w:rsidR="005369AC">
        <w:t xml:space="preserve">give </w:t>
      </w:r>
      <w:r w:rsidR="00A2463E">
        <w:t xml:space="preserve">a person who has self-excluded, the opportunity to change the </w:t>
      </w:r>
      <w:r w:rsidR="000D236C">
        <w:t xml:space="preserve">details </w:t>
      </w:r>
      <w:r w:rsidR="00A2463E">
        <w:t>of their self-exclusion or cancel it. The minimum period of 3 months before the application can be made provides a period of time for the person to pause, reflect and access assistance if needed, before deciding whether they wish to cancel or undo their self-exclusion.</w:t>
      </w:r>
      <w:r w:rsidR="000D236C">
        <w:t xml:space="preserve"> </w:t>
      </w:r>
    </w:p>
    <w:p w14:paraId="39F83FC9" w14:textId="1CF0734F" w:rsidR="000D236C" w:rsidRDefault="000D236C" w:rsidP="00864A72">
      <w:r>
        <w:t xml:space="preserve">Amendments or revocations take effect </w:t>
      </w:r>
      <w:r w:rsidR="001104F0">
        <w:t xml:space="preserve">either on the date stated in the person’s application for revocation or amendments, or the day after the commission gives the person a copy of the amended determination or written notice of revocation. </w:t>
      </w:r>
    </w:p>
    <w:p w14:paraId="02C1E22D" w14:textId="6F18E60B" w:rsidR="00A2463E" w:rsidRPr="00A2463E" w:rsidRDefault="00F152B8" w:rsidP="00864A72">
      <w:pPr>
        <w:rPr>
          <w:u w:val="single"/>
        </w:rPr>
      </w:pPr>
      <w:r>
        <w:rPr>
          <w:u w:val="single"/>
        </w:rPr>
        <w:t>19R</w:t>
      </w:r>
      <w:r w:rsidR="0022539B">
        <w:rPr>
          <w:u w:val="single"/>
        </w:rPr>
        <w:t xml:space="preserve"> </w:t>
      </w:r>
      <w:r>
        <w:rPr>
          <w:u w:val="single"/>
        </w:rPr>
        <w:t>–</w:t>
      </w:r>
      <w:r w:rsidR="0022539B">
        <w:rPr>
          <w:u w:val="single"/>
        </w:rPr>
        <w:t xml:space="preserve"> </w:t>
      </w:r>
      <w:r w:rsidR="00A2463E" w:rsidRPr="00A2463E">
        <w:rPr>
          <w:u w:val="single"/>
        </w:rPr>
        <w:t xml:space="preserve">Application for internal review of gambling exclusion </w:t>
      </w:r>
      <w:r w:rsidR="00A26CAB">
        <w:rPr>
          <w:u w:val="single"/>
        </w:rPr>
        <w:t>decisions</w:t>
      </w:r>
      <w:r w:rsidR="00A26CAB" w:rsidRPr="00A2463E">
        <w:rPr>
          <w:u w:val="single"/>
        </w:rPr>
        <w:t xml:space="preserve"> </w:t>
      </w:r>
      <w:r w:rsidR="00A2463E" w:rsidRPr="00A2463E">
        <w:rPr>
          <w:u w:val="single"/>
        </w:rPr>
        <w:t>based on licensee exclusion notice</w:t>
      </w:r>
    </w:p>
    <w:p w14:paraId="1D7278F2" w14:textId="3BC40DE1" w:rsidR="00A2463E" w:rsidRDefault="0022539B" w:rsidP="00864A72">
      <w:r>
        <w:t>S</w:t>
      </w:r>
      <w:r w:rsidR="00A2463E">
        <w:t>ection 19</w:t>
      </w:r>
      <w:r w:rsidR="00866292">
        <w:t>R</w:t>
      </w:r>
      <w:r w:rsidR="00A2463E">
        <w:t xml:space="preserve"> provides </w:t>
      </w:r>
      <w:r w:rsidR="004573D8">
        <w:t>that</w:t>
      </w:r>
      <w:r w:rsidR="00A2463E">
        <w:t xml:space="preserve"> a person who has been excluded by a licensee</w:t>
      </w:r>
      <w:r w:rsidR="007B7551">
        <w:t>, or a licensee who has made a licensee exclusion noti</w:t>
      </w:r>
      <w:r w:rsidR="00877C0B">
        <w:t>ce,</w:t>
      </w:r>
      <w:r w:rsidR="00A2463E">
        <w:t xml:space="preserve"> </w:t>
      </w:r>
      <w:r w:rsidR="00403751">
        <w:t xml:space="preserve">may </w:t>
      </w:r>
      <w:r w:rsidR="00A2463E">
        <w:t>apply to the Commission for a</w:t>
      </w:r>
      <w:r w:rsidR="007F5CD6">
        <w:t>n internal</w:t>
      </w:r>
      <w:r w:rsidR="00A2463E">
        <w:t xml:space="preserve"> review of </w:t>
      </w:r>
      <w:r w:rsidR="00EF2BF4">
        <w:t>a</w:t>
      </w:r>
      <w:r w:rsidR="00AE4EE1">
        <w:t>n</w:t>
      </w:r>
      <w:r w:rsidR="00EF2BF4">
        <w:t xml:space="preserve"> </w:t>
      </w:r>
      <w:r w:rsidR="00A2463E">
        <w:t xml:space="preserve">exclusion </w:t>
      </w:r>
      <w:r w:rsidR="00AE4EE1">
        <w:t>decision</w:t>
      </w:r>
      <w:r w:rsidR="00A2463E">
        <w:t xml:space="preserve">. </w:t>
      </w:r>
      <w:r w:rsidR="007F5CD6">
        <w:t xml:space="preserve">On receipt of this request, the Commission must arrange for a person who did not make the determination to conduct the review of </w:t>
      </w:r>
      <w:r w:rsidR="00A2463E">
        <w:t>the determination.</w:t>
      </w:r>
      <w:r w:rsidR="007F5CD6">
        <w:t xml:space="preserve"> </w:t>
      </w:r>
    </w:p>
    <w:p w14:paraId="712BCFF5" w14:textId="4F771C1A" w:rsidR="007F5CD6" w:rsidRPr="007F5CD6" w:rsidRDefault="004919B0" w:rsidP="00864A72">
      <w:pPr>
        <w:rPr>
          <w:u w:val="single"/>
        </w:rPr>
      </w:pPr>
      <w:r>
        <w:rPr>
          <w:u w:val="single"/>
        </w:rPr>
        <w:t>19S</w:t>
      </w:r>
      <w:r w:rsidR="0022539B">
        <w:rPr>
          <w:u w:val="single"/>
        </w:rPr>
        <w:t xml:space="preserve"> </w:t>
      </w:r>
      <w:r>
        <w:rPr>
          <w:u w:val="single"/>
        </w:rPr>
        <w:t>–</w:t>
      </w:r>
      <w:r w:rsidR="0022539B">
        <w:rPr>
          <w:u w:val="single"/>
        </w:rPr>
        <w:t xml:space="preserve"> </w:t>
      </w:r>
      <w:r w:rsidR="007F5CD6" w:rsidRPr="007F5CD6">
        <w:rPr>
          <w:u w:val="single"/>
        </w:rPr>
        <w:t xml:space="preserve">Internal review of gambling exclusion </w:t>
      </w:r>
      <w:r w:rsidR="001B17DD">
        <w:rPr>
          <w:u w:val="single"/>
        </w:rPr>
        <w:t>decisions</w:t>
      </w:r>
      <w:r w:rsidR="001B17DD" w:rsidRPr="007F5CD6">
        <w:rPr>
          <w:u w:val="single"/>
        </w:rPr>
        <w:t xml:space="preserve"> </w:t>
      </w:r>
      <w:r w:rsidR="007F5CD6" w:rsidRPr="007F5CD6">
        <w:rPr>
          <w:u w:val="single"/>
        </w:rPr>
        <w:t>based on licensee exclusion notice</w:t>
      </w:r>
    </w:p>
    <w:p w14:paraId="7778AC03" w14:textId="2086447F" w:rsidR="001104F0" w:rsidRDefault="0022539B" w:rsidP="00864A72">
      <w:r>
        <w:t>S</w:t>
      </w:r>
      <w:r w:rsidR="007F5CD6">
        <w:t>ection 19</w:t>
      </w:r>
      <w:r w:rsidR="006B2E79">
        <w:t>S</w:t>
      </w:r>
      <w:r w:rsidR="007F5CD6">
        <w:t xml:space="preserve"> specifies the process for an internal review of a licensee exclusion determination. The internal review process includes that the Commission must reconsider the determination and confirm, revoke or amend the gambling exclusion determination</w:t>
      </w:r>
      <w:r w:rsidR="00D77AD6">
        <w:t xml:space="preserve"> within 20 working days</w:t>
      </w:r>
      <w:r w:rsidR="007F5CD6">
        <w:t xml:space="preserve">. </w:t>
      </w:r>
    </w:p>
    <w:p w14:paraId="4A972641" w14:textId="30C01244" w:rsidR="001104F0" w:rsidRDefault="001104F0" w:rsidP="00864A72">
      <w:r>
        <w:t>If the applicant for internal review is a person named in a gambling exclusion determination decision (either to make the determination or to not make the determination), then t</w:t>
      </w:r>
      <w:r w:rsidR="007F5CD6">
        <w:t>he Commission must give the licensee who gave the licensee exclusion notice written notice that the licensee may give the Commission a written response about the matters stated in the notice within 14</w:t>
      </w:r>
      <w:r w:rsidR="00374E2D">
        <w:t xml:space="preserve"> trading </w:t>
      </w:r>
      <w:r w:rsidR="007F5CD6">
        <w:t>days.</w:t>
      </w:r>
      <w:r w:rsidR="00D61BA8">
        <w:t xml:space="preserve"> </w:t>
      </w:r>
      <w:r>
        <w:t xml:space="preserve">The commission must then consider any written response provided by the licensee. </w:t>
      </w:r>
    </w:p>
    <w:p w14:paraId="0D888F5E" w14:textId="4D182D66" w:rsidR="001104F0" w:rsidRDefault="001104F0" w:rsidP="00864A72">
      <w:r>
        <w:t>If the applicant for internal review is a licensee of a gambling activity stated in a gambling exclusion determination decision, then the commission must give the person named in the decision written notice that they may give the commission a written response about matters stated in the notice within 14 days</w:t>
      </w:r>
      <w:r w:rsidR="003B4FE2">
        <w:t xml:space="preserve">. The commission must then consider any written response provided by the person. </w:t>
      </w:r>
    </w:p>
    <w:p w14:paraId="19F1F787" w14:textId="53897572" w:rsidR="007F5CD6" w:rsidRDefault="00D61BA8" w:rsidP="00864A72">
      <w:r>
        <w:t>The reviewer must give written notice of the decision to the applicant and the licensee in the form of a reviewable decision</w:t>
      </w:r>
      <w:r w:rsidR="001D7143">
        <w:t xml:space="preserve"> notice</w:t>
      </w:r>
      <w:r>
        <w:t>.</w:t>
      </w:r>
      <w:r w:rsidR="00FC03BE">
        <w:t xml:space="preserve"> If the internal reviewer does not make a decision within </w:t>
      </w:r>
      <w:r w:rsidR="006B3BB1">
        <w:t>2</w:t>
      </w:r>
      <w:r w:rsidR="005369AC">
        <w:t>0 working</w:t>
      </w:r>
      <w:r w:rsidR="00FC03BE">
        <w:t xml:space="preserve"> days after receiving the application, there is no change to the initial determination.</w:t>
      </w:r>
    </w:p>
    <w:p w14:paraId="5D1EE1AD" w14:textId="436DDC0A" w:rsidR="001D7143" w:rsidRDefault="001D7143" w:rsidP="00864A72">
      <w:r>
        <w:t xml:space="preserve">An internal review decision takes effect on the day stated in the decision or if no day is stated, then when the internal reviewer gives notice of their decision to the person and licensee. </w:t>
      </w:r>
    </w:p>
    <w:p w14:paraId="13C4D63D" w14:textId="28B03A75" w:rsidR="00FC03BE" w:rsidRPr="00FC03BE" w:rsidRDefault="00482129" w:rsidP="00864A72">
      <w:pPr>
        <w:rPr>
          <w:u w:val="single"/>
        </w:rPr>
      </w:pPr>
      <w:r>
        <w:rPr>
          <w:u w:val="single"/>
        </w:rPr>
        <w:t>19T</w:t>
      </w:r>
      <w:r w:rsidR="0022539B">
        <w:rPr>
          <w:u w:val="single"/>
        </w:rPr>
        <w:t xml:space="preserve"> </w:t>
      </w:r>
      <w:r>
        <w:rPr>
          <w:u w:val="single"/>
        </w:rPr>
        <w:t>–</w:t>
      </w:r>
      <w:r w:rsidR="0022539B">
        <w:rPr>
          <w:u w:val="single"/>
        </w:rPr>
        <w:t xml:space="preserve"> </w:t>
      </w:r>
      <w:r w:rsidR="00FC03BE" w:rsidRPr="00FC03BE">
        <w:rPr>
          <w:u w:val="single"/>
        </w:rPr>
        <w:t>Review by ACAT of gambling exclusion decision</w:t>
      </w:r>
      <w:r w:rsidR="00095401">
        <w:rPr>
          <w:u w:val="single"/>
        </w:rPr>
        <w:t>s based on licensee exclusion notice</w:t>
      </w:r>
    </w:p>
    <w:p w14:paraId="2750F14A" w14:textId="0326EEB9" w:rsidR="00FC03BE" w:rsidRDefault="0022539B" w:rsidP="00864A72">
      <w:r>
        <w:t>S</w:t>
      </w:r>
      <w:r w:rsidR="00FC03BE">
        <w:t>ection 19</w:t>
      </w:r>
      <w:r w:rsidR="006B2E79">
        <w:t>T</w:t>
      </w:r>
      <w:r w:rsidR="00FC03BE">
        <w:t xml:space="preserve"> provides that a person </w:t>
      </w:r>
      <w:r w:rsidR="001D7143">
        <w:t>named in</w:t>
      </w:r>
      <w:r w:rsidR="00761338">
        <w:t>, or a licensee</w:t>
      </w:r>
      <w:r w:rsidR="001D7143">
        <w:t xml:space="preserve"> of a gambling activity stated in a gambling determination decision based on a licensee exclusion notice </w:t>
      </w:r>
      <w:r w:rsidR="00FC03BE">
        <w:t xml:space="preserve">can apply to the ACT Civil and Administrative Tribunal (ACAT) for review of </w:t>
      </w:r>
      <w:r w:rsidR="00E712B2">
        <w:t xml:space="preserve">an internal review </w:t>
      </w:r>
      <w:r w:rsidR="00FC03BE">
        <w:t>decision</w:t>
      </w:r>
      <w:r w:rsidR="00E712B2">
        <w:t xml:space="preserve"> under section 19S</w:t>
      </w:r>
      <w:r w:rsidR="00FC03BE">
        <w:t>.</w:t>
      </w:r>
    </w:p>
    <w:p w14:paraId="3F4C0428" w14:textId="4466EB41" w:rsidR="00FC03BE" w:rsidRPr="00FC03BE" w:rsidRDefault="001A3191" w:rsidP="00864A72">
      <w:pPr>
        <w:rPr>
          <w:u w:val="single"/>
        </w:rPr>
      </w:pPr>
      <w:r>
        <w:rPr>
          <w:u w:val="single"/>
        </w:rPr>
        <w:t>19U</w:t>
      </w:r>
      <w:r w:rsidR="0022539B">
        <w:rPr>
          <w:u w:val="single"/>
        </w:rPr>
        <w:t xml:space="preserve"> </w:t>
      </w:r>
      <w:r>
        <w:rPr>
          <w:u w:val="single"/>
        </w:rPr>
        <w:t>–</w:t>
      </w:r>
      <w:r w:rsidR="0022539B">
        <w:rPr>
          <w:u w:val="single"/>
        </w:rPr>
        <w:t xml:space="preserve"> </w:t>
      </w:r>
      <w:r w:rsidR="00FC03BE" w:rsidRPr="00FC03BE">
        <w:rPr>
          <w:u w:val="single"/>
        </w:rPr>
        <w:t>Licensees must comply with</w:t>
      </w:r>
      <w:r w:rsidR="001D7143">
        <w:rPr>
          <w:u w:val="single"/>
        </w:rPr>
        <w:t xml:space="preserve"> gambling exclusion decision based on licensee exclusion notice</w:t>
      </w:r>
    </w:p>
    <w:p w14:paraId="7867E39D" w14:textId="3B5BF64B" w:rsidR="00FC03BE" w:rsidRDefault="0022539B" w:rsidP="00864A72">
      <w:r>
        <w:lastRenderedPageBreak/>
        <w:t>S</w:t>
      </w:r>
      <w:r w:rsidR="00FC03BE">
        <w:t>ection 19</w:t>
      </w:r>
      <w:r w:rsidR="002B6F1D">
        <w:t>U</w:t>
      </w:r>
      <w:r w:rsidR="00AE702F">
        <w:t xml:space="preserve"> </w:t>
      </w:r>
      <w:r w:rsidR="007D2C05">
        <w:t xml:space="preserve">requires that a licensee must follow a direction from the Commission in relation to an internal review of a gambling exclusion </w:t>
      </w:r>
      <w:r w:rsidR="001D7143">
        <w:t xml:space="preserve">decision </w:t>
      </w:r>
      <w:r w:rsidR="004966E3">
        <w:t xml:space="preserve">made </w:t>
      </w:r>
      <w:r w:rsidR="007D2C05">
        <w:t>under section 19</w:t>
      </w:r>
      <w:r w:rsidR="00D60C50">
        <w:t>S</w:t>
      </w:r>
      <w:r w:rsidR="001D7143">
        <w:t xml:space="preserve"> or a decision or order of the ACAT in relation to an application for review under section 19T</w:t>
      </w:r>
      <w:r w:rsidR="007D2C05">
        <w:t>. This section makes it a strict liability offence for a licensee failing to comply with the Commission’s direction with a maximum of 10 penalty units. The purpose of this offence is to ensure the licensee complies with the outcome of the review of the determination.</w:t>
      </w:r>
    </w:p>
    <w:p w14:paraId="68308064" w14:textId="0360AA46" w:rsidR="0022539B" w:rsidRPr="0022539B" w:rsidRDefault="0022539B" w:rsidP="00864A72">
      <w:pPr>
        <w:rPr>
          <w:u w:val="single"/>
        </w:rPr>
      </w:pPr>
      <w:r w:rsidRPr="00A80BAE">
        <w:rPr>
          <w:u w:val="single"/>
        </w:rPr>
        <w:t>Subdivision 3.5.</w:t>
      </w:r>
      <w:r>
        <w:rPr>
          <w:u w:val="single"/>
        </w:rPr>
        <w:t>6</w:t>
      </w:r>
      <w:r w:rsidRPr="00A80BAE">
        <w:rPr>
          <w:u w:val="single"/>
        </w:rPr>
        <w:t xml:space="preserve"> </w:t>
      </w:r>
      <w:r>
        <w:rPr>
          <w:u w:val="single"/>
        </w:rPr>
        <w:tab/>
        <w:t>Offences relating to people excluded from gambling</w:t>
      </w:r>
    </w:p>
    <w:p w14:paraId="306C5848" w14:textId="0639D9B6" w:rsidR="00434C6F" w:rsidRPr="00EC5143" w:rsidRDefault="000F454F" w:rsidP="00864A72">
      <w:pPr>
        <w:rPr>
          <w:u w:val="single"/>
        </w:rPr>
      </w:pPr>
      <w:r>
        <w:rPr>
          <w:u w:val="single"/>
        </w:rPr>
        <w:t>19V</w:t>
      </w:r>
      <w:r w:rsidR="0022539B">
        <w:rPr>
          <w:u w:val="single"/>
        </w:rPr>
        <w:t xml:space="preserve"> </w:t>
      </w:r>
      <w:r>
        <w:rPr>
          <w:u w:val="single"/>
        </w:rPr>
        <w:t>–</w:t>
      </w:r>
      <w:r w:rsidR="0022539B">
        <w:rPr>
          <w:u w:val="single"/>
        </w:rPr>
        <w:t xml:space="preserve"> </w:t>
      </w:r>
      <w:r w:rsidR="00AE7F86">
        <w:rPr>
          <w:u w:val="single"/>
        </w:rPr>
        <w:t>U</w:t>
      </w:r>
      <w:r w:rsidR="00C76B17" w:rsidRPr="00EC5143">
        <w:rPr>
          <w:u w:val="single"/>
        </w:rPr>
        <w:t xml:space="preserve">sing accounts of </w:t>
      </w:r>
      <w:r w:rsidR="00855047">
        <w:rPr>
          <w:u w:val="single"/>
        </w:rPr>
        <w:t xml:space="preserve">people </w:t>
      </w:r>
      <w:r w:rsidR="00C76B17" w:rsidRPr="00EC5143">
        <w:rPr>
          <w:u w:val="single"/>
        </w:rPr>
        <w:t xml:space="preserve">excluded </w:t>
      </w:r>
      <w:r w:rsidR="00855047">
        <w:rPr>
          <w:u w:val="single"/>
        </w:rPr>
        <w:t>from gambling</w:t>
      </w:r>
    </w:p>
    <w:p w14:paraId="34FB64EA" w14:textId="5204760F" w:rsidR="00C76B17" w:rsidRDefault="005369AC" w:rsidP="00864A72">
      <w:r>
        <w:t xml:space="preserve">New subdivision 3.5.6 creates offences in relation to people excluded from gambling. </w:t>
      </w:r>
      <w:r w:rsidR="0022539B">
        <w:t>S</w:t>
      </w:r>
      <w:r w:rsidR="00C76B17">
        <w:t>ection 19</w:t>
      </w:r>
      <w:r w:rsidR="009B4C5F">
        <w:t>V</w:t>
      </w:r>
      <w:r w:rsidR="00554D2E">
        <w:t xml:space="preserve"> </w:t>
      </w:r>
      <w:r>
        <w:t xml:space="preserve">provides that </w:t>
      </w:r>
      <w:r w:rsidR="00554D2E">
        <w:t xml:space="preserve">it </w:t>
      </w:r>
      <w:r>
        <w:t>is</w:t>
      </w:r>
      <w:r w:rsidR="00554D2E">
        <w:t xml:space="preserve"> an offence if a</w:t>
      </w:r>
      <w:r w:rsidR="000C3363">
        <w:t xml:space="preserve"> licensee</w:t>
      </w:r>
      <w:r w:rsidR="00BE2D02">
        <w:t xml:space="preserve"> fails to stop a</w:t>
      </w:r>
      <w:r w:rsidR="00EC5143">
        <w:t xml:space="preserve"> person using </w:t>
      </w:r>
      <w:r w:rsidR="00F55B6F">
        <w:t>an</w:t>
      </w:r>
      <w:r w:rsidR="00EC5143">
        <w:t xml:space="preserve"> account of an excluded person to engage in the gambling activity. </w:t>
      </w:r>
      <w:r w:rsidR="00E5667B">
        <w:t>This offence applies to a licensee</w:t>
      </w:r>
      <w:r w:rsidR="001D18B3">
        <w:t xml:space="preserve"> and is</w:t>
      </w:r>
      <w:r w:rsidR="00E5667B">
        <w:t xml:space="preserve"> a strict liability offence, carrying a maximum of 10 penalty units.</w:t>
      </w:r>
      <w:r w:rsidR="007F6783">
        <w:t xml:space="preserve"> The purpose of this offence is to</w:t>
      </w:r>
      <w:r w:rsidR="00570545">
        <w:t xml:space="preserve"> prevent</w:t>
      </w:r>
      <w:r w:rsidR="00D0084C">
        <w:t xml:space="preserve"> </w:t>
      </w:r>
      <w:r w:rsidR="002A4FEA">
        <w:t>any unauthorised use of a person’s account who is excluded.</w:t>
      </w:r>
    </w:p>
    <w:p w14:paraId="322F8A12" w14:textId="27231AA6" w:rsidR="004A7855" w:rsidRPr="001B5882" w:rsidRDefault="000F2D84" w:rsidP="00864A72">
      <w:pPr>
        <w:rPr>
          <w:u w:val="single"/>
        </w:rPr>
      </w:pPr>
      <w:r>
        <w:rPr>
          <w:u w:val="single"/>
        </w:rPr>
        <w:t>19W–</w:t>
      </w:r>
      <w:r w:rsidR="00687657">
        <w:rPr>
          <w:u w:val="single"/>
        </w:rPr>
        <w:t>S</w:t>
      </w:r>
      <w:r w:rsidR="004A7855" w:rsidRPr="001B5882">
        <w:rPr>
          <w:u w:val="single"/>
        </w:rPr>
        <w:t>ending promotion</w:t>
      </w:r>
      <w:r w:rsidR="00925C0C">
        <w:rPr>
          <w:u w:val="single"/>
        </w:rPr>
        <w:t>al</w:t>
      </w:r>
      <w:r w:rsidR="004A7855" w:rsidRPr="001B5882">
        <w:rPr>
          <w:u w:val="single"/>
        </w:rPr>
        <w:t xml:space="preserve"> material to </w:t>
      </w:r>
      <w:r w:rsidR="00687657">
        <w:rPr>
          <w:u w:val="single"/>
        </w:rPr>
        <w:t xml:space="preserve">people </w:t>
      </w:r>
      <w:r w:rsidR="004A7855" w:rsidRPr="001B5882">
        <w:rPr>
          <w:u w:val="single"/>
        </w:rPr>
        <w:t xml:space="preserve">excluded </w:t>
      </w:r>
      <w:r w:rsidR="007F59C1">
        <w:rPr>
          <w:u w:val="single"/>
        </w:rPr>
        <w:t>from gambling</w:t>
      </w:r>
    </w:p>
    <w:p w14:paraId="72BE2B12" w14:textId="1031FCFC" w:rsidR="00D82C9A" w:rsidRDefault="0022539B" w:rsidP="00864A72">
      <w:r>
        <w:t>S</w:t>
      </w:r>
      <w:r w:rsidR="00D82C9A">
        <w:t xml:space="preserve">ection </w:t>
      </w:r>
      <w:r w:rsidR="00A447C7">
        <w:t>19</w:t>
      </w:r>
      <w:r w:rsidR="007D6A8D">
        <w:t>W</w:t>
      </w:r>
      <w:r w:rsidR="006249DF">
        <w:t xml:space="preserve"> </w:t>
      </w:r>
      <w:r w:rsidR="008F2FC6">
        <w:t xml:space="preserve">provides that </w:t>
      </w:r>
      <w:r w:rsidR="006249DF">
        <w:t xml:space="preserve">it </w:t>
      </w:r>
      <w:r w:rsidR="008F2FC6">
        <w:t>is</w:t>
      </w:r>
      <w:r w:rsidR="006249DF">
        <w:t xml:space="preserve"> an offence if a licensee</w:t>
      </w:r>
      <w:r w:rsidR="002920DD">
        <w:t xml:space="preserve"> sends promotional material about the gambling activity</w:t>
      </w:r>
      <w:r w:rsidR="006D453B">
        <w:t xml:space="preserve"> directly</w:t>
      </w:r>
      <w:r w:rsidR="002920DD">
        <w:t xml:space="preserve"> to a person who is excluded from the gambling activity.</w:t>
      </w:r>
      <w:r w:rsidR="004A79DD">
        <w:t xml:space="preserve"> This offence is a strict liability offence, carrying a maximum of 10 penalty units.</w:t>
      </w:r>
      <w:r w:rsidR="00211C2A">
        <w:t xml:space="preserve"> The examples provided </w:t>
      </w:r>
      <w:r w:rsidR="00FD517F">
        <w:t>describe what is meant by giving material directly to a person, for example personally addressed</w:t>
      </w:r>
      <w:r w:rsidR="002D626F">
        <w:t xml:space="preserve"> mail or email</w:t>
      </w:r>
      <w:r w:rsidR="0033148A">
        <w:t>.</w:t>
      </w:r>
    </w:p>
    <w:p w14:paraId="48743769" w14:textId="68C319B9" w:rsidR="00A340D4" w:rsidRDefault="00A340D4" w:rsidP="00A340D4">
      <w:pPr>
        <w:pStyle w:val="Heading3"/>
      </w:pPr>
      <w:r w:rsidRPr="00ED3B77">
        <w:t xml:space="preserve">Clause </w:t>
      </w:r>
      <w:r>
        <w:t>2</w:t>
      </w:r>
      <w:r w:rsidR="001D7143">
        <w:t>6</w:t>
      </w:r>
      <w:r w:rsidRPr="00ED3B77">
        <w:tab/>
      </w:r>
      <w:r>
        <w:t>Permitted disclosures to particular people</w:t>
      </w:r>
    </w:p>
    <w:p w14:paraId="6053CCE2" w14:textId="77777777" w:rsidR="00A340D4" w:rsidRDefault="00A340D4" w:rsidP="00A340D4">
      <w:pPr>
        <w:pStyle w:val="Heading3"/>
      </w:pPr>
      <w:r>
        <w:tab/>
      </w:r>
      <w:r>
        <w:tab/>
        <w:t>New section 37 (d) (iva)</w:t>
      </w:r>
    </w:p>
    <w:p w14:paraId="5F669F00" w14:textId="294889A4" w:rsidR="0033148A" w:rsidRDefault="00BB0397" w:rsidP="00864A72">
      <w:r w:rsidRPr="00911DB2">
        <w:t xml:space="preserve">This clause </w:t>
      </w:r>
      <w:r>
        <w:t xml:space="preserve">is a technical amendment that </w:t>
      </w:r>
      <w:r w:rsidRPr="00911DB2">
        <w:t>amends</w:t>
      </w:r>
      <w:r w:rsidR="006B5304">
        <w:t xml:space="preserve"> section 37 of the Act</w:t>
      </w:r>
      <w:r w:rsidR="00DA573B">
        <w:t xml:space="preserve"> </w:t>
      </w:r>
      <w:r w:rsidR="005F18A9">
        <w:t>to add paragraph (iva)</w:t>
      </w:r>
      <w:r w:rsidR="005A120D">
        <w:t xml:space="preserve"> to add the new Gambling harm part as a relevant purpose</w:t>
      </w:r>
      <w:r w:rsidR="00D46AD1">
        <w:t xml:space="preserve"> to permit disclosure of certain information as part of the administration of a gaming law.</w:t>
      </w:r>
    </w:p>
    <w:p w14:paraId="05BF1CFF" w14:textId="1FBEC7AB" w:rsidR="00562686" w:rsidRDefault="00562686" w:rsidP="00562686">
      <w:pPr>
        <w:pStyle w:val="Heading3"/>
      </w:pPr>
      <w:r w:rsidRPr="00ED3B77">
        <w:t xml:space="preserve">Clause </w:t>
      </w:r>
      <w:r>
        <w:t>2</w:t>
      </w:r>
      <w:r w:rsidR="001D7143">
        <w:t>7</w:t>
      </w:r>
      <w:r w:rsidRPr="00ED3B77">
        <w:tab/>
      </w:r>
      <w:r>
        <w:t xml:space="preserve">New section 53CB </w:t>
      </w:r>
    </w:p>
    <w:p w14:paraId="1AFC5C23" w14:textId="3E9662B6" w:rsidR="00562686" w:rsidRDefault="00562686" w:rsidP="00864A72">
      <w:r>
        <w:t>This clause inserts</w:t>
      </w:r>
      <w:r w:rsidR="006B2EEA">
        <w:t xml:space="preserve"> a new section</w:t>
      </w:r>
      <w:r w:rsidR="0058255C">
        <w:t xml:space="preserve"> which provides that </w:t>
      </w:r>
      <w:r w:rsidR="008B387C">
        <w:t xml:space="preserve">a licensee </w:t>
      </w:r>
      <w:r w:rsidR="00B66D6A">
        <w:t>or another person is not civilly liable for anything done or omitted that is done honestly, and without recklessness for the purpose of</w:t>
      </w:r>
      <w:r w:rsidR="008432C0">
        <w:t xml:space="preserve"> complying with a requirement under the new Gambling harm part of the Act</w:t>
      </w:r>
      <w:r w:rsidR="002B42F2">
        <w:t>. This protection does not apply if the licensee’s or other person’s act contravenes another law.</w:t>
      </w:r>
    </w:p>
    <w:p w14:paraId="367835EB" w14:textId="74FEAF74" w:rsidR="002B42F2" w:rsidRDefault="002B7627" w:rsidP="5166F90A">
      <w:pPr>
        <w:pStyle w:val="Heading3"/>
      </w:pPr>
      <w:r>
        <w:t>Clause 2</w:t>
      </w:r>
      <w:r w:rsidR="001D7143">
        <w:t>8</w:t>
      </w:r>
      <w:r w:rsidR="00DF543C">
        <w:tab/>
      </w:r>
      <w:r>
        <w:t>New part</w:t>
      </w:r>
      <w:r w:rsidR="00025CD3">
        <w:t xml:space="preserve"> 21</w:t>
      </w:r>
      <w:r>
        <w:t xml:space="preserve"> </w:t>
      </w:r>
    </w:p>
    <w:p w14:paraId="4D89019B" w14:textId="69E0197A" w:rsidR="0077669C" w:rsidRDefault="001D7143" w:rsidP="00404CBA">
      <w:r>
        <w:t xml:space="preserve">Clause 28 inserts Part 21 which provides for the validation of deeds of exclusion. It </w:t>
      </w:r>
      <w:r w:rsidR="00404CBA">
        <w:t>makes deeds of exclusion that were completed under the Gambling and Racing Control (Code of Practice) Regulation 2002 valid regardless of any defect</w:t>
      </w:r>
      <w:r>
        <w:t xml:space="preserve"> or irregularity in the deed or</w:t>
      </w:r>
      <w:r w:rsidR="00404CBA">
        <w:t xml:space="preserve"> in the execution of the deed. Sub-section 3 makes anything done in relation to the deed valid regardless of any defect in the deed. The purpose of this section is to address that any past deeds that </w:t>
      </w:r>
      <w:r w:rsidR="0077669C">
        <w:t>did not adhere</w:t>
      </w:r>
      <w:r w:rsidR="00404CBA">
        <w:t xml:space="preserve"> to the strict requirements for the execution of deeds are taken to be effective and in force. </w:t>
      </w:r>
    </w:p>
    <w:p w14:paraId="2737F4F6" w14:textId="6245DC83" w:rsidR="00404CBA" w:rsidRDefault="0077669C" w:rsidP="00404CBA">
      <w:r>
        <w:t xml:space="preserve">This validation part expires 5 years after the commencement of section 29 of the Act. </w:t>
      </w:r>
    </w:p>
    <w:p w14:paraId="7EF6007D" w14:textId="4E7ECEFC" w:rsidR="00DE728F" w:rsidRDefault="00DE728F" w:rsidP="00DE728F">
      <w:pPr>
        <w:pStyle w:val="Heading3"/>
      </w:pPr>
      <w:r>
        <w:lastRenderedPageBreak/>
        <w:t>Clause 2</w:t>
      </w:r>
      <w:r w:rsidR="0077669C">
        <w:t>9</w:t>
      </w:r>
      <w:r>
        <w:tab/>
        <w:t>New part 22</w:t>
      </w:r>
    </w:p>
    <w:p w14:paraId="5C358490" w14:textId="1839F978" w:rsidR="00BA2729" w:rsidRDefault="00BA2729" w:rsidP="009A6BD7">
      <w:r w:rsidRPr="00BA2729">
        <w:t>This clause inserts new part 22 ‘Transitional–Gambling and Racing Control (Gambling Exclusion) Amendment Act 2026’. Section 10</w:t>
      </w:r>
      <w:r w:rsidR="005B09D5">
        <w:t>5</w:t>
      </w:r>
      <w:r w:rsidRPr="00BA2729">
        <w:t xml:space="preserve"> makes existing deeds of self-exclusion, and any other notices of exclusion (any current exclusion documents at the time the Bill commences) continue undisrupted at the commencement of the Bill. This section also makes existing indefinite self-exclusion deeds or notices of exclusion conclude 5 years after the commencement of the Bill. This change reflects the intent of the Bill that any exclusion made is for a maximum term of 5 years</w:t>
      </w:r>
    </w:p>
    <w:p w14:paraId="35C1905B" w14:textId="77777777" w:rsidR="00AE17F7" w:rsidRDefault="00AE17F7" w:rsidP="00AE17F7">
      <w:r>
        <w:t>Section 106 requires licensees to provide the Commission with any exclusion records no later than 6 months after the commencement of the Bill. The purpose of this section is that existing paper records are provided to the Commission to create digital records, because the intent of the legislation is to move away from any necessary requirement to initiate self-exclusion in hard copy format. The licensee may still retain their own records.</w:t>
      </w:r>
    </w:p>
    <w:p w14:paraId="25EC47AA" w14:textId="71D78931" w:rsidR="00AE17F7" w:rsidRDefault="00AE17F7" w:rsidP="00AE17F7">
      <w:r>
        <w:t>Section 107 makes Part 22 expire 5 years after</w:t>
      </w:r>
      <w:r w:rsidR="0077669C">
        <w:t xml:space="preserve"> the</w:t>
      </w:r>
      <w:r>
        <w:t xml:space="preserve"> commencement</w:t>
      </w:r>
      <w:r w:rsidR="0077669C">
        <w:t xml:space="preserve"> day</w:t>
      </w:r>
      <w:r>
        <w:t>.</w:t>
      </w:r>
    </w:p>
    <w:p w14:paraId="08D7ECB4" w14:textId="2B881316" w:rsidR="006E5479" w:rsidRDefault="006E5479" w:rsidP="006E5479">
      <w:pPr>
        <w:pStyle w:val="Heading3"/>
      </w:pPr>
      <w:r w:rsidRPr="00ED3B77">
        <w:t xml:space="preserve">Clause </w:t>
      </w:r>
      <w:r w:rsidR="0077669C">
        <w:t>30</w:t>
      </w:r>
      <w:r w:rsidRPr="00ED3B77">
        <w:tab/>
      </w:r>
      <w:r>
        <w:t>Dictionary</w:t>
      </w:r>
      <w:r w:rsidR="00D17378">
        <w:t>, note 2</w:t>
      </w:r>
      <w:r>
        <w:t xml:space="preserve"> </w:t>
      </w:r>
    </w:p>
    <w:p w14:paraId="778551BD" w14:textId="44A198D6" w:rsidR="00342A3F" w:rsidRDefault="00342A3F" w:rsidP="00342A3F">
      <w:r>
        <w:t xml:space="preserve">This clause is a technical amendment which inserts </w:t>
      </w:r>
      <w:r w:rsidR="008B790D">
        <w:t xml:space="preserve">‘document’, ‘working day’ and ‘writing’ into the </w:t>
      </w:r>
      <w:r w:rsidR="00CE7844">
        <w:t xml:space="preserve">dictionary as terms the </w:t>
      </w:r>
      <w:r w:rsidR="00CE7844" w:rsidRPr="00CE7844">
        <w:rPr>
          <w:i/>
          <w:iCs/>
        </w:rPr>
        <w:t>Legislation Act 2001</w:t>
      </w:r>
      <w:r w:rsidR="00CE7844">
        <w:t xml:space="preserve"> defines</w:t>
      </w:r>
      <w:r w:rsidR="00697EFC">
        <w:t>, as these terms are used in the new</w:t>
      </w:r>
      <w:r w:rsidR="00406E59">
        <w:t xml:space="preserve"> parts of the Act.</w:t>
      </w:r>
    </w:p>
    <w:p w14:paraId="602B9EAA" w14:textId="23E23606" w:rsidR="00D17378" w:rsidRDefault="00D17378" w:rsidP="00D17378">
      <w:pPr>
        <w:pStyle w:val="Heading3"/>
      </w:pPr>
      <w:r w:rsidRPr="00ED3B77">
        <w:t xml:space="preserve">Clause </w:t>
      </w:r>
      <w:r w:rsidR="0077669C">
        <w:t>31</w:t>
      </w:r>
      <w:r w:rsidRPr="00ED3B77">
        <w:tab/>
      </w:r>
      <w:r>
        <w:t xml:space="preserve">Dictionary, new definitions </w:t>
      </w:r>
    </w:p>
    <w:p w14:paraId="1701938F" w14:textId="6AE929BA" w:rsidR="006E5479" w:rsidRDefault="00253221" w:rsidP="00864A72">
      <w:r>
        <w:t xml:space="preserve">This clause </w:t>
      </w:r>
      <w:r w:rsidR="00F75742">
        <w:t xml:space="preserve">is a technical amendment which </w:t>
      </w:r>
      <w:r>
        <w:t xml:space="preserve">inserts </w:t>
      </w:r>
      <w:r w:rsidR="00F75742">
        <w:t xml:space="preserve">relevant </w:t>
      </w:r>
      <w:r>
        <w:t xml:space="preserve">new definitions into the Act’s dictionary. </w:t>
      </w:r>
    </w:p>
    <w:p w14:paraId="0105406A" w14:textId="761F7E3C" w:rsidR="005C3E55" w:rsidRPr="004413E3" w:rsidRDefault="005C3E55" w:rsidP="005C3E55">
      <w:pPr>
        <w:pStyle w:val="Heading2"/>
      </w:pPr>
      <w:r>
        <w:t>Part 3</w:t>
      </w:r>
      <w:r>
        <w:tab/>
      </w:r>
      <w:r>
        <w:tab/>
        <w:t>Gambling and Racing Control (Code of Practice) Regulation 2002</w:t>
      </w:r>
    </w:p>
    <w:p w14:paraId="4184CD24" w14:textId="6C91B657" w:rsidR="005C3E55" w:rsidRDefault="005C3E55" w:rsidP="005C3E55">
      <w:pPr>
        <w:pStyle w:val="Heading3"/>
      </w:pPr>
      <w:r>
        <w:t>Clause</w:t>
      </w:r>
      <w:r w:rsidR="00D86516">
        <w:t>s</w:t>
      </w:r>
      <w:r w:rsidR="00E862EA">
        <w:t xml:space="preserve"> </w:t>
      </w:r>
      <w:r w:rsidR="2D518660">
        <w:t>3</w:t>
      </w:r>
      <w:r w:rsidR="0077669C">
        <w:t>2</w:t>
      </w:r>
      <w:r w:rsidR="00D86516">
        <w:t>-</w:t>
      </w:r>
      <w:r w:rsidR="74248873">
        <w:t>7</w:t>
      </w:r>
      <w:r w:rsidR="0077669C">
        <w:t>8</w:t>
      </w:r>
      <w:r>
        <w:t xml:space="preserve"> </w:t>
      </w:r>
      <w:r>
        <w:tab/>
        <w:t xml:space="preserve"> </w:t>
      </w:r>
    </w:p>
    <w:p w14:paraId="27A13556" w14:textId="5245ABC9" w:rsidR="004E7B3E" w:rsidRDefault="00D86516" w:rsidP="00376203">
      <w:r>
        <w:t>C</w:t>
      </w:r>
      <w:r w:rsidR="005C33DC">
        <w:t>lause</w:t>
      </w:r>
      <w:r>
        <w:t>s in Part 3 make</w:t>
      </w:r>
      <w:r w:rsidR="00E862EA">
        <w:t xml:space="preserve"> </w:t>
      </w:r>
      <w:r>
        <w:t xml:space="preserve">necessary </w:t>
      </w:r>
      <w:r w:rsidR="00C94316">
        <w:t>technical amendment</w:t>
      </w:r>
      <w:r>
        <w:t>s to the Code of Practice consequential to the above changes</w:t>
      </w:r>
      <w:r w:rsidR="00C94316">
        <w:t>.</w:t>
      </w:r>
      <w:r w:rsidR="008209A3">
        <w:t xml:space="preserve"> </w:t>
      </w:r>
    </w:p>
    <w:p w14:paraId="07271C87" w14:textId="2D17C50E" w:rsidR="00FA6804" w:rsidRPr="004413E3" w:rsidRDefault="00FA6804" w:rsidP="00FA6804">
      <w:pPr>
        <w:pStyle w:val="Heading2"/>
      </w:pPr>
      <w:r>
        <w:t>Schedule 1</w:t>
      </w:r>
      <w:r>
        <w:tab/>
        <w:t>Consequential amendments</w:t>
      </w:r>
    </w:p>
    <w:p w14:paraId="06EF0B3B" w14:textId="36AAA5E7" w:rsidR="00EC5E2B" w:rsidRDefault="007219BD" w:rsidP="00EC5E2B">
      <w:r>
        <w:t>Th</w:t>
      </w:r>
      <w:r w:rsidR="00D86516">
        <w:t>ese</w:t>
      </w:r>
      <w:r>
        <w:t xml:space="preserve"> clause</w:t>
      </w:r>
      <w:r w:rsidR="00D86516">
        <w:t>s</w:t>
      </w:r>
      <w:r>
        <w:t xml:space="preserve"> make</w:t>
      </w:r>
      <w:r w:rsidR="00D86516">
        <w:t xml:space="preserve"> consequential </w:t>
      </w:r>
      <w:r>
        <w:t>technical amendments to</w:t>
      </w:r>
      <w:r w:rsidR="00C95E58">
        <w:t xml:space="preserve"> the:</w:t>
      </w:r>
    </w:p>
    <w:p w14:paraId="08F10776" w14:textId="2F5EBC4F" w:rsidR="00C95E58" w:rsidRPr="00593E49" w:rsidRDefault="00BC46C9" w:rsidP="00BC46C9">
      <w:pPr>
        <w:pStyle w:val="ListParagraph"/>
        <w:numPr>
          <w:ilvl w:val="0"/>
          <w:numId w:val="25"/>
        </w:numPr>
        <w:rPr>
          <w:i/>
        </w:rPr>
      </w:pPr>
      <w:r w:rsidRPr="00593E49">
        <w:rPr>
          <w:i/>
        </w:rPr>
        <w:t>Casino Control Act 2006</w:t>
      </w:r>
    </w:p>
    <w:p w14:paraId="0092AC66" w14:textId="69CF0C54" w:rsidR="00BC46C9" w:rsidRPr="00593E49" w:rsidRDefault="00762B87" w:rsidP="00BC46C9">
      <w:pPr>
        <w:pStyle w:val="ListParagraph"/>
        <w:numPr>
          <w:ilvl w:val="0"/>
          <w:numId w:val="25"/>
        </w:numPr>
        <w:rPr>
          <w:i/>
        </w:rPr>
      </w:pPr>
      <w:r w:rsidRPr="00593E49">
        <w:rPr>
          <w:i/>
        </w:rPr>
        <w:t>Gaming Machine Act 2004</w:t>
      </w:r>
    </w:p>
    <w:p w14:paraId="1FA66234" w14:textId="26E9854B" w:rsidR="00762B87" w:rsidRDefault="00762B87" w:rsidP="00BC46C9">
      <w:pPr>
        <w:pStyle w:val="ListParagraph"/>
        <w:numPr>
          <w:ilvl w:val="0"/>
          <w:numId w:val="25"/>
        </w:numPr>
      </w:pPr>
      <w:r>
        <w:t>Gaming Machine Regulation 2004</w:t>
      </w:r>
    </w:p>
    <w:p w14:paraId="31FF111E" w14:textId="3A32A507" w:rsidR="00762B87" w:rsidRPr="00593E49" w:rsidRDefault="00762B87" w:rsidP="00BC46C9">
      <w:pPr>
        <w:pStyle w:val="ListParagraph"/>
        <w:numPr>
          <w:ilvl w:val="0"/>
          <w:numId w:val="25"/>
        </w:numPr>
        <w:rPr>
          <w:i/>
        </w:rPr>
      </w:pPr>
      <w:r w:rsidRPr="00593E49">
        <w:rPr>
          <w:i/>
        </w:rPr>
        <w:t>Race and Sports Bookmaking Act 2001</w:t>
      </w:r>
    </w:p>
    <w:p w14:paraId="2F39E3C7" w14:textId="3D1BDDE5" w:rsidR="00762B87" w:rsidRPr="00593E49" w:rsidRDefault="00762B87" w:rsidP="00BC46C9">
      <w:pPr>
        <w:pStyle w:val="ListParagraph"/>
        <w:numPr>
          <w:ilvl w:val="0"/>
          <w:numId w:val="25"/>
        </w:numPr>
        <w:rPr>
          <w:i/>
        </w:rPr>
      </w:pPr>
      <w:r w:rsidRPr="00593E49">
        <w:rPr>
          <w:i/>
        </w:rPr>
        <w:t>Racing Act 1999</w:t>
      </w:r>
    </w:p>
    <w:p w14:paraId="6AF57014" w14:textId="75F26A52" w:rsidR="00762B87" w:rsidRDefault="00762B87" w:rsidP="00BC46C9">
      <w:pPr>
        <w:pStyle w:val="ListParagraph"/>
        <w:numPr>
          <w:ilvl w:val="0"/>
          <w:numId w:val="25"/>
        </w:numPr>
      </w:pPr>
      <w:r>
        <w:t>Racing Regulation 2010</w:t>
      </w:r>
    </w:p>
    <w:p w14:paraId="5E091E6F" w14:textId="3F20E672" w:rsidR="00762B87" w:rsidRPr="00593E49" w:rsidRDefault="00762B87" w:rsidP="00BC46C9">
      <w:pPr>
        <w:pStyle w:val="ListParagraph"/>
        <w:numPr>
          <w:ilvl w:val="0"/>
          <w:numId w:val="25"/>
        </w:numPr>
        <w:rPr>
          <w:i/>
        </w:rPr>
      </w:pPr>
      <w:r w:rsidRPr="00593E49">
        <w:rPr>
          <w:i/>
        </w:rPr>
        <w:t>Totalisator Act 2014</w:t>
      </w:r>
    </w:p>
    <w:p w14:paraId="5AF91973" w14:textId="29B547CE" w:rsidR="00762B87" w:rsidRDefault="00762B87" w:rsidP="00BC46C9">
      <w:pPr>
        <w:pStyle w:val="ListParagraph"/>
        <w:numPr>
          <w:ilvl w:val="0"/>
          <w:numId w:val="25"/>
        </w:numPr>
      </w:pPr>
      <w:r w:rsidRPr="00593E49">
        <w:rPr>
          <w:i/>
        </w:rPr>
        <w:t>Unlawful Gambling Act 2009</w:t>
      </w:r>
      <w:r>
        <w:t>.</w:t>
      </w:r>
    </w:p>
    <w:p w14:paraId="02BCB0AF" w14:textId="77777777" w:rsidR="00762B87" w:rsidRDefault="00762B87" w:rsidP="006B3BB1">
      <w:pPr>
        <w:spacing w:after="0"/>
      </w:pPr>
    </w:p>
    <w:p w14:paraId="34CE672A" w14:textId="31B14BEE" w:rsidR="00762B87" w:rsidRDefault="004B351A" w:rsidP="00762B87">
      <w:r>
        <w:t xml:space="preserve">These amendments </w:t>
      </w:r>
      <w:r w:rsidR="00156A69">
        <w:t>to the above Acts/Regulations</w:t>
      </w:r>
      <w:r w:rsidR="00DC31A2">
        <w:t xml:space="preserve"> </w:t>
      </w:r>
      <w:r w:rsidR="00D77E74">
        <w:t xml:space="preserve">are </w:t>
      </w:r>
      <w:r w:rsidR="00DC31A2">
        <w:t>consequential</w:t>
      </w:r>
      <w:r w:rsidR="00D77E74">
        <w:t xml:space="preserve"> technical changes to</w:t>
      </w:r>
      <w:r w:rsidR="00BF327C">
        <w:t xml:space="preserve"> wording and cross references to align with the Bill</w:t>
      </w:r>
      <w:r w:rsidR="006B3BB1">
        <w:t>.</w:t>
      </w:r>
    </w:p>
    <w:sectPr w:rsidR="00762B87">
      <w:footerReference w:type="default" r:id="rId17"/>
      <w:footerReference w:type="first" r:id="rId18"/>
      <w:pgSz w:w="11906" w:h="16838"/>
      <w:pgMar w:top="1276" w:right="1440" w:bottom="1440" w:left="1440" w:header="709" w:footer="67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EE337" w14:textId="77777777" w:rsidR="00D13A14" w:rsidRDefault="00D13A14" w:rsidP="00E90DF9">
      <w:pPr>
        <w:spacing w:after="0" w:line="240" w:lineRule="auto"/>
      </w:pPr>
      <w:r>
        <w:separator/>
      </w:r>
    </w:p>
  </w:endnote>
  <w:endnote w:type="continuationSeparator" w:id="0">
    <w:p w14:paraId="0D34E84C" w14:textId="77777777" w:rsidR="00D13A14" w:rsidRDefault="00D13A14" w:rsidP="00E90DF9">
      <w:pPr>
        <w:spacing w:after="0" w:line="240" w:lineRule="auto"/>
      </w:pPr>
      <w:r>
        <w:continuationSeparator/>
      </w:r>
    </w:p>
  </w:endnote>
  <w:endnote w:type="continuationNotice" w:id="1">
    <w:p w14:paraId="0DF26AD0" w14:textId="77777777" w:rsidR="00D13A14" w:rsidRDefault="00D13A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ACBCC" w14:textId="77777777" w:rsidR="00144486" w:rsidRDefault="001444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3FD22" w14:textId="57293390" w:rsidR="004061DE" w:rsidRPr="00144486" w:rsidRDefault="00144486" w:rsidP="00144486">
    <w:pPr>
      <w:pStyle w:val="Footer"/>
      <w:jc w:val="center"/>
      <w:rPr>
        <w:rFonts w:cs="Arial"/>
        <w:sz w:val="14"/>
      </w:rPr>
    </w:pPr>
    <w:r w:rsidRPr="00144486">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785B3" w14:textId="77777777" w:rsidR="00E90DF9" w:rsidRDefault="00E90DF9">
    <w:pPr>
      <w:pStyle w:val="Footer"/>
      <w:jc w:val="right"/>
    </w:pPr>
  </w:p>
  <w:p w14:paraId="7B511C0F" w14:textId="77777777" w:rsidR="00E90DF9" w:rsidRPr="00DC5912" w:rsidRDefault="00E90D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37831" w14:textId="77777777" w:rsidR="00E90DF9" w:rsidRDefault="00E90DF9">
    <w:pPr>
      <w:pStyle w:val="Footer"/>
      <w:spacing w:before="60" w:line="240" w:lineRule="auto"/>
      <w:jc w:val="right"/>
    </w:pPr>
    <w:r>
      <w:fldChar w:fldCharType="begin"/>
    </w:r>
    <w:r>
      <w:instrText xml:space="preserve"> PAGE   \* MERGEFORMAT </w:instrText>
    </w:r>
    <w:r>
      <w:fldChar w:fldCharType="separate"/>
    </w:r>
    <w:r>
      <w:rPr>
        <w:noProof/>
      </w:rPr>
      <w:t>4</w:t>
    </w:r>
    <w:r>
      <w:fldChar w:fldCharType="end"/>
    </w:r>
  </w:p>
  <w:p w14:paraId="14E93202" w14:textId="77777777" w:rsidR="00C91BEE" w:rsidRDefault="00C91BEE">
    <w:pPr>
      <w:pStyle w:val="Footer"/>
      <w:spacing w:before="60" w:line="240" w:lineRule="auto"/>
      <w:jc w:val="right"/>
    </w:pPr>
  </w:p>
  <w:p w14:paraId="2D1F9DB4" w14:textId="7DCB3E17" w:rsidR="0015745A" w:rsidRPr="00144486" w:rsidRDefault="00144486" w:rsidP="00144486">
    <w:pPr>
      <w:pStyle w:val="Footer"/>
      <w:spacing w:before="60" w:line="240" w:lineRule="auto"/>
      <w:jc w:val="center"/>
      <w:rPr>
        <w:rFonts w:cs="Arial"/>
        <w:sz w:val="14"/>
      </w:rPr>
    </w:pPr>
    <w:r w:rsidRPr="00144486">
      <w:rPr>
        <w:rFonts w:cs="Arial"/>
        <w:sz w:val="14"/>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3668" w14:textId="77777777" w:rsidR="00E90DF9" w:rsidRDefault="00E90DF9">
    <w:pPr>
      <w:pStyle w:val="Footer"/>
      <w:jc w:val="right"/>
    </w:pPr>
    <w:r>
      <w:fldChar w:fldCharType="begin"/>
    </w:r>
    <w:r>
      <w:instrText xml:space="preserve"> PAGE   \* MERGEFORMAT </w:instrText>
    </w:r>
    <w:r>
      <w:fldChar w:fldCharType="separate"/>
    </w:r>
    <w:r>
      <w:rPr>
        <w:noProof/>
      </w:rPr>
      <w:t>1</w:t>
    </w:r>
    <w:r>
      <w:fldChar w:fldCharType="end"/>
    </w:r>
  </w:p>
  <w:p w14:paraId="358365C2" w14:textId="77777777" w:rsidR="00C91BEE" w:rsidRDefault="00C91BEE">
    <w:pPr>
      <w:pStyle w:val="Footer"/>
      <w:jc w:val="right"/>
    </w:pPr>
  </w:p>
  <w:p w14:paraId="62ED060A" w14:textId="62AC0F13" w:rsidR="0015745A" w:rsidRPr="00144486" w:rsidRDefault="00144486" w:rsidP="00144486">
    <w:pPr>
      <w:pStyle w:val="Footer"/>
      <w:jc w:val="center"/>
      <w:rPr>
        <w:rFonts w:cs="Arial"/>
        <w:sz w:val="14"/>
      </w:rPr>
    </w:pPr>
    <w:r w:rsidRPr="00144486">
      <w:rPr>
        <w:rFonts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6EBF0" w14:textId="77777777" w:rsidR="00D13A14" w:rsidRDefault="00D13A14" w:rsidP="00E90DF9">
      <w:pPr>
        <w:spacing w:after="0" w:line="240" w:lineRule="auto"/>
      </w:pPr>
      <w:r>
        <w:separator/>
      </w:r>
    </w:p>
  </w:footnote>
  <w:footnote w:type="continuationSeparator" w:id="0">
    <w:p w14:paraId="648994CB" w14:textId="77777777" w:rsidR="00D13A14" w:rsidRDefault="00D13A14" w:rsidP="00E90DF9">
      <w:pPr>
        <w:spacing w:after="0" w:line="240" w:lineRule="auto"/>
      </w:pPr>
      <w:r>
        <w:continuationSeparator/>
      </w:r>
    </w:p>
  </w:footnote>
  <w:footnote w:type="continuationNotice" w:id="1">
    <w:p w14:paraId="5611C93A" w14:textId="77777777" w:rsidR="00D13A14" w:rsidRDefault="00D13A14">
      <w:pPr>
        <w:spacing w:after="0" w:line="240" w:lineRule="auto"/>
      </w:pPr>
    </w:p>
  </w:footnote>
  <w:footnote w:id="2">
    <w:p w14:paraId="7C4C2C5D" w14:textId="77777777" w:rsidR="004F183A" w:rsidRPr="00B57DB4" w:rsidRDefault="004F183A" w:rsidP="004F183A">
      <w:pPr>
        <w:pStyle w:val="FootnoteText"/>
        <w:rPr>
          <w:rFonts w:ascii="Arial" w:hAnsi="Arial" w:cs="Arial"/>
          <w:lang w:val="en-AU"/>
        </w:rPr>
      </w:pPr>
      <w:r w:rsidRPr="00B57DB4">
        <w:rPr>
          <w:rStyle w:val="FootnoteReference"/>
          <w:rFonts w:ascii="Arial" w:hAnsi="Arial" w:cs="Arial"/>
        </w:rPr>
        <w:footnoteRef/>
      </w:r>
      <w:r w:rsidRPr="00B57DB4">
        <w:rPr>
          <w:rFonts w:ascii="Arial" w:hAnsi="Arial" w:cs="Arial"/>
        </w:rPr>
        <w:t xml:space="preserve"> </w:t>
      </w:r>
      <w:hyperlink r:id="rId1" w:history="1">
        <w:r w:rsidRPr="00B57DB4">
          <w:rPr>
            <w:rStyle w:val="Hyperlink"/>
            <w:rFonts w:ascii="Arial" w:hAnsi="Arial" w:cs="Arial"/>
          </w:rPr>
          <w:t>2024 ACT Gambling Survey</w:t>
        </w:r>
      </w:hyperlink>
      <w:r w:rsidRPr="00B57DB4">
        <w:rPr>
          <w:rFonts w:ascii="Arial" w:hAnsi="Arial" w:cs="Arial"/>
        </w:rPr>
        <w:t xml:space="preserve"> pg 9.</w:t>
      </w:r>
    </w:p>
  </w:footnote>
  <w:footnote w:id="3">
    <w:p w14:paraId="114EF4D5" w14:textId="77777777" w:rsidR="004F183A" w:rsidRPr="00B57DB4" w:rsidRDefault="004F183A" w:rsidP="004F183A">
      <w:pPr>
        <w:pStyle w:val="FootnoteText"/>
        <w:rPr>
          <w:rFonts w:ascii="Arial" w:hAnsi="Arial" w:cs="Arial"/>
        </w:rPr>
      </w:pPr>
      <w:r w:rsidRPr="00B57DB4">
        <w:rPr>
          <w:rStyle w:val="FootnoteReference"/>
          <w:rFonts w:ascii="Arial" w:hAnsi="Arial" w:cs="Arial"/>
        </w:rPr>
        <w:footnoteRef/>
      </w:r>
      <w:r w:rsidRPr="00B57DB4">
        <w:rPr>
          <w:rFonts w:ascii="Arial" w:hAnsi="Arial" w:cs="Arial"/>
        </w:rPr>
        <w:t xml:space="preserve"> </w:t>
      </w:r>
      <w:hyperlink r:id="rId2" w:history="1">
        <w:r w:rsidRPr="00B57DB4">
          <w:rPr>
            <w:rStyle w:val="Hyperlink"/>
            <w:rFonts w:ascii="Arial" w:hAnsi="Arial" w:cs="Arial"/>
          </w:rPr>
          <w:t>2024 ACT Gambling Survey</w:t>
        </w:r>
      </w:hyperlink>
      <w:r w:rsidRPr="00B57DB4">
        <w:rPr>
          <w:rFonts w:ascii="Arial" w:hAnsi="Arial" w:cs="Arial"/>
        </w:rPr>
        <w:t xml:space="preserve"> pg 158.</w:t>
      </w:r>
    </w:p>
  </w:footnote>
  <w:footnote w:id="4">
    <w:p w14:paraId="1F18ED19" w14:textId="77777777" w:rsidR="00AC0BF8" w:rsidRDefault="00AC0BF8" w:rsidP="00AC0BF8">
      <w:pPr>
        <w:pStyle w:val="FootnoteText"/>
      </w:pPr>
      <w:r w:rsidRPr="00B57DB4">
        <w:rPr>
          <w:rStyle w:val="FootnoteReference"/>
          <w:rFonts w:ascii="Arial" w:hAnsi="Arial" w:cs="Arial"/>
        </w:rPr>
        <w:footnoteRef/>
      </w:r>
      <w:r w:rsidRPr="00B57DB4">
        <w:rPr>
          <w:rFonts w:ascii="Arial" w:hAnsi="Arial" w:cs="Arial"/>
        </w:rPr>
        <w:t xml:space="preserve"> </w:t>
      </w:r>
      <w:hyperlink r:id="rId3" w:history="1">
        <w:r w:rsidRPr="00B57DB4">
          <w:rPr>
            <w:rStyle w:val="Hyperlink"/>
            <w:rFonts w:ascii="Arial" w:hAnsi="Arial" w:cs="Arial"/>
          </w:rPr>
          <w:t>2024 ACT Gambling Survey</w:t>
        </w:r>
      </w:hyperlink>
      <w:r w:rsidRPr="00B57DB4">
        <w:rPr>
          <w:rFonts w:ascii="Arial" w:hAnsi="Arial" w:cs="Arial"/>
        </w:rPr>
        <w:t xml:space="preserve"> pg 142.</w:t>
      </w:r>
    </w:p>
  </w:footnote>
  <w:footnote w:id="5">
    <w:p w14:paraId="1D134B66" w14:textId="77777777" w:rsidR="004F183A" w:rsidRPr="00B57DB4" w:rsidRDefault="004F183A" w:rsidP="004F183A">
      <w:pPr>
        <w:pStyle w:val="FootnoteText"/>
        <w:rPr>
          <w:rFonts w:ascii="Arial" w:hAnsi="Arial" w:cs="Arial"/>
        </w:rPr>
      </w:pPr>
      <w:r w:rsidRPr="00B57DB4">
        <w:rPr>
          <w:rStyle w:val="FootnoteReference"/>
          <w:rFonts w:ascii="Arial" w:hAnsi="Arial" w:cs="Arial"/>
        </w:rPr>
        <w:footnoteRef/>
      </w:r>
      <w:r w:rsidRPr="00B57DB4">
        <w:rPr>
          <w:rFonts w:ascii="Arial" w:hAnsi="Arial" w:cs="Arial"/>
        </w:rPr>
        <w:t xml:space="preserve"> </w:t>
      </w:r>
      <w:hyperlink r:id="rId4" w:history="1">
        <w:r w:rsidRPr="00B57DB4">
          <w:rPr>
            <w:rStyle w:val="Hyperlink"/>
            <w:rFonts w:ascii="Arial" w:hAnsi="Arial" w:cs="Arial"/>
          </w:rPr>
          <w:t>2024 ACT Gambling Survey</w:t>
        </w:r>
      </w:hyperlink>
      <w:r w:rsidRPr="00B57DB4">
        <w:rPr>
          <w:rFonts w:ascii="Arial" w:hAnsi="Arial" w:cs="Arial"/>
        </w:rPr>
        <w:t xml:space="preserve"> pg 163.</w:t>
      </w:r>
    </w:p>
  </w:footnote>
  <w:footnote w:id="6">
    <w:p w14:paraId="09025DD7" w14:textId="3ECDE3A2" w:rsidR="0014561F" w:rsidRPr="00A80BAE" w:rsidRDefault="0014561F">
      <w:pPr>
        <w:pStyle w:val="FootnoteText"/>
        <w:rPr>
          <w:rFonts w:ascii="Arial" w:hAnsi="Arial" w:cs="Arial"/>
          <w:lang w:val="en-AU"/>
        </w:rPr>
      </w:pPr>
      <w:r w:rsidRPr="00A80BAE">
        <w:rPr>
          <w:rStyle w:val="FootnoteReference"/>
          <w:rFonts w:ascii="Arial" w:hAnsi="Arial" w:cs="Arial"/>
        </w:rPr>
        <w:footnoteRef/>
      </w:r>
      <w:r w:rsidRPr="00A80BAE">
        <w:rPr>
          <w:rFonts w:ascii="Arial" w:hAnsi="Arial" w:cs="Arial"/>
        </w:rPr>
        <w:t xml:space="preserve"> </w:t>
      </w:r>
      <w:r w:rsidR="00AA7C10" w:rsidRPr="00A80BAE">
        <w:rPr>
          <w:rFonts w:ascii="Arial" w:hAnsi="Arial" w:cs="Arial"/>
        </w:rPr>
        <w:t>The ‘framework’ means</w:t>
      </w:r>
      <w:r w:rsidR="00F11A3D" w:rsidRPr="00A80BAE">
        <w:rPr>
          <w:rFonts w:ascii="Arial" w:hAnsi="Arial" w:cs="Arial"/>
        </w:rPr>
        <w:t xml:space="preserve"> </w:t>
      </w:r>
      <w:r w:rsidR="002B162A" w:rsidRPr="00A80BAE">
        <w:rPr>
          <w:rFonts w:ascii="Arial" w:hAnsi="Arial" w:cs="Arial"/>
        </w:rPr>
        <w:t xml:space="preserve">the </w:t>
      </w:r>
      <w:r w:rsidR="00FB6DBE" w:rsidRPr="00A80BAE">
        <w:rPr>
          <w:rFonts w:ascii="Arial" w:hAnsi="Arial" w:cs="Arial"/>
        </w:rPr>
        <w:t>gambling harm reduction</w:t>
      </w:r>
      <w:r w:rsidR="002B162A" w:rsidRPr="00A80BAE">
        <w:rPr>
          <w:rFonts w:ascii="Arial" w:hAnsi="Arial" w:cs="Arial"/>
        </w:rPr>
        <w:t xml:space="preserve"> </w:t>
      </w:r>
      <w:r w:rsidR="0038609B" w:rsidRPr="00A80BAE">
        <w:rPr>
          <w:rFonts w:ascii="Arial" w:hAnsi="Arial" w:cs="Arial"/>
        </w:rPr>
        <w:t xml:space="preserve">protections established in the </w:t>
      </w:r>
      <w:r w:rsidR="0038609B" w:rsidRPr="00A80BAE">
        <w:rPr>
          <w:rFonts w:ascii="Arial" w:hAnsi="Arial" w:cs="Arial"/>
          <w:i/>
          <w:iCs/>
        </w:rPr>
        <w:t>Gambling and Racing Control Act 1999</w:t>
      </w:r>
      <w:r w:rsidR="0038609B" w:rsidRPr="00A80BAE">
        <w:rPr>
          <w:rFonts w:ascii="Arial" w:hAnsi="Arial" w:cs="Arial"/>
        </w:rPr>
        <w:t xml:space="preserve"> </w:t>
      </w:r>
      <w:r w:rsidR="007472D6" w:rsidRPr="00A80BAE">
        <w:rPr>
          <w:rFonts w:ascii="Arial" w:hAnsi="Arial" w:cs="Arial"/>
        </w:rPr>
        <w:t>and other associated Acts and Regulations.</w:t>
      </w:r>
    </w:p>
  </w:footnote>
  <w:footnote w:id="7">
    <w:p w14:paraId="23E45DA3" w14:textId="26C1D7B3" w:rsidR="00E218B9" w:rsidRPr="00A80BAE" w:rsidRDefault="00E218B9">
      <w:pPr>
        <w:pStyle w:val="FootnoteText"/>
        <w:rPr>
          <w:rFonts w:ascii="Arial" w:hAnsi="Arial" w:cs="Arial"/>
          <w:i/>
          <w:lang w:val="en-AU"/>
        </w:rPr>
      </w:pPr>
      <w:r w:rsidRPr="00A80BAE">
        <w:rPr>
          <w:rStyle w:val="FootnoteReference"/>
          <w:rFonts w:ascii="Arial" w:hAnsi="Arial" w:cs="Arial"/>
        </w:rPr>
        <w:footnoteRef/>
      </w:r>
      <w:r w:rsidRPr="00A80BAE">
        <w:rPr>
          <w:rFonts w:ascii="Arial" w:hAnsi="Arial" w:cs="Arial"/>
        </w:rPr>
        <w:t xml:space="preserve"> </w:t>
      </w:r>
      <w:hyperlink r:id="rId5" w:history="1">
        <w:r w:rsidR="00EB53B7" w:rsidRPr="00A80BAE">
          <w:rPr>
            <w:rStyle w:val="Hyperlink"/>
            <w:rFonts w:ascii="Arial" w:hAnsi="Arial" w:cs="Arial"/>
          </w:rPr>
          <w:t>Independent Inquiry into</w:t>
        </w:r>
        <w:r w:rsidR="00A80BAE" w:rsidRPr="00A80BAE">
          <w:rPr>
            <w:rStyle w:val="Hyperlink"/>
            <w:rFonts w:ascii="Arial" w:hAnsi="Arial" w:cs="Arial"/>
          </w:rPr>
          <w:t xml:space="preserve"> the future of</w:t>
        </w:r>
        <w:r w:rsidR="00EB53B7" w:rsidRPr="00A80BAE">
          <w:rPr>
            <w:rStyle w:val="Hyperlink"/>
            <w:rFonts w:ascii="Arial" w:hAnsi="Arial" w:cs="Arial"/>
          </w:rPr>
          <w:t xml:space="preserve"> </w:t>
        </w:r>
        <w:r w:rsidR="00A80BAE">
          <w:rPr>
            <w:rStyle w:val="Hyperlink"/>
            <w:rFonts w:ascii="Arial" w:hAnsi="Arial" w:cs="Arial"/>
          </w:rPr>
          <w:t xml:space="preserve">the </w:t>
        </w:r>
        <w:r w:rsidR="00EB53B7" w:rsidRPr="00A80BAE">
          <w:rPr>
            <w:rStyle w:val="Hyperlink"/>
            <w:rFonts w:ascii="Arial" w:hAnsi="Arial" w:cs="Arial"/>
          </w:rPr>
          <w:t>ACT Club</w:t>
        </w:r>
        <w:r w:rsidR="00A80BAE">
          <w:rPr>
            <w:rStyle w:val="Hyperlink"/>
            <w:rFonts w:ascii="Arial" w:hAnsi="Arial" w:cs="Arial"/>
          </w:rPr>
          <w:t xml:space="preserve"> Industry</w:t>
        </w:r>
        <w:r w:rsidR="00EB53B7" w:rsidRPr="00A80BAE">
          <w:rPr>
            <w:rStyle w:val="Hyperlink"/>
            <w:rFonts w:ascii="Arial" w:hAnsi="Arial" w:cs="Arial"/>
          </w:rPr>
          <w:t xml:space="preserve">, </w:t>
        </w:r>
        <w:r w:rsidR="00A80BAE" w:rsidRPr="00A80BAE">
          <w:rPr>
            <w:rStyle w:val="Hyperlink"/>
            <w:rFonts w:ascii="Arial" w:hAnsi="Arial" w:cs="Arial"/>
          </w:rPr>
          <w:t xml:space="preserve">June </w:t>
        </w:r>
        <w:r w:rsidR="00EB53B7" w:rsidRPr="00A80BAE">
          <w:rPr>
            <w:rStyle w:val="Hyperlink"/>
            <w:rFonts w:ascii="Arial" w:hAnsi="Arial" w:cs="Arial"/>
          </w:rPr>
          <w:t>2026</w:t>
        </w:r>
      </w:hyperlink>
    </w:p>
  </w:footnote>
  <w:footnote w:id="8">
    <w:p w14:paraId="5BECB80F" w14:textId="77777777" w:rsidR="00D83F43" w:rsidRPr="005A129C" w:rsidRDefault="00D83F43" w:rsidP="00D83F43">
      <w:pPr>
        <w:pStyle w:val="FootnoteText"/>
        <w:rPr>
          <w:rFonts w:ascii="Arial" w:hAnsi="Arial" w:cs="Arial"/>
          <w:sz w:val="18"/>
          <w:szCs w:val="18"/>
          <w:lang w:val="en-AU"/>
        </w:rPr>
      </w:pPr>
      <w:r w:rsidRPr="005A129C">
        <w:rPr>
          <w:rStyle w:val="FootnoteReference"/>
          <w:rFonts w:ascii="Arial" w:hAnsi="Arial" w:cs="Arial"/>
          <w:sz w:val="18"/>
          <w:szCs w:val="18"/>
        </w:rPr>
        <w:footnoteRef/>
      </w:r>
      <w:r w:rsidRPr="005A129C">
        <w:rPr>
          <w:rFonts w:ascii="Arial" w:hAnsi="Arial" w:cs="Arial"/>
          <w:sz w:val="18"/>
          <w:szCs w:val="18"/>
        </w:rPr>
        <w:t xml:space="preserve"> </w:t>
      </w:r>
      <w:r w:rsidRPr="005A129C">
        <w:rPr>
          <w:rFonts w:ascii="Arial" w:hAnsi="Arial" w:cs="Arial"/>
          <w:sz w:val="18"/>
          <w:szCs w:val="18"/>
          <w:lang w:val="en-AU"/>
        </w:rPr>
        <w:t xml:space="preserve">UN Human Rights Committee (HRC), General comment no. 36, Article 6 (Right to Life), 3 September 2019, CCPR/C/GC/35, accessed 28 October 2023, available at: </w:t>
      </w:r>
      <w:hyperlink r:id="rId6" w:history="1">
        <w:r w:rsidRPr="005A129C">
          <w:rPr>
            <w:rStyle w:val="Hyperlink"/>
            <w:rFonts w:ascii="Arial" w:hAnsi="Arial" w:cs="Arial"/>
            <w:sz w:val="18"/>
            <w:szCs w:val="18"/>
            <w:lang w:val="en-AU"/>
          </w:rPr>
          <w:t>https://www.refworld.org/docid/5e5e75e04.html</w:t>
        </w:r>
      </w:hyperlink>
      <w:r w:rsidRPr="005A129C">
        <w:rPr>
          <w:rFonts w:ascii="Arial" w:hAnsi="Arial" w:cs="Arial"/>
          <w:sz w:val="18"/>
          <w:szCs w:val="18"/>
          <w:lang w:val="en-AU"/>
        </w:rPr>
        <w:t xml:space="preserve">. </w:t>
      </w:r>
    </w:p>
  </w:footnote>
  <w:footnote w:id="9">
    <w:p w14:paraId="1A443DBE" w14:textId="77777777" w:rsidR="001223C9" w:rsidRPr="00FC5D6E" w:rsidRDefault="001223C9" w:rsidP="001223C9">
      <w:pPr>
        <w:pStyle w:val="FootnoteText"/>
        <w:rPr>
          <w:lang w:val="en-AU"/>
        </w:rPr>
      </w:pPr>
      <w:r>
        <w:rPr>
          <w:rStyle w:val="FootnoteReference"/>
        </w:rPr>
        <w:footnoteRef/>
      </w:r>
      <w:r>
        <w:t xml:space="preserve"> </w:t>
      </w:r>
      <w:r w:rsidRPr="00DE0072">
        <w:t>UN Human Rights Committee, General Comment No. 16: Article 17, the Right to Respect of Privacy, Family, Home and Correspondence, and Protection of Honour and Reputation (1988) (‘General Comment No. 16’) [1]</w:t>
      </w:r>
    </w:p>
  </w:footnote>
  <w:footnote w:id="10">
    <w:p w14:paraId="028136D2" w14:textId="77777777" w:rsidR="00146A27" w:rsidRPr="00FC5D6E" w:rsidRDefault="00146A27" w:rsidP="00146A27">
      <w:pPr>
        <w:pStyle w:val="FootnoteText"/>
        <w:rPr>
          <w:lang w:val="en-AU"/>
        </w:rPr>
      </w:pPr>
      <w:r w:rsidRPr="005A129C">
        <w:rPr>
          <w:rFonts w:ascii="Arial" w:hAnsi="Arial" w:cs="Arial"/>
          <w:sz w:val="18"/>
          <w:szCs w:val="18"/>
          <w:lang w:val="en-AU"/>
        </w:rPr>
        <w:footnoteRef/>
      </w:r>
      <w:r w:rsidRPr="005A129C">
        <w:rPr>
          <w:rFonts w:ascii="Arial" w:hAnsi="Arial" w:cs="Arial"/>
          <w:sz w:val="18"/>
          <w:szCs w:val="18"/>
          <w:lang w:val="en-AU"/>
        </w:rPr>
        <w:t xml:space="preserve"> UN Human Rights Committee, General Comment No. 35: Article 9 (Liberty and security of person) (2014)(‘General Comment No. 35’), [9].</w:t>
      </w:r>
    </w:p>
  </w:footnote>
  <w:footnote w:id="11">
    <w:p w14:paraId="7C1E7D62" w14:textId="77777777" w:rsidR="000772F0" w:rsidRPr="00EB1520" w:rsidRDefault="000772F0" w:rsidP="000772F0">
      <w:pPr>
        <w:pStyle w:val="FootnoteText"/>
        <w:rPr>
          <w:rFonts w:ascii="Arial" w:hAnsi="Arial" w:cs="Arial"/>
          <w:lang w:val="en-AU"/>
        </w:rPr>
      </w:pPr>
      <w:r w:rsidRPr="00EB1520">
        <w:rPr>
          <w:rStyle w:val="FootnoteReference"/>
          <w:rFonts w:ascii="Arial" w:hAnsi="Arial" w:cs="Arial"/>
        </w:rPr>
        <w:footnoteRef/>
      </w:r>
      <w:r w:rsidRPr="00EB1520">
        <w:rPr>
          <w:rFonts w:ascii="Arial" w:hAnsi="Arial" w:cs="Arial"/>
        </w:rPr>
        <w:t xml:space="preserve">Government Response – Privacy Act Review Report (2023): </w:t>
      </w:r>
      <w:hyperlink r:id="rId7" w:history="1">
        <w:r w:rsidRPr="00EB1520">
          <w:rPr>
            <w:rStyle w:val="Hyperlink"/>
            <w:rFonts w:ascii="Arial" w:hAnsi="Arial" w:cs="Arial"/>
          </w:rPr>
          <w:t>https://www.ag.gov.au/sites/default/files/2023-09/government-response-privacy-act-review-report.PDF</w:t>
        </w:r>
      </w:hyperlink>
      <w:r w:rsidRPr="00EB1520">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89E61" w14:textId="77777777" w:rsidR="00144486" w:rsidRDefault="001444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248FC" w14:textId="7C196E05" w:rsidR="004061DE" w:rsidRPr="0015745A" w:rsidRDefault="004061DE" w:rsidP="0015745A">
    <w:pPr>
      <w:pStyle w:val="Header"/>
      <w:jc w:val="center"/>
      <w:rPr>
        <w:b/>
        <w:bCs/>
        <w:color w:val="FF000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B8FAA" w14:textId="56959645" w:rsidR="00C91BEE" w:rsidRPr="002B2911" w:rsidRDefault="00C91BEE" w:rsidP="00A432FD">
    <w:pPr>
      <w:pStyle w:val="Header"/>
      <w:rPr>
        <w:b/>
        <w:bCs/>
        <w:color w:val="FF0000"/>
        <w:sz w:val="32"/>
        <w:szCs w:val="32"/>
      </w:rPr>
    </w:pPr>
  </w:p>
  <w:p w14:paraId="3EDFAC26" w14:textId="77777777" w:rsidR="0015745A" w:rsidRDefault="0015745A" w:rsidP="0015745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4705"/>
    <w:multiLevelType w:val="multilevel"/>
    <w:tmpl w:val="3E5A5EC2"/>
    <w:lvl w:ilvl="0">
      <w:start w:val="1"/>
      <w:numFmt w:val="bullet"/>
      <w:lvlText w:val=""/>
      <w:lvlJc w:val="left"/>
      <w:pPr>
        <w:ind w:left="680" w:hanging="340"/>
      </w:pPr>
      <w:rPr>
        <w:rFonts w:ascii="Symbol" w:hAnsi="Symbol" w:hint="default"/>
        <w:sz w:val="24"/>
      </w:rPr>
    </w:lvl>
    <w:lvl w:ilvl="1">
      <w:start w:val="1"/>
      <w:numFmt w:val="lowerLetter"/>
      <w:lvlText w:val="%2."/>
      <w:lvlJc w:val="left"/>
      <w:pPr>
        <w:ind w:left="1020" w:hanging="340"/>
      </w:pPr>
      <w:rPr>
        <w:sz w:val="24"/>
      </w:rPr>
    </w:lvl>
    <w:lvl w:ilvl="2">
      <w:start w:val="1"/>
      <w:numFmt w:val="lowerRoman"/>
      <w:lvlText w:val="%3."/>
      <w:lvlJc w:val="left"/>
      <w:pPr>
        <w:ind w:left="1360" w:hanging="340"/>
      </w:pPr>
      <w:rPr>
        <w:sz w:val="24"/>
      </w:rPr>
    </w:lvl>
    <w:lvl w:ilvl="3">
      <w:start w:val="1"/>
      <w:numFmt w:val="bullet"/>
      <w:lvlText w:val=""/>
      <w:lvlJc w:val="left"/>
      <w:pPr>
        <w:ind w:left="1720" w:hanging="360"/>
      </w:pPr>
      <w:rPr>
        <w:rFonts w:ascii="Symbol" w:hAnsi="Symbol" w:hint="default"/>
      </w:rPr>
    </w:lvl>
    <w:lvl w:ilvl="4">
      <w:start w:val="1"/>
      <w:numFmt w:val="decimal"/>
      <w:lvlText w:val="%5."/>
      <w:lvlJc w:val="left"/>
      <w:pPr>
        <w:ind w:left="2040" w:hanging="340"/>
      </w:pPr>
      <w:rPr>
        <w:sz w:val="24"/>
      </w:rPr>
    </w:lvl>
    <w:lvl w:ilvl="5">
      <w:start w:val="1"/>
      <w:numFmt w:val="none"/>
      <w:lvlText w:val=""/>
      <w:lvlJc w:val="left"/>
      <w:pPr>
        <w:ind w:left="2380" w:hanging="340"/>
      </w:pPr>
    </w:lvl>
    <w:lvl w:ilvl="6">
      <w:start w:val="1"/>
      <w:numFmt w:val="none"/>
      <w:lvlText w:val=""/>
      <w:lvlJc w:val="left"/>
      <w:pPr>
        <w:ind w:left="2720" w:hanging="340"/>
      </w:pPr>
    </w:lvl>
    <w:lvl w:ilvl="7">
      <w:start w:val="1"/>
      <w:numFmt w:val="none"/>
      <w:lvlText w:val=""/>
      <w:lvlJc w:val="left"/>
      <w:pPr>
        <w:ind w:left="3060" w:hanging="340"/>
      </w:pPr>
    </w:lvl>
    <w:lvl w:ilvl="8">
      <w:start w:val="1"/>
      <w:numFmt w:val="none"/>
      <w:lvlText w:val=""/>
      <w:lvlJc w:val="left"/>
      <w:pPr>
        <w:ind w:left="3400" w:hanging="340"/>
      </w:pPr>
    </w:lvl>
  </w:abstractNum>
  <w:abstractNum w:abstractNumId="1" w15:restartNumberingAfterBreak="0">
    <w:nsid w:val="04EB4AAB"/>
    <w:multiLevelType w:val="hybridMultilevel"/>
    <w:tmpl w:val="0868C084"/>
    <w:lvl w:ilvl="0" w:tplc="0D64000C">
      <w:start w:val="1"/>
      <w:numFmt w:val="decimal"/>
      <w:lvlText w:val="%1."/>
      <w:lvlJc w:val="left"/>
      <w:pPr>
        <w:ind w:left="360" w:hanging="360"/>
      </w:pPr>
      <w:rPr>
        <w:b/>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B491DD9"/>
    <w:multiLevelType w:val="hybridMultilevel"/>
    <w:tmpl w:val="9E8E5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B60854"/>
    <w:multiLevelType w:val="multilevel"/>
    <w:tmpl w:val="8012D5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4A35C6F"/>
    <w:multiLevelType w:val="hybridMultilevel"/>
    <w:tmpl w:val="C3506EBE"/>
    <w:lvl w:ilvl="0" w:tplc="C86438DA">
      <w:start w:val="1"/>
      <w:numFmt w:val="bullet"/>
      <w:lvlText w:val=""/>
      <w:lvlJc w:val="left"/>
      <w:pPr>
        <w:ind w:left="720" w:hanging="360"/>
      </w:pPr>
      <w:rPr>
        <w:rFonts w:ascii="Symbol" w:hAnsi="Symbol"/>
      </w:rPr>
    </w:lvl>
    <w:lvl w:ilvl="1" w:tplc="53D482E6">
      <w:start w:val="1"/>
      <w:numFmt w:val="bullet"/>
      <w:lvlText w:val=""/>
      <w:lvlJc w:val="left"/>
      <w:pPr>
        <w:ind w:left="720" w:hanging="360"/>
      </w:pPr>
      <w:rPr>
        <w:rFonts w:ascii="Symbol" w:hAnsi="Symbol"/>
      </w:rPr>
    </w:lvl>
    <w:lvl w:ilvl="2" w:tplc="1DCA0F3C">
      <w:start w:val="1"/>
      <w:numFmt w:val="bullet"/>
      <w:lvlText w:val=""/>
      <w:lvlJc w:val="left"/>
      <w:pPr>
        <w:ind w:left="720" w:hanging="360"/>
      </w:pPr>
      <w:rPr>
        <w:rFonts w:ascii="Symbol" w:hAnsi="Symbol"/>
      </w:rPr>
    </w:lvl>
    <w:lvl w:ilvl="3" w:tplc="C960EA20">
      <w:start w:val="1"/>
      <w:numFmt w:val="bullet"/>
      <w:lvlText w:val=""/>
      <w:lvlJc w:val="left"/>
      <w:pPr>
        <w:ind w:left="720" w:hanging="360"/>
      </w:pPr>
      <w:rPr>
        <w:rFonts w:ascii="Symbol" w:hAnsi="Symbol"/>
      </w:rPr>
    </w:lvl>
    <w:lvl w:ilvl="4" w:tplc="69F2E4FA">
      <w:start w:val="1"/>
      <w:numFmt w:val="bullet"/>
      <w:lvlText w:val=""/>
      <w:lvlJc w:val="left"/>
      <w:pPr>
        <w:ind w:left="720" w:hanging="360"/>
      </w:pPr>
      <w:rPr>
        <w:rFonts w:ascii="Symbol" w:hAnsi="Symbol"/>
      </w:rPr>
    </w:lvl>
    <w:lvl w:ilvl="5" w:tplc="D69466BE">
      <w:start w:val="1"/>
      <w:numFmt w:val="bullet"/>
      <w:lvlText w:val=""/>
      <w:lvlJc w:val="left"/>
      <w:pPr>
        <w:ind w:left="720" w:hanging="360"/>
      </w:pPr>
      <w:rPr>
        <w:rFonts w:ascii="Symbol" w:hAnsi="Symbol"/>
      </w:rPr>
    </w:lvl>
    <w:lvl w:ilvl="6" w:tplc="26B68C70">
      <w:start w:val="1"/>
      <w:numFmt w:val="bullet"/>
      <w:lvlText w:val=""/>
      <w:lvlJc w:val="left"/>
      <w:pPr>
        <w:ind w:left="720" w:hanging="360"/>
      </w:pPr>
      <w:rPr>
        <w:rFonts w:ascii="Symbol" w:hAnsi="Symbol"/>
      </w:rPr>
    </w:lvl>
    <w:lvl w:ilvl="7" w:tplc="17E4FB5E">
      <w:start w:val="1"/>
      <w:numFmt w:val="bullet"/>
      <w:lvlText w:val=""/>
      <w:lvlJc w:val="left"/>
      <w:pPr>
        <w:ind w:left="720" w:hanging="360"/>
      </w:pPr>
      <w:rPr>
        <w:rFonts w:ascii="Symbol" w:hAnsi="Symbol"/>
      </w:rPr>
    </w:lvl>
    <w:lvl w:ilvl="8" w:tplc="E8AC8D08">
      <w:start w:val="1"/>
      <w:numFmt w:val="bullet"/>
      <w:lvlText w:val=""/>
      <w:lvlJc w:val="left"/>
      <w:pPr>
        <w:ind w:left="720" w:hanging="360"/>
      </w:pPr>
      <w:rPr>
        <w:rFonts w:ascii="Symbol" w:hAnsi="Symbol"/>
      </w:rPr>
    </w:lvl>
  </w:abstractNum>
  <w:abstractNum w:abstractNumId="5" w15:restartNumberingAfterBreak="0">
    <w:nsid w:val="18867CA9"/>
    <w:multiLevelType w:val="multilevel"/>
    <w:tmpl w:val="E982CC60"/>
    <w:lvl w:ilvl="0">
      <w:start w:val="1"/>
      <w:numFmt w:val="decimal"/>
      <w:lvlText w:val="%1)"/>
      <w:lvlJc w:val="left"/>
      <w:pPr>
        <w:ind w:left="340" w:hanging="340"/>
      </w:pPr>
      <w:rPr>
        <w:rFonts w:hint="default"/>
        <w:i w:val="0"/>
        <w:iCs w:val="0"/>
        <w:sz w:val="24"/>
      </w:rPr>
    </w:lvl>
    <w:lvl w:ilvl="1">
      <w:start w:val="1"/>
      <w:numFmt w:val="bullet"/>
      <w:lvlText w:val=""/>
      <w:lvlJc w:val="left"/>
      <w:pPr>
        <w:ind w:left="700" w:hanging="360"/>
      </w:pPr>
      <w:rPr>
        <w:rFonts w:ascii="Symbol" w:hAnsi="Symbol" w:hint="default"/>
      </w:rPr>
    </w:lvl>
    <w:lvl w:ilvl="2">
      <w:start w:val="1"/>
      <w:numFmt w:val="lowerRoman"/>
      <w:lvlText w:val="%3."/>
      <w:lvlJc w:val="left"/>
      <w:pPr>
        <w:ind w:left="1020" w:hanging="340"/>
      </w:pPr>
      <w:rPr>
        <w:rFonts w:hint="default"/>
        <w:sz w:val="24"/>
      </w:rPr>
    </w:lvl>
    <w:lvl w:ilvl="3">
      <w:start w:val="1"/>
      <w:numFmt w:val="upperLetter"/>
      <w:lvlText w:val="(%4)"/>
      <w:lvlJc w:val="left"/>
      <w:pPr>
        <w:ind w:left="1474" w:hanging="454"/>
      </w:pPr>
      <w:rPr>
        <w:rFonts w:hint="default"/>
        <w:sz w:val="24"/>
      </w:rPr>
    </w:lvl>
    <w:lvl w:ilvl="4">
      <w:start w:val="1"/>
      <w:numFmt w:val="decimal"/>
      <w:lvlText w:val="%5."/>
      <w:lvlJc w:val="left"/>
      <w:pPr>
        <w:ind w:left="1700" w:hanging="340"/>
      </w:pPr>
      <w:rPr>
        <w:rFonts w:hint="default"/>
        <w:sz w:val="24"/>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6" w15:restartNumberingAfterBreak="0">
    <w:nsid w:val="1C505A65"/>
    <w:multiLevelType w:val="hybridMultilevel"/>
    <w:tmpl w:val="4A3EB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FE11A1"/>
    <w:multiLevelType w:val="hybridMultilevel"/>
    <w:tmpl w:val="A4B2B34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8C70300"/>
    <w:multiLevelType w:val="hybridMultilevel"/>
    <w:tmpl w:val="00F28D78"/>
    <w:lvl w:ilvl="0" w:tplc="BE100C18">
      <w:start w:val="1"/>
      <w:numFmt w:val="decimal"/>
      <w:lvlText w:val="%1."/>
      <w:lvlJc w:val="left"/>
      <w:pPr>
        <w:ind w:left="360" w:hanging="360"/>
      </w:pPr>
      <w:rPr>
        <w:b/>
        <w:bCs/>
        <w:i/>
        <w:i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9000FDD"/>
    <w:multiLevelType w:val="hybridMultilevel"/>
    <w:tmpl w:val="95B01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6B0671"/>
    <w:multiLevelType w:val="hybridMultilevel"/>
    <w:tmpl w:val="8EC0060C"/>
    <w:lvl w:ilvl="0" w:tplc="5574DD24">
      <w:start w:val="1"/>
      <w:numFmt w:val="bullet"/>
      <w:lvlText w:val=""/>
      <w:lvlJc w:val="left"/>
      <w:pPr>
        <w:ind w:left="720" w:hanging="360"/>
      </w:pPr>
      <w:rPr>
        <w:rFonts w:ascii="Symbol" w:hAnsi="Symbol"/>
      </w:rPr>
    </w:lvl>
    <w:lvl w:ilvl="1" w:tplc="62F82444">
      <w:start w:val="1"/>
      <w:numFmt w:val="bullet"/>
      <w:lvlText w:val=""/>
      <w:lvlJc w:val="left"/>
      <w:pPr>
        <w:ind w:left="720" w:hanging="360"/>
      </w:pPr>
      <w:rPr>
        <w:rFonts w:ascii="Symbol" w:hAnsi="Symbol"/>
      </w:rPr>
    </w:lvl>
    <w:lvl w:ilvl="2" w:tplc="B378B3B0">
      <w:start w:val="1"/>
      <w:numFmt w:val="bullet"/>
      <w:lvlText w:val=""/>
      <w:lvlJc w:val="left"/>
      <w:pPr>
        <w:ind w:left="720" w:hanging="360"/>
      </w:pPr>
      <w:rPr>
        <w:rFonts w:ascii="Symbol" w:hAnsi="Symbol"/>
      </w:rPr>
    </w:lvl>
    <w:lvl w:ilvl="3" w:tplc="16041DE2">
      <w:start w:val="1"/>
      <w:numFmt w:val="bullet"/>
      <w:lvlText w:val=""/>
      <w:lvlJc w:val="left"/>
      <w:pPr>
        <w:ind w:left="720" w:hanging="360"/>
      </w:pPr>
      <w:rPr>
        <w:rFonts w:ascii="Symbol" w:hAnsi="Symbol"/>
      </w:rPr>
    </w:lvl>
    <w:lvl w:ilvl="4" w:tplc="E1BA504A">
      <w:start w:val="1"/>
      <w:numFmt w:val="bullet"/>
      <w:lvlText w:val=""/>
      <w:lvlJc w:val="left"/>
      <w:pPr>
        <w:ind w:left="720" w:hanging="360"/>
      </w:pPr>
      <w:rPr>
        <w:rFonts w:ascii="Symbol" w:hAnsi="Symbol"/>
      </w:rPr>
    </w:lvl>
    <w:lvl w:ilvl="5" w:tplc="A6684E42">
      <w:start w:val="1"/>
      <w:numFmt w:val="bullet"/>
      <w:lvlText w:val=""/>
      <w:lvlJc w:val="left"/>
      <w:pPr>
        <w:ind w:left="720" w:hanging="360"/>
      </w:pPr>
      <w:rPr>
        <w:rFonts w:ascii="Symbol" w:hAnsi="Symbol"/>
      </w:rPr>
    </w:lvl>
    <w:lvl w:ilvl="6" w:tplc="BF244234">
      <w:start w:val="1"/>
      <w:numFmt w:val="bullet"/>
      <w:lvlText w:val=""/>
      <w:lvlJc w:val="left"/>
      <w:pPr>
        <w:ind w:left="720" w:hanging="360"/>
      </w:pPr>
      <w:rPr>
        <w:rFonts w:ascii="Symbol" w:hAnsi="Symbol"/>
      </w:rPr>
    </w:lvl>
    <w:lvl w:ilvl="7" w:tplc="0EF08080">
      <w:start w:val="1"/>
      <w:numFmt w:val="bullet"/>
      <w:lvlText w:val=""/>
      <w:lvlJc w:val="left"/>
      <w:pPr>
        <w:ind w:left="720" w:hanging="360"/>
      </w:pPr>
      <w:rPr>
        <w:rFonts w:ascii="Symbol" w:hAnsi="Symbol"/>
      </w:rPr>
    </w:lvl>
    <w:lvl w:ilvl="8" w:tplc="1FA8DE98">
      <w:start w:val="1"/>
      <w:numFmt w:val="bullet"/>
      <w:lvlText w:val=""/>
      <w:lvlJc w:val="left"/>
      <w:pPr>
        <w:ind w:left="720" w:hanging="360"/>
      </w:pPr>
      <w:rPr>
        <w:rFonts w:ascii="Symbol" w:hAnsi="Symbol"/>
      </w:rPr>
    </w:lvl>
  </w:abstractNum>
  <w:abstractNum w:abstractNumId="11" w15:restartNumberingAfterBreak="0">
    <w:nsid w:val="2BFE612F"/>
    <w:multiLevelType w:val="hybridMultilevel"/>
    <w:tmpl w:val="4808D77C"/>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2" w15:restartNumberingAfterBreak="0">
    <w:nsid w:val="2C0916BC"/>
    <w:multiLevelType w:val="hybridMultilevel"/>
    <w:tmpl w:val="A2F05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5872B8"/>
    <w:multiLevelType w:val="hybridMultilevel"/>
    <w:tmpl w:val="39944286"/>
    <w:lvl w:ilvl="0" w:tplc="6DBAF65E">
      <w:start w:val="1"/>
      <w:numFmt w:val="decimal"/>
      <w:pStyle w:val="Numberedlist"/>
      <w:lvlText w:val="%1."/>
      <w:lvlJc w:val="left"/>
      <w:pPr>
        <w:ind w:left="720" w:hanging="360"/>
      </w:pPr>
      <w:rPr>
        <w:sz w:val="24"/>
        <w:szCs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4B94DC8"/>
    <w:multiLevelType w:val="multilevel"/>
    <w:tmpl w:val="A06AA306"/>
    <w:lvl w:ilvl="0">
      <w:start w:val="1"/>
      <w:numFmt w:val="decimal"/>
      <w:lvlText w:val="%1)"/>
      <w:lvlJc w:val="left"/>
      <w:pPr>
        <w:ind w:left="340" w:hanging="340"/>
      </w:pPr>
      <w:rPr>
        <w:rFonts w:hint="default"/>
        <w:i w:val="0"/>
        <w:iCs w:val="0"/>
        <w:sz w:val="24"/>
      </w:rPr>
    </w:lvl>
    <w:lvl w:ilvl="1">
      <w:start w:val="1"/>
      <w:numFmt w:val="lowerLetter"/>
      <w:lvlText w:val="%2."/>
      <w:lvlJc w:val="left"/>
      <w:pPr>
        <w:ind w:left="680" w:hanging="340"/>
      </w:pPr>
      <w:rPr>
        <w:rFonts w:hint="default"/>
        <w:i w:val="0"/>
        <w:iCs w:val="0"/>
        <w:sz w:val="24"/>
      </w:rPr>
    </w:lvl>
    <w:lvl w:ilvl="2">
      <w:start w:val="1"/>
      <w:numFmt w:val="lowerRoman"/>
      <w:lvlText w:val="%3."/>
      <w:lvlJc w:val="left"/>
      <w:pPr>
        <w:ind w:left="1020" w:hanging="340"/>
      </w:pPr>
      <w:rPr>
        <w:rFonts w:hint="default"/>
        <w:sz w:val="24"/>
      </w:rPr>
    </w:lvl>
    <w:lvl w:ilvl="3">
      <w:start w:val="1"/>
      <w:numFmt w:val="upperLetter"/>
      <w:lvlText w:val="(%4)"/>
      <w:lvlJc w:val="left"/>
      <w:pPr>
        <w:ind w:left="1474" w:hanging="454"/>
      </w:pPr>
      <w:rPr>
        <w:rFonts w:hint="default"/>
        <w:sz w:val="24"/>
      </w:rPr>
    </w:lvl>
    <w:lvl w:ilvl="4">
      <w:start w:val="1"/>
      <w:numFmt w:val="decimal"/>
      <w:lvlText w:val="%5."/>
      <w:lvlJc w:val="left"/>
      <w:pPr>
        <w:ind w:left="1700" w:hanging="340"/>
      </w:pPr>
      <w:rPr>
        <w:rFonts w:hint="default"/>
        <w:sz w:val="24"/>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3BB01BA2"/>
    <w:multiLevelType w:val="hybridMultilevel"/>
    <w:tmpl w:val="B0AEB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40330E"/>
    <w:multiLevelType w:val="multilevel"/>
    <w:tmpl w:val="B5809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B2214"/>
    <w:multiLevelType w:val="hybridMultilevel"/>
    <w:tmpl w:val="0F322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115931"/>
    <w:multiLevelType w:val="multilevel"/>
    <w:tmpl w:val="F342C7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F470BE"/>
    <w:multiLevelType w:val="hybridMultilevel"/>
    <w:tmpl w:val="15D00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CC15FA"/>
    <w:multiLevelType w:val="hybridMultilevel"/>
    <w:tmpl w:val="7326057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4E246A4"/>
    <w:multiLevelType w:val="hybridMultilevel"/>
    <w:tmpl w:val="9C4C7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3E4FFD"/>
    <w:multiLevelType w:val="hybridMultilevel"/>
    <w:tmpl w:val="F294A3A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A642BCF"/>
    <w:multiLevelType w:val="hybridMultilevel"/>
    <w:tmpl w:val="BCA80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F378FD"/>
    <w:multiLevelType w:val="hybridMultilevel"/>
    <w:tmpl w:val="2F9CBA10"/>
    <w:lvl w:ilvl="0" w:tplc="69987DFE">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3762301"/>
    <w:multiLevelType w:val="multilevel"/>
    <w:tmpl w:val="D98C5D96"/>
    <w:lvl w:ilvl="0">
      <w:start w:val="1"/>
      <w:numFmt w:val="decimal"/>
      <w:lvlText w:val="%1)"/>
      <w:lvlJc w:val="left"/>
      <w:pPr>
        <w:ind w:left="340" w:hanging="340"/>
      </w:pPr>
      <w:rPr>
        <w:rFonts w:hint="default"/>
        <w:sz w:val="24"/>
      </w:rPr>
    </w:lvl>
    <w:lvl w:ilvl="1">
      <w:start w:val="1"/>
      <w:numFmt w:val="lowerLetter"/>
      <w:lvlText w:val="%2."/>
      <w:lvlJc w:val="left"/>
      <w:pPr>
        <w:ind w:left="680" w:hanging="340"/>
      </w:pPr>
      <w:rPr>
        <w:rFonts w:hint="default"/>
        <w:sz w:val="24"/>
      </w:rPr>
    </w:lvl>
    <w:lvl w:ilvl="2">
      <w:start w:val="1"/>
      <w:numFmt w:val="lowerRoman"/>
      <w:lvlText w:val="%3."/>
      <w:lvlJc w:val="left"/>
      <w:pPr>
        <w:ind w:left="1020" w:hanging="340"/>
      </w:pPr>
      <w:rPr>
        <w:rFonts w:hint="default"/>
        <w:sz w:val="24"/>
      </w:rPr>
    </w:lvl>
    <w:lvl w:ilvl="3">
      <w:start w:val="1"/>
      <w:numFmt w:val="upperLetter"/>
      <w:lvlText w:val="(%4)"/>
      <w:lvlJc w:val="left"/>
      <w:pPr>
        <w:ind w:left="1360" w:hanging="340"/>
      </w:pPr>
      <w:rPr>
        <w:rFonts w:hint="default"/>
        <w:sz w:val="24"/>
      </w:rPr>
    </w:lvl>
    <w:lvl w:ilvl="4">
      <w:start w:val="1"/>
      <w:numFmt w:val="decimal"/>
      <w:lvlText w:val="%5."/>
      <w:lvlJc w:val="left"/>
      <w:pPr>
        <w:ind w:left="1700" w:hanging="340"/>
      </w:pPr>
      <w:rPr>
        <w:rFonts w:hint="default"/>
        <w:sz w:val="24"/>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6" w15:restartNumberingAfterBreak="0">
    <w:nsid w:val="567051C0"/>
    <w:multiLevelType w:val="hybridMultilevel"/>
    <w:tmpl w:val="17F68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532146"/>
    <w:multiLevelType w:val="multilevel"/>
    <w:tmpl w:val="536A61F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8" w15:restartNumberingAfterBreak="0">
    <w:nsid w:val="60C944B9"/>
    <w:multiLevelType w:val="hybridMultilevel"/>
    <w:tmpl w:val="A4B2B34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2D6022A"/>
    <w:multiLevelType w:val="hybridMultilevel"/>
    <w:tmpl w:val="568CC30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8610E95"/>
    <w:multiLevelType w:val="multilevel"/>
    <w:tmpl w:val="5FA6E0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4721C1"/>
    <w:multiLevelType w:val="hybridMultilevel"/>
    <w:tmpl w:val="55BEE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B82BFE"/>
    <w:multiLevelType w:val="multilevel"/>
    <w:tmpl w:val="C38C5F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781623B"/>
    <w:multiLevelType w:val="hybridMultilevel"/>
    <w:tmpl w:val="90AE0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2B672E"/>
    <w:multiLevelType w:val="hybridMultilevel"/>
    <w:tmpl w:val="16AC158A"/>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35" w15:restartNumberingAfterBreak="0">
    <w:nsid w:val="7ABA1488"/>
    <w:multiLevelType w:val="multilevel"/>
    <w:tmpl w:val="C92631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2A5047"/>
    <w:multiLevelType w:val="hybridMultilevel"/>
    <w:tmpl w:val="08E46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C5C1810"/>
    <w:multiLevelType w:val="hybridMultilevel"/>
    <w:tmpl w:val="A9968FEA"/>
    <w:lvl w:ilvl="0" w:tplc="B1BAD6C2">
      <w:start w:val="1"/>
      <w:numFmt w:val="decimal"/>
      <w:lvlText w:val="%1."/>
      <w:lvlJc w:val="left"/>
      <w:pPr>
        <w:tabs>
          <w:tab w:val="num" w:pos="567"/>
        </w:tabs>
        <w:ind w:left="0" w:firstLine="0"/>
      </w:pPr>
      <w:rPr>
        <w:rFonts w:asciiTheme="minorHAnsi" w:hAnsiTheme="minorHAnsi" w:hint="default"/>
        <w:b w:val="0"/>
        <w:bCs/>
        <w:i w:val="0"/>
        <w:iCs/>
      </w:rPr>
    </w:lvl>
    <w:lvl w:ilvl="1" w:tplc="0F00AEA2">
      <w:start w:val="1"/>
      <w:numFmt w:val="lowerLetter"/>
      <w:lvlText w:val="%2."/>
      <w:lvlJc w:val="left"/>
      <w:pPr>
        <w:tabs>
          <w:tab w:val="num" w:pos="1134"/>
        </w:tabs>
        <w:ind w:left="567" w:firstLine="0"/>
      </w:pPr>
      <w:rPr>
        <w:rFonts w:hint="default"/>
      </w:rPr>
    </w:lvl>
    <w:lvl w:ilvl="2" w:tplc="FB102CCA">
      <w:start w:val="1"/>
      <w:numFmt w:val="lowerRoman"/>
      <w:lvlText w:val="%3."/>
      <w:lvlJc w:val="right"/>
      <w:pPr>
        <w:tabs>
          <w:tab w:val="num" w:pos="1701"/>
        </w:tabs>
        <w:ind w:left="1276" w:firstLine="0"/>
      </w:pPr>
      <w:rPr>
        <w:rFonts w:hint="default"/>
      </w:r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8" w15:restartNumberingAfterBreak="0">
    <w:nsid w:val="7F6D48FC"/>
    <w:multiLevelType w:val="hybridMultilevel"/>
    <w:tmpl w:val="56DCAC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7FA36BDB"/>
    <w:multiLevelType w:val="multilevel"/>
    <w:tmpl w:val="DAC8B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FDC5FF4"/>
    <w:multiLevelType w:val="hybridMultilevel"/>
    <w:tmpl w:val="A4221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85321631">
    <w:abstractNumId w:val="1"/>
  </w:num>
  <w:num w:numId="2" w16cid:durableId="943070485">
    <w:abstractNumId w:val="37"/>
  </w:num>
  <w:num w:numId="3" w16cid:durableId="1525169482">
    <w:abstractNumId w:val="36"/>
  </w:num>
  <w:num w:numId="4" w16cid:durableId="1655601878">
    <w:abstractNumId w:val="20"/>
  </w:num>
  <w:num w:numId="5" w16cid:durableId="36511626">
    <w:abstractNumId w:val="7"/>
  </w:num>
  <w:num w:numId="6" w16cid:durableId="945119205">
    <w:abstractNumId w:val="8"/>
  </w:num>
  <w:num w:numId="7" w16cid:durableId="55327615">
    <w:abstractNumId w:val="10"/>
  </w:num>
  <w:num w:numId="8" w16cid:durableId="1804931531">
    <w:abstractNumId w:val="4"/>
  </w:num>
  <w:num w:numId="9" w16cid:durableId="28070473">
    <w:abstractNumId w:val="0"/>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400169">
    <w:abstractNumId w:val="26"/>
  </w:num>
  <w:num w:numId="11" w16cid:durableId="1293369276">
    <w:abstractNumId w:val="25"/>
  </w:num>
  <w:num w:numId="12" w16cid:durableId="163518806">
    <w:abstractNumId w:val="9"/>
  </w:num>
  <w:num w:numId="13" w16cid:durableId="43141092">
    <w:abstractNumId w:val="19"/>
  </w:num>
  <w:num w:numId="14" w16cid:durableId="1744373789">
    <w:abstractNumId w:val="33"/>
  </w:num>
  <w:num w:numId="15" w16cid:durableId="1444685964">
    <w:abstractNumId w:val="23"/>
  </w:num>
  <w:num w:numId="16" w16cid:durableId="435831559">
    <w:abstractNumId w:val="11"/>
  </w:num>
  <w:num w:numId="17" w16cid:durableId="731732601">
    <w:abstractNumId w:val="6"/>
  </w:num>
  <w:num w:numId="18" w16cid:durableId="1874151370">
    <w:abstractNumId w:val="29"/>
  </w:num>
  <w:num w:numId="19" w16cid:durableId="1650286191">
    <w:abstractNumId w:val="5"/>
  </w:num>
  <w:num w:numId="20" w16cid:durableId="680201534">
    <w:abstractNumId w:val="13"/>
  </w:num>
  <w:num w:numId="21" w16cid:durableId="1659066636">
    <w:abstractNumId w:val="16"/>
  </w:num>
  <w:num w:numId="22" w16cid:durableId="1031415423">
    <w:abstractNumId w:val="38"/>
  </w:num>
  <w:num w:numId="23" w16cid:durableId="609433197">
    <w:abstractNumId w:val="15"/>
  </w:num>
  <w:num w:numId="24" w16cid:durableId="892815929">
    <w:abstractNumId w:val="12"/>
  </w:num>
  <w:num w:numId="25" w16cid:durableId="1006789291">
    <w:abstractNumId w:val="40"/>
  </w:num>
  <w:num w:numId="26" w16cid:durableId="518662668">
    <w:abstractNumId w:val="21"/>
  </w:num>
  <w:num w:numId="27" w16cid:durableId="1202018806">
    <w:abstractNumId w:val="22"/>
  </w:num>
  <w:num w:numId="28" w16cid:durableId="939683086">
    <w:abstractNumId w:val="14"/>
  </w:num>
  <w:num w:numId="29" w16cid:durableId="1415125963">
    <w:abstractNumId w:val="31"/>
  </w:num>
  <w:num w:numId="30" w16cid:durableId="1771316483">
    <w:abstractNumId w:val="2"/>
  </w:num>
  <w:num w:numId="31" w16cid:durableId="1140996599">
    <w:abstractNumId w:val="34"/>
  </w:num>
  <w:num w:numId="32" w16cid:durableId="1116409341">
    <w:abstractNumId w:val="27"/>
  </w:num>
  <w:num w:numId="33" w16cid:durableId="991637639">
    <w:abstractNumId w:val="30"/>
  </w:num>
  <w:num w:numId="34" w16cid:durableId="721947319">
    <w:abstractNumId w:val="35"/>
  </w:num>
  <w:num w:numId="35" w16cid:durableId="71240437">
    <w:abstractNumId w:val="18"/>
  </w:num>
  <w:num w:numId="36" w16cid:durableId="1898081937">
    <w:abstractNumId w:val="39"/>
  </w:num>
  <w:num w:numId="37" w16cid:durableId="559364739">
    <w:abstractNumId w:val="3"/>
  </w:num>
  <w:num w:numId="38" w16cid:durableId="252054886">
    <w:abstractNumId w:val="32"/>
  </w:num>
  <w:num w:numId="39" w16cid:durableId="235943744">
    <w:abstractNumId w:val="17"/>
  </w:num>
  <w:num w:numId="40" w16cid:durableId="686951756">
    <w:abstractNumId w:val="28"/>
  </w:num>
  <w:num w:numId="41" w16cid:durableId="14113476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2F4"/>
    <w:rsid w:val="000007DF"/>
    <w:rsid w:val="000015A2"/>
    <w:rsid w:val="00001AA1"/>
    <w:rsid w:val="00001D6B"/>
    <w:rsid w:val="00002003"/>
    <w:rsid w:val="0000245A"/>
    <w:rsid w:val="00002818"/>
    <w:rsid w:val="00002824"/>
    <w:rsid w:val="0000298F"/>
    <w:rsid w:val="000029A3"/>
    <w:rsid w:val="00002D11"/>
    <w:rsid w:val="00002F7F"/>
    <w:rsid w:val="0000340D"/>
    <w:rsid w:val="00004E1D"/>
    <w:rsid w:val="00005414"/>
    <w:rsid w:val="00005E10"/>
    <w:rsid w:val="00006151"/>
    <w:rsid w:val="000063B3"/>
    <w:rsid w:val="0000640E"/>
    <w:rsid w:val="00006FE9"/>
    <w:rsid w:val="0000701B"/>
    <w:rsid w:val="000070C1"/>
    <w:rsid w:val="000074BF"/>
    <w:rsid w:val="00007A98"/>
    <w:rsid w:val="00007DB3"/>
    <w:rsid w:val="000100CE"/>
    <w:rsid w:val="00011314"/>
    <w:rsid w:val="00012319"/>
    <w:rsid w:val="000126D0"/>
    <w:rsid w:val="000127D7"/>
    <w:rsid w:val="000132BA"/>
    <w:rsid w:val="000136F4"/>
    <w:rsid w:val="00013D65"/>
    <w:rsid w:val="00014122"/>
    <w:rsid w:val="0001414A"/>
    <w:rsid w:val="00014257"/>
    <w:rsid w:val="000144DC"/>
    <w:rsid w:val="00014C3F"/>
    <w:rsid w:val="00016883"/>
    <w:rsid w:val="00016AD2"/>
    <w:rsid w:val="00016EC2"/>
    <w:rsid w:val="00016F14"/>
    <w:rsid w:val="00017090"/>
    <w:rsid w:val="0002003F"/>
    <w:rsid w:val="00020E52"/>
    <w:rsid w:val="00021E7B"/>
    <w:rsid w:val="00022C58"/>
    <w:rsid w:val="00022DF7"/>
    <w:rsid w:val="00023256"/>
    <w:rsid w:val="00023761"/>
    <w:rsid w:val="0002398E"/>
    <w:rsid w:val="00025616"/>
    <w:rsid w:val="000256D6"/>
    <w:rsid w:val="000259F1"/>
    <w:rsid w:val="00025CD3"/>
    <w:rsid w:val="00025F0F"/>
    <w:rsid w:val="00026731"/>
    <w:rsid w:val="00026D5A"/>
    <w:rsid w:val="00026EE3"/>
    <w:rsid w:val="00027664"/>
    <w:rsid w:val="00027785"/>
    <w:rsid w:val="00027B5E"/>
    <w:rsid w:val="00030792"/>
    <w:rsid w:val="00030AA3"/>
    <w:rsid w:val="00030E02"/>
    <w:rsid w:val="00031472"/>
    <w:rsid w:val="000314BF"/>
    <w:rsid w:val="000320FC"/>
    <w:rsid w:val="0003229A"/>
    <w:rsid w:val="000322FF"/>
    <w:rsid w:val="0003242A"/>
    <w:rsid w:val="000324C9"/>
    <w:rsid w:val="000324F5"/>
    <w:rsid w:val="0003255B"/>
    <w:rsid w:val="000325C3"/>
    <w:rsid w:val="00032A64"/>
    <w:rsid w:val="00032B0D"/>
    <w:rsid w:val="000330B9"/>
    <w:rsid w:val="0003340D"/>
    <w:rsid w:val="00033BB4"/>
    <w:rsid w:val="00033E2E"/>
    <w:rsid w:val="00034405"/>
    <w:rsid w:val="000347A2"/>
    <w:rsid w:val="00034801"/>
    <w:rsid w:val="00034D7B"/>
    <w:rsid w:val="00035827"/>
    <w:rsid w:val="00035DE0"/>
    <w:rsid w:val="000360EE"/>
    <w:rsid w:val="000364CC"/>
    <w:rsid w:val="000367B0"/>
    <w:rsid w:val="000367E9"/>
    <w:rsid w:val="000368D1"/>
    <w:rsid w:val="0003699C"/>
    <w:rsid w:val="00037985"/>
    <w:rsid w:val="00037C68"/>
    <w:rsid w:val="00040C3C"/>
    <w:rsid w:val="000410CE"/>
    <w:rsid w:val="000410E1"/>
    <w:rsid w:val="00042B2B"/>
    <w:rsid w:val="00042C86"/>
    <w:rsid w:val="00042D27"/>
    <w:rsid w:val="00042D5B"/>
    <w:rsid w:val="000431A0"/>
    <w:rsid w:val="0004322E"/>
    <w:rsid w:val="0004325C"/>
    <w:rsid w:val="00043555"/>
    <w:rsid w:val="00044124"/>
    <w:rsid w:val="00044131"/>
    <w:rsid w:val="00044145"/>
    <w:rsid w:val="000442F0"/>
    <w:rsid w:val="000447DC"/>
    <w:rsid w:val="00044DF7"/>
    <w:rsid w:val="0004534A"/>
    <w:rsid w:val="000458DD"/>
    <w:rsid w:val="0004696D"/>
    <w:rsid w:val="00047427"/>
    <w:rsid w:val="000477AF"/>
    <w:rsid w:val="0005058C"/>
    <w:rsid w:val="000505BC"/>
    <w:rsid w:val="000507FD"/>
    <w:rsid w:val="00050A31"/>
    <w:rsid w:val="00050DA8"/>
    <w:rsid w:val="00050DCA"/>
    <w:rsid w:val="00050E79"/>
    <w:rsid w:val="00051201"/>
    <w:rsid w:val="000512CA"/>
    <w:rsid w:val="000513E3"/>
    <w:rsid w:val="000521DF"/>
    <w:rsid w:val="000544CD"/>
    <w:rsid w:val="0005510F"/>
    <w:rsid w:val="00055152"/>
    <w:rsid w:val="00055186"/>
    <w:rsid w:val="0005569D"/>
    <w:rsid w:val="00056FDD"/>
    <w:rsid w:val="00057C92"/>
    <w:rsid w:val="00060C5F"/>
    <w:rsid w:val="000611AD"/>
    <w:rsid w:val="0006151D"/>
    <w:rsid w:val="00061980"/>
    <w:rsid w:val="00061ED5"/>
    <w:rsid w:val="000622FB"/>
    <w:rsid w:val="0006303B"/>
    <w:rsid w:val="0006409B"/>
    <w:rsid w:val="000641E8"/>
    <w:rsid w:val="00064406"/>
    <w:rsid w:val="00064B12"/>
    <w:rsid w:val="00065482"/>
    <w:rsid w:val="00065864"/>
    <w:rsid w:val="000666DB"/>
    <w:rsid w:val="000672B7"/>
    <w:rsid w:val="00067653"/>
    <w:rsid w:val="000703F2"/>
    <w:rsid w:val="00071200"/>
    <w:rsid w:val="00071790"/>
    <w:rsid w:val="00072B26"/>
    <w:rsid w:val="00072B6B"/>
    <w:rsid w:val="00072B72"/>
    <w:rsid w:val="00072C4C"/>
    <w:rsid w:val="00073334"/>
    <w:rsid w:val="000735A4"/>
    <w:rsid w:val="00073913"/>
    <w:rsid w:val="000744FE"/>
    <w:rsid w:val="000748DF"/>
    <w:rsid w:val="00074C49"/>
    <w:rsid w:val="00074EF1"/>
    <w:rsid w:val="00075279"/>
    <w:rsid w:val="00077028"/>
    <w:rsid w:val="000772F0"/>
    <w:rsid w:val="000775E2"/>
    <w:rsid w:val="000778C9"/>
    <w:rsid w:val="00077D84"/>
    <w:rsid w:val="00080DD7"/>
    <w:rsid w:val="00080FF5"/>
    <w:rsid w:val="00081679"/>
    <w:rsid w:val="00081B24"/>
    <w:rsid w:val="00082DCF"/>
    <w:rsid w:val="000831E1"/>
    <w:rsid w:val="00083769"/>
    <w:rsid w:val="000838A3"/>
    <w:rsid w:val="00083C4F"/>
    <w:rsid w:val="000846CC"/>
    <w:rsid w:val="00085611"/>
    <w:rsid w:val="000860BF"/>
    <w:rsid w:val="00086238"/>
    <w:rsid w:val="00086A3B"/>
    <w:rsid w:val="00086E26"/>
    <w:rsid w:val="00086F1E"/>
    <w:rsid w:val="000874C6"/>
    <w:rsid w:val="000877EE"/>
    <w:rsid w:val="00087C6B"/>
    <w:rsid w:val="00087ECB"/>
    <w:rsid w:val="000902DA"/>
    <w:rsid w:val="000915FB"/>
    <w:rsid w:val="00091AF5"/>
    <w:rsid w:val="00091B2C"/>
    <w:rsid w:val="00091B49"/>
    <w:rsid w:val="00091F9B"/>
    <w:rsid w:val="0009208A"/>
    <w:rsid w:val="00092501"/>
    <w:rsid w:val="00093248"/>
    <w:rsid w:val="0009382F"/>
    <w:rsid w:val="00094053"/>
    <w:rsid w:val="00094B21"/>
    <w:rsid w:val="00095401"/>
    <w:rsid w:val="0009567C"/>
    <w:rsid w:val="0009599C"/>
    <w:rsid w:val="00095A7F"/>
    <w:rsid w:val="00095A8C"/>
    <w:rsid w:val="0009620F"/>
    <w:rsid w:val="00096A99"/>
    <w:rsid w:val="00097067"/>
    <w:rsid w:val="000971B5"/>
    <w:rsid w:val="00097E4A"/>
    <w:rsid w:val="000A0CF0"/>
    <w:rsid w:val="000A15B2"/>
    <w:rsid w:val="000A17A6"/>
    <w:rsid w:val="000A1C91"/>
    <w:rsid w:val="000A242D"/>
    <w:rsid w:val="000A24F6"/>
    <w:rsid w:val="000A2DCB"/>
    <w:rsid w:val="000A33E5"/>
    <w:rsid w:val="000A375F"/>
    <w:rsid w:val="000A3C70"/>
    <w:rsid w:val="000A41BB"/>
    <w:rsid w:val="000A4B38"/>
    <w:rsid w:val="000A5056"/>
    <w:rsid w:val="000A56A0"/>
    <w:rsid w:val="000A62F7"/>
    <w:rsid w:val="000A655B"/>
    <w:rsid w:val="000A65B5"/>
    <w:rsid w:val="000A6B46"/>
    <w:rsid w:val="000A6B95"/>
    <w:rsid w:val="000A7A89"/>
    <w:rsid w:val="000B043F"/>
    <w:rsid w:val="000B0A0F"/>
    <w:rsid w:val="000B16A9"/>
    <w:rsid w:val="000B1BA3"/>
    <w:rsid w:val="000B20F2"/>
    <w:rsid w:val="000B23C6"/>
    <w:rsid w:val="000B32C0"/>
    <w:rsid w:val="000B3858"/>
    <w:rsid w:val="000B3AD9"/>
    <w:rsid w:val="000B45FC"/>
    <w:rsid w:val="000B46D3"/>
    <w:rsid w:val="000B4D3E"/>
    <w:rsid w:val="000B5617"/>
    <w:rsid w:val="000B566C"/>
    <w:rsid w:val="000B5E95"/>
    <w:rsid w:val="000B60B2"/>
    <w:rsid w:val="000B6117"/>
    <w:rsid w:val="000B6280"/>
    <w:rsid w:val="000B6A99"/>
    <w:rsid w:val="000B6DAA"/>
    <w:rsid w:val="000B6F9B"/>
    <w:rsid w:val="000B6FA0"/>
    <w:rsid w:val="000B72AC"/>
    <w:rsid w:val="000C048C"/>
    <w:rsid w:val="000C0A19"/>
    <w:rsid w:val="000C0B5B"/>
    <w:rsid w:val="000C0C2A"/>
    <w:rsid w:val="000C0F4A"/>
    <w:rsid w:val="000C102F"/>
    <w:rsid w:val="000C1341"/>
    <w:rsid w:val="000C13D1"/>
    <w:rsid w:val="000C1A72"/>
    <w:rsid w:val="000C1CDA"/>
    <w:rsid w:val="000C30F0"/>
    <w:rsid w:val="000C3363"/>
    <w:rsid w:val="000C33FA"/>
    <w:rsid w:val="000C37CC"/>
    <w:rsid w:val="000C3995"/>
    <w:rsid w:val="000C3A81"/>
    <w:rsid w:val="000C3CB7"/>
    <w:rsid w:val="000C3FD0"/>
    <w:rsid w:val="000C4281"/>
    <w:rsid w:val="000C4B3C"/>
    <w:rsid w:val="000C4BDD"/>
    <w:rsid w:val="000C4CA9"/>
    <w:rsid w:val="000C507A"/>
    <w:rsid w:val="000C56C7"/>
    <w:rsid w:val="000C6172"/>
    <w:rsid w:val="000C76EB"/>
    <w:rsid w:val="000C7945"/>
    <w:rsid w:val="000C7B22"/>
    <w:rsid w:val="000CB5E3"/>
    <w:rsid w:val="000D01A9"/>
    <w:rsid w:val="000D04A1"/>
    <w:rsid w:val="000D0B6D"/>
    <w:rsid w:val="000D1152"/>
    <w:rsid w:val="000D124C"/>
    <w:rsid w:val="000D2355"/>
    <w:rsid w:val="000D236C"/>
    <w:rsid w:val="000D369C"/>
    <w:rsid w:val="000D3A24"/>
    <w:rsid w:val="000D5A59"/>
    <w:rsid w:val="000D67C4"/>
    <w:rsid w:val="000D68E9"/>
    <w:rsid w:val="000D6ABD"/>
    <w:rsid w:val="000D7125"/>
    <w:rsid w:val="000D78E1"/>
    <w:rsid w:val="000E087D"/>
    <w:rsid w:val="000E0E7A"/>
    <w:rsid w:val="000E1F0A"/>
    <w:rsid w:val="000E212E"/>
    <w:rsid w:val="000E326E"/>
    <w:rsid w:val="000E3351"/>
    <w:rsid w:val="000E3A6D"/>
    <w:rsid w:val="000E476B"/>
    <w:rsid w:val="000E486C"/>
    <w:rsid w:val="000E4D64"/>
    <w:rsid w:val="000E55F6"/>
    <w:rsid w:val="000E56CF"/>
    <w:rsid w:val="000E7A07"/>
    <w:rsid w:val="000E7A67"/>
    <w:rsid w:val="000E7D72"/>
    <w:rsid w:val="000E7EA0"/>
    <w:rsid w:val="000E7F08"/>
    <w:rsid w:val="000F02FF"/>
    <w:rsid w:val="000F085B"/>
    <w:rsid w:val="000F08E6"/>
    <w:rsid w:val="000F1545"/>
    <w:rsid w:val="000F18C4"/>
    <w:rsid w:val="000F196F"/>
    <w:rsid w:val="000F25A7"/>
    <w:rsid w:val="000F2D84"/>
    <w:rsid w:val="000F33BE"/>
    <w:rsid w:val="000F390C"/>
    <w:rsid w:val="000F3CD8"/>
    <w:rsid w:val="000F3E0C"/>
    <w:rsid w:val="000F44B5"/>
    <w:rsid w:val="000F4511"/>
    <w:rsid w:val="000F454F"/>
    <w:rsid w:val="000F49EB"/>
    <w:rsid w:val="000F5B15"/>
    <w:rsid w:val="000F6567"/>
    <w:rsid w:val="000F6B81"/>
    <w:rsid w:val="000F6F72"/>
    <w:rsid w:val="000F752E"/>
    <w:rsid w:val="000F76C3"/>
    <w:rsid w:val="000F782C"/>
    <w:rsid w:val="000F7D8D"/>
    <w:rsid w:val="00100A07"/>
    <w:rsid w:val="00100F4A"/>
    <w:rsid w:val="00101D75"/>
    <w:rsid w:val="00101DAD"/>
    <w:rsid w:val="00102607"/>
    <w:rsid w:val="00102652"/>
    <w:rsid w:val="00102F77"/>
    <w:rsid w:val="001035DE"/>
    <w:rsid w:val="00103DBF"/>
    <w:rsid w:val="001040F3"/>
    <w:rsid w:val="00104237"/>
    <w:rsid w:val="00104B9F"/>
    <w:rsid w:val="00105015"/>
    <w:rsid w:val="0010551E"/>
    <w:rsid w:val="00105CBE"/>
    <w:rsid w:val="001067FB"/>
    <w:rsid w:val="00106BF0"/>
    <w:rsid w:val="00106C0C"/>
    <w:rsid w:val="00106C5F"/>
    <w:rsid w:val="00106DFC"/>
    <w:rsid w:val="0010731F"/>
    <w:rsid w:val="001078DD"/>
    <w:rsid w:val="00107B82"/>
    <w:rsid w:val="001104F0"/>
    <w:rsid w:val="00111493"/>
    <w:rsid w:val="0011218A"/>
    <w:rsid w:val="00112678"/>
    <w:rsid w:val="00112E3C"/>
    <w:rsid w:val="00112FF6"/>
    <w:rsid w:val="00113AD1"/>
    <w:rsid w:val="00113BBF"/>
    <w:rsid w:val="00113F02"/>
    <w:rsid w:val="00114630"/>
    <w:rsid w:val="001146D6"/>
    <w:rsid w:val="001147A9"/>
    <w:rsid w:val="00114DCF"/>
    <w:rsid w:val="00114E0F"/>
    <w:rsid w:val="001158D8"/>
    <w:rsid w:val="001160E5"/>
    <w:rsid w:val="001165B6"/>
    <w:rsid w:val="00116842"/>
    <w:rsid w:val="00116861"/>
    <w:rsid w:val="00116B1A"/>
    <w:rsid w:val="00116C45"/>
    <w:rsid w:val="00117049"/>
    <w:rsid w:val="0011769A"/>
    <w:rsid w:val="001178FD"/>
    <w:rsid w:val="001207BD"/>
    <w:rsid w:val="001215E0"/>
    <w:rsid w:val="00121966"/>
    <w:rsid w:val="00122128"/>
    <w:rsid w:val="001223C9"/>
    <w:rsid w:val="00122474"/>
    <w:rsid w:val="00122730"/>
    <w:rsid w:val="00123107"/>
    <w:rsid w:val="001246C1"/>
    <w:rsid w:val="001255B9"/>
    <w:rsid w:val="00126826"/>
    <w:rsid w:val="00126A9E"/>
    <w:rsid w:val="00127A0F"/>
    <w:rsid w:val="0013069F"/>
    <w:rsid w:val="00131145"/>
    <w:rsid w:val="00131170"/>
    <w:rsid w:val="00132073"/>
    <w:rsid w:val="00132CE4"/>
    <w:rsid w:val="0013414E"/>
    <w:rsid w:val="00134592"/>
    <w:rsid w:val="00134828"/>
    <w:rsid w:val="001348A6"/>
    <w:rsid w:val="00135D8B"/>
    <w:rsid w:val="00135F79"/>
    <w:rsid w:val="0013638C"/>
    <w:rsid w:val="001365E4"/>
    <w:rsid w:val="00136CF2"/>
    <w:rsid w:val="00136DCC"/>
    <w:rsid w:val="00136EC1"/>
    <w:rsid w:val="00137090"/>
    <w:rsid w:val="001378C2"/>
    <w:rsid w:val="00137E34"/>
    <w:rsid w:val="001405F1"/>
    <w:rsid w:val="00141019"/>
    <w:rsid w:val="0014130A"/>
    <w:rsid w:val="00141CC3"/>
    <w:rsid w:val="00141D4E"/>
    <w:rsid w:val="00141E48"/>
    <w:rsid w:val="001428D0"/>
    <w:rsid w:val="00142A76"/>
    <w:rsid w:val="00143D44"/>
    <w:rsid w:val="00143F7E"/>
    <w:rsid w:val="00144486"/>
    <w:rsid w:val="00144648"/>
    <w:rsid w:val="00144672"/>
    <w:rsid w:val="00144E43"/>
    <w:rsid w:val="00145618"/>
    <w:rsid w:val="00145619"/>
    <w:rsid w:val="0014561F"/>
    <w:rsid w:val="00145A05"/>
    <w:rsid w:val="001460FA"/>
    <w:rsid w:val="00146A27"/>
    <w:rsid w:val="00150690"/>
    <w:rsid w:val="00151033"/>
    <w:rsid w:val="0015127C"/>
    <w:rsid w:val="00151965"/>
    <w:rsid w:val="00152083"/>
    <w:rsid w:val="00152CC0"/>
    <w:rsid w:val="00152FCA"/>
    <w:rsid w:val="00153565"/>
    <w:rsid w:val="00153AC1"/>
    <w:rsid w:val="00153C5A"/>
    <w:rsid w:val="00154F37"/>
    <w:rsid w:val="001563E5"/>
    <w:rsid w:val="00156698"/>
    <w:rsid w:val="00156A69"/>
    <w:rsid w:val="00156B3D"/>
    <w:rsid w:val="00156DFD"/>
    <w:rsid w:val="001570A7"/>
    <w:rsid w:val="0015745A"/>
    <w:rsid w:val="0015769E"/>
    <w:rsid w:val="001579EC"/>
    <w:rsid w:val="00157B94"/>
    <w:rsid w:val="00157BE1"/>
    <w:rsid w:val="00157CA7"/>
    <w:rsid w:val="00157D10"/>
    <w:rsid w:val="00157E6A"/>
    <w:rsid w:val="00160A69"/>
    <w:rsid w:val="00160C68"/>
    <w:rsid w:val="001616F6"/>
    <w:rsid w:val="001617CB"/>
    <w:rsid w:val="00161D39"/>
    <w:rsid w:val="00162313"/>
    <w:rsid w:val="0016254F"/>
    <w:rsid w:val="00162EA4"/>
    <w:rsid w:val="001634FE"/>
    <w:rsid w:val="0016413E"/>
    <w:rsid w:val="00164547"/>
    <w:rsid w:val="00164B25"/>
    <w:rsid w:val="00164EF8"/>
    <w:rsid w:val="00165826"/>
    <w:rsid w:val="00166AFA"/>
    <w:rsid w:val="00166CA9"/>
    <w:rsid w:val="001671BC"/>
    <w:rsid w:val="001678B7"/>
    <w:rsid w:val="00167A17"/>
    <w:rsid w:val="0017059F"/>
    <w:rsid w:val="001705B4"/>
    <w:rsid w:val="00171B55"/>
    <w:rsid w:val="00171B73"/>
    <w:rsid w:val="001721FF"/>
    <w:rsid w:val="001725FE"/>
    <w:rsid w:val="0017271F"/>
    <w:rsid w:val="00172B5E"/>
    <w:rsid w:val="00173026"/>
    <w:rsid w:val="001732B1"/>
    <w:rsid w:val="0017441C"/>
    <w:rsid w:val="00174AB8"/>
    <w:rsid w:val="001750B8"/>
    <w:rsid w:val="001755E0"/>
    <w:rsid w:val="00175601"/>
    <w:rsid w:val="001764A2"/>
    <w:rsid w:val="00177176"/>
    <w:rsid w:val="0017723E"/>
    <w:rsid w:val="00177CDE"/>
    <w:rsid w:val="00177D1F"/>
    <w:rsid w:val="001803B7"/>
    <w:rsid w:val="00180CF5"/>
    <w:rsid w:val="00181228"/>
    <w:rsid w:val="0018196D"/>
    <w:rsid w:val="00181E5A"/>
    <w:rsid w:val="00182B73"/>
    <w:rsid w:val="001836DC"/>
    <w:rsid w:val="00183D4C"/>
    <w:rsid w:val="00183D95"/>
    <w:rsid w:val="001841D9"/>
    <w:rsid w:val="00184BB0"/>
    <w:rsid w:val="00184CCB"/>
    <w:rsid w:val="00184D58"/>
    <w:rsid w:val="001851C7"/>
    <w:rsid w:val="00185C03"/>
    <w:rsid w:val="00185F5A"/>
    <w:rsid w:val="00186AEB"/>
    <w:rsid w:val="00186BB1"/>
    <w:rsid w:val="001872FD"/>
    <w:rsid w:val="001875B3"/>
    <w:rsid w:val="001876F8"/>
    <w:rsid w:val="00187939"/>
    <w:rsid w:val="00187B58"/>
    <w:rsid w:val="00187D28"/>
    <w:rsid w:val="00187F84"/>
    <w:rsid w:val="00190051"/>
    <w:rsid w:val="001905FB"/>
    <w:rsid w:val="001910E0"/>
    <w:rsid w:val="00191200"/>
    <w:rsid w:val="001914AA"/>
    <w:rsid w:val="0019192C"/>
    <w:rsid w:val="001923DD"/>
    <w:rsid w:val="00192542"/>
    <w:rsid w:val="001926D1"/>
    <w:rsid w:val="001926D4"/>
    <w:rsid w:val="001935F1"/>
    <w:rsid w:val="00193693"/>
    <w:rsid w:val="00193826"/>
    <w:rsid w:val="00193A46"/>
    <w:rsid w:val="00193B9A"/>
    <w:rsid w:val="00193C8B"/>
    <w:rsid w:val="0019448B"/>
    <w:rsid w:val="00194540"/>
    <w:rsid w:val="001946EC"/>
    <w:rsid w:val="00194761"/>
    <w:rsid w:val="001951DE"/>
    <w:rsid w:val="00195519"/>
    <w:rsid w:val="00195A40"/>
    <w:rsid w:val="00195E57"/>
    <w:rsid w:val="001969C3"/>
    <w:rsid w:val="00196FD3"/>
    <w:rsid w:val="00197FED"/>
    <w:rsid w:val="001A09E6"/>
    <w:rsid w:val="001A0EC1"/>
    <w:rsid w:val="001A0FC7"/>
    <w:rsid w:val="001A10F6"/>
    <w:rsid w:val="001A1B40"/>
    <w:rsid w:val="001A22A5"/>
    <w:rsid w:val="001A258A"/>
    <w:rsid w:val="001A280A"/>
    <w:rsid w:val="001A3191"/>
    <w:rsid w:val="001A3745"/>
    <w:rsid w:val="001A4677"/>
    <w:rsid w:val="001A4E9F"/>
    <w:rsid w:val="001A4EA3"/>
    <w:rsid w:val="001A53C2"/>
    <w:rsid w:val="001A707A"/>
    <w:rsid w:val="001A731A"/>
    <w:rsid w:val="001A73EF"/>
    <w:rsid w:val="001A79AF"/>
    <w:rsid w:val="001B0BF3"/>
    <w:rsid w:val="001B0E49"/>
    <w:rsid w:val="001B120B"/>
    <w:rsid w:val="001B17DD"/>
    <w:rsid w:val="001B18A7"/>
    <w:rsid w:val="001B19F3"/>
    <w:rsid w:val="001B1CF0"/>
    <w:rsid w:val="001B20F8"/>
    <w:rsid w:val="001B2A89"/>
    <w:rsid w:val="001B3241"/>
    <w:rsid w:val="001B390B"/>
    <w:rsid w:val="001B3956"/>
    <w:rsid w:val="001B3AF0"/>
    <w:rsid w:val="001B4000"/>
    <w:rsid w:val="001B4197"/>
    <w:rsid w:val="001B429E"/>
    <w:rsid w:val="001B461A"/>
    <w:rsid w:val="001B493E"/>
    <w:rsid w:val="001B51D4"/>
    <w:rsid w:val="001B562D"/>
    <w:rsid w:val="001B5882"/>
    <w:rsid w:val="001B5C74"/>
    <w:rsid w:val="001B620A"/>
    <w:rsid w:val="001B778E"/>
    <w:rsid w:val="001C018A"/>
    <w:rsid w:val="001C05C1"/>
    <w:rsid w:val="001C0744"/>
    <w:rsid w:val="001C07E3"/>
    <w:rsid w:val="001C086D"/>
    <w:rsid w:val="001C0D5A"/>
    <w:rsid w:val="001C0DE8"/>
    <w:rsid w:val="001C181E"/>
    <w:rsid w:val="001C1C5D"/>
    <w:rsid w:val="001C1D28"/>
    <w:rsid w:val="001C3009"/>
    <w:rsid w:val="001C30A9"/>
    <w:rsid w:val="001C37FA"/>
    <w:rsid w:val="001C3C56"/>
    <w:rsid w:val="001C3E8F"/>
    <w:rsid w:val="001C4044"/>
    <w:rsid w:val="001C4ACF"/>
    <w:rsid w:val="001C4EB0"/>
    <w:rsid w:val="001C565E"/>
    <w:rsid w:val="001C7396"/>
    <w:rsid w:val="001C78B2"/>
    <w:rsid w:val="001C7B93"/>
    <w:rsid w:val="001C7C91"/>
    <w:rsid w:val="001C7C9D"/>
    <w:rsid w:val="001D06B8"/>
    <w:rsid w:val="001D07D4"/>
    <w:rsid w:val="001D0AC2"/>
    <w:rsid w:val="001D0E0B"/>
    <w:rsid w:val="001D13D4"/>
    <w:rsid w:val="001D18B3"/>
    <w:rsid w:val="001D1AAE"/>
    <w:rsid w:val="001D2665"/>
    <w:rsid w:val="001D39FA"/>
    <w:rsid w:val="001D3FA1"/>
    <w:rsid w:val="001D4495"/>
    <w:rsid w:val="001D4602"/>
    <w:rsid w:val="001D46D2"/>
    <w:rsid w:val="001D57A7"/>
    <w:rsid w:val="001D62BF"/>
    <w:rsid w:val="001D6514"/>
    <w:rsid w:val="001D7143"/>
    <w:rsid w:val="001E0890"/>
    <w:rsid w:val="001E08BF"/>
    <w:rsid w:val="001E0D29"/>
    <w:rsid w:val="001E0F52"/>
    <w:rsid w:val="001E14A2"/>
    <w:rsid w:val="001E153A"/>
    <w:rsid w:val="001E1745"/>
    <w:rsid w:val="001E1EF4"/>
    <w:rsid w:val="001E2102"/>
    <w:rsid w:val="001E2FB9"/>
    <w:rsid w:val="001E364E"/>
    <w:rsid w:val="001E3B78"/>
    <w:rsid w:val="001E455B"/>
    <w:rsid w:val="001E46B6"/>
    <w:rsid w:val="001E4BA7"/>
    <w:rsid w:val="001E4E2F"/>
    <w:rsid w:val="001E4FD7"/>
    <w:rsid w:val="001E54B7"/>
    <w:rsid w:val="001E580C"/>
    <w:rsid w:val="001E58D6"/>
    <w:rsid w:val="001E59D8"/>
    <w:rsid w:val="001E5B04"/>
    <w:rsid w:val="001E61A1"/>
    <w:rsid w:val="001E645B"/>
    <w:rsid w:val="001E66C0"/>
    <w:rsid w:val="001E68BD"/>
    <w:rsid w:val="001E6FE1"/>
    <w:rsid w:val="001E76E1"/>
    <w:rsid w:val="001F0348"/>
    <w:rsid w:val="001F03BA"/>
    <w:rsid w:val="001F0919"/>
    <w:rsid w:val="001F0AAF"/>
    <w:rsid w:val="001F1BA9"/>
    <w:rsid w:val="001F295C"/>
    <w:rsid w:val="001F2E87"/>
    <w:rsid w:val="001F31F7"/>
    <w:rsid w:val="001F37CC"/>
    <w:rsid w:val="001F3A7D"/>
    <w:rsid w:val="001F3CCF"/>
    <w:rsid w:val="001F43E5"/>
    <w:rsid w:val="001F5118"/>
    <w:rsid w:val="001F52F1"/>
    <w:rsid w:val="001F53A8"/>
    <w:rsid w:val="001F57C9"/>
    <w:rsid w:val="001F5C20"/>
    <w:rsid w:val="001F5C4F"/>
    <w:rsid w:val="001F6019"/>
    <w:rsid w:val="001F60FE"/>
    <w:rsid w:val="001F635E"/>
    <w:rsid w:val="002002B6"/>
    <w:rsid w:val="00200678"/>
    <w:rsid w:val="002006E0"/>
    <w:rsid w:val="00200876"/>
    <w:rsid w:val="00200E7A"/>
    <w:rsid w:val="00201300"/>
    <w:rsid w:val="00201750"/>
    <w:rsid w:val="00202E5D"/>
    <w:rsid w:val="00203A22"/>
    <w:rsid w:val="00203A66"/>
    <w:rsid w:val="00203DF8"/>
    <w:rsid w:val="00204350"/>
    <w:rsid w:val="0020561D"/>
    <w:rsid w:val="002058C7"/>
    <w:rsid w:val="00206283"/>
    <w:rsid w:val="00206CD6"/>
    <w:rsid w:val="00210874"/>
    <w:rsid w:val="00211263"/>
    <w:rsid w:val="00211474"/>
    <w:rsid w:val="00211C2A"/>
    <w:rsid w:val="00211C6A"/>
    <w:rsid w:val="00212F30"/>
    <w:rsid w:val="00213090"/>
    <w:rsid w:val="002137C7"/>
    <w:rsid w:val="002139B1"/>
    <w:rsid w:val="00213DEF"/>
    <w:rsid w:val="00214293"/>
    <w:rsid w:val="00214323"/>
    <w:rsid w:val="002145FB"/>
    <w:rsid w:val="00214785"/>
    <w:rsid w:val="00214E18"/>
    <w:rsid w:val="002150C8"/>
    <w:rsid w:val="00215209"/>
    <w:rsid w:val="00215334"/>
    <w:rsid w:val="00215AFA"/>
    <w:rsid w:val="002162F4"/>
    <w:rsid w:val="00216F0A"/>
    <w:rsid w:val="002171B8"/>
    <w:rsid w:val="00217C43"/>
    <w:rsid w:val="002203D9"/>
    <w:rsid w:val="0022060D"/>
    <w:rsid w:val="002208EA"/>
    <w:rsid w:val="002209A0"/>
    <w:rsid w:val="00220A28"/>
    <w:rsid w:val="00220C28"/>
    <w:rsid w:val="00220D97"/>
    <w:rsid w:val="00221005"/>
    <w:rsid w:val="002211A8"/>
    <w:rsid w:val="002216CD"/>
    <w:rsid w:val="00221A5A"/>
    <w:rsid w:val="00222833"/>
    <w:rsid w:val="00224868"/>
    <w:rsid w:val="00224917"/>
    <w:rsid w:val="00224CB6"/>
    <w:rsid w:val="00224D4F"/>
    <w:rsid w:val="00224DBD"/>
    <w:rsid w:val="00224E58"/>
    <w:rsid w:val="00224FFE"/>
    <w:rsid w:val="0022509D"/>
    <w:rsid w:val="002250BA"/>
    <w:rsid w:val="0022539B"/>
    <w:rsid w:val="00225C35"/>
    <w:rsid w:val="00226804"/>
    <w:rsid w:val="002271BD"/>
    <w:rsid w:val="00227773"/>
    <w:rsid w:val="00230169"/>
    <w:rsid w:val="002307D0"/>
    <w:rsid w:val="002327EA"/>
    <w:rsid w:val="00232B0B"/>
    <w:rsid w:val="00233348"/>
    <w:rsid w:val="002333E5"/>
    <w:rsid w:val="002334B4"/>
    <w:rsid w:val="002338FE"/>
    <w:rsid w:val="00233D66"/>
    <w:rsid w:val="00233F92"/>
    <w:rsid w:val="002344D7"/>
    <w:rsid w:val="002349F6"/>
    <w:rsid w:val="00234AE6"/>
    <w:rsid w:val="00234E7C"/>
    <w:rsid w:val="00235133"/>
    <w:rsid w:val="002352EB"/>
    <w:rsid w:val="0023542B"/>
    <w:rsid w:val="002358A4"/>
    <w:rsid w:val="002358B0"/>
    <w:rsid w:val="00235B1C"/>
    <w:rsid w:val="00235D13"/>
    <w:rsid w:val="00235F70"/>
    <w:rsid w:val="00236042"/>
    <w:rsid w:val="00236274"/>
    <w:rsid w:val="002363D9"/>
    <w:rsid w:val="002366C6"/>
    <w:rsid w:val="00236A9F"/>
    <w:rsid w:val="00237225"/>
    <w:rsid w:val="002377C0"/>
    <w:rsid w:val="00237AB9"/>
    <w:rsid w:val="002405EE"/>
    <w:rsid w:val="002408D9"/>
    <w:rsid w:val="00240B1C"/>
    <w:rsid w:val="00241A55"/>
    <w:rsid w:val="00242010"/>
    <w:rsid w:val="00242278"/>
    <w:rsid w:val="00242835"/>
    <w:rsid w:val="00242A1E"/>
    <w:rsid w:val="00242E3C"/>
    <w:rsid w:val="00242ED9"/>
    <w:rsid w:val="00243514"/>
    <w:rsid w:val="00243A2B"/>
    <w:rsid w:val="002442BC"/>
    <w:rsid w:val="00244841"/>
    <w:rsid w:val="00244A7C"/>
    <w:rsid w:val="00244DB0"/>
    <w:rsid w:val="002466A5"/>
    <w:rsid w:val="00246E06"/>
    <w:rsid w:val="00246F8E"/>
    <w:rsid w:val="0024752A"/>
    <w:rsid w:val="00250228"/>
    <w:rsid w:val="0025049B"/>
    <w:rsid w:val="002506A1"/>
    <w:rsid w:val="00250774"/>
    <w:rsid w:val="00251600"/>
    <w:rsid w:val="00251844"/>
    <w:rsid w:val="002519F7"/>
    <w:rsid w:val="0025212C"/>
    <w:rsid w:val="002526C0"/>
    <w:rsid w:val="00253221"/>
    <w:rsid w:val="0025391D"/>
    <w:rsid w:val="00254319"/>
    <w:rsid w:val="00255BCD"/>
    <w:rsid w:val="00255C40"/>
    <w:rsid w:val="0025640C"/>
    <w:rsid w:val="002566CA"/>
    <w:rsid w:val="00256959"/>
    <w:rsid w:val="00256979"/>
    <w:rsid w:val="0025698E"/>
    <w:rsid w:val="00257A8F"/>
    <w:rsid w:val="00257CA6"/>
    <w:rsid w:val="00257DD6"/>
    <w:rsid w:val="00257E0D"/>
    <w:rsid w:val="00257EB9"/>
    <w:rsid w:val="00260259"/>
    <w:rsid w:val="002603BD"/>
    <w:rsid w:val="00260600"/>
    <w:rsid w:val="0026076E"/>
    <w:rsid w:val="00260B00"/>
    <w:rsid w:val="00261007"/>
    <w:rsid w:val="00261104"/>
    <w:rsid w:val="0026269E"/>
    <w:rsid w:val="002637AA"/>
    <w:rsid w:val="00263D4E"/>
    <w:rsid w:val="0026416B"/>
    <w:rsid w:val="00264494"/>
    <w:rsid w:val="0026504B"/>
    <w:rsid w:val="00265332"/>
    <w:rsid w:val="00265728"/>
    <w:rsid w:val="002659F7"/>
    <w:rsid w:val="00265EA8"/>
    <w:rsid w:val="00265FED"/>
    <w:rsid w:val="0026681A"/>
    <w:rsid w:val="00266B64"/>
    <w:rsid w:val="002671AE"/>
    <w:rsid w:val="002672BA"/>
    <w:rsid w:val="0027031D"/>
    <w:rsid w:val="00270455"/>
    <w:rsid w:val="0027085F"/>
    <w:rsid w:val="00271400"/>
    <w:rsid w:val="002720DC"/>
    <w:rsid w:val="002721A9"/>
    <w:rsid w:val="00272652"/>
    <w:rsid w:val="002728F1"/>
    <w:rsid w:val="00273030"/>
    <w:rsid w:val="002736F8"/>
    <w:rsid w:val="002739DD"/>
    <w:rsid w:val="00274DDA"/>
    <w:rsid w:val="0027551A"/>
    <w:rsid w:val="00275551"/>
    <w:rsid w:val="00275A94"/>
    <w:rsid w:val="00275AF7"/>
    <w:rsid w:val="00276099"/>
    <w:rsid w:val="0027698C"/>
    <w:rsid w:val="00276E87"/>
    <w:rsid w:val="0027703B"/>
    <w:rsid w:val="00277867"/>
    <w:rsid w:val="002778A9"/>
    <w:rsid w:val="00277D5C"/>
    <w:rsid w:val="00277DB2"/>
    <w:rsid w:val="00280060"/>
    <w:rsid w:val="00280066"/>
    <w:rsid w:val="0028018A"/>
    <w:rsid w:val="00280F3D"/>
    <w:rsid w:val="00280F88"/>
    <w:rsid w:val="00281399"/>
    <w:rsid w:val="002817D8"/>
    <w:rsid w:val="00281C46"/>
    <w:rsid w:val="002820A3"/>
    <w:rsid w:val="002824BF"/>
    <w:rsid w:val="0028264D"/>
    <w:rsid w:val="0028293A"/>
    <w:rsid w:val="00282C17"/>
    <w:rsid w:val="0028341D"/>
    <w:rsid w:val="00283E2E"/>
    <w:rsid w:val="00284227"/>
    <w:rsid w:val="00284B71"/>
    <w:rsid w:val="00284D5E"/>
    <w:rsid w:val="00284E81"/>
    <w:rsid w:val="00284EFD"/>
    <w:rsid w:val="0028629E"/>
    <w:rsid w:val="002864EE"/>
    <w:rsid w:val="00286806"/>
    <w:rsid w:val="00286A4A"/>
    <w:rsid w:val="00286F4A"/>
    <w:rsid w:val="00287603"/>
    <w:rsid w:val="0028FEDC"/>
    <w:rsid w:val="0029024F"/>
    <w:rsid w:val="00291C73"/>
    <w:rsid w:val="00291FBD"/>
    <w:rsid w:val="0029208A"/>
    <w:rsid w:val="002920DD"/>
    <w:rsid w:val="00292312"/>
    <w:rsid w:val="002926AD"/>
    <w:rsid w:val="002926F0"/>
    <w:rsid w:val="002927BB"/>
    <w:rsid w:val="00292E0F"/>
    <w:rsid w:val="00293678"/>
    <w:rsid w:val="00293848"/>
    <w:rsid w:val="002938DF"/>
    <w:rsid w:val="00293D18"/>
    <w:rsid w:val="00293DD1"/>
    <w:rsid w:val="002941AB"/>
    <w:rsid w:val="0029491D"/>
    <w:rsid w:val="00295163"/>
    <w:rsid w:val="0029525F"/>
    <w:rsid w:val="00295967"/>
    <w:rsid w:val="0029596D"/>
    <w:rsid w:val="00295C17"/>
    <w:rsid w:val="00295C66"/>
    <w:rsid w:val="002965A4"/>
    <w:rsid w:val="00297038"/>
    <w:rsid w:val="00297D7F"/>
    <w:rsid w:val="00297F82"/>
    <w:rsid w:val="002A0050"/>
    <w:rsid w:val="002A00FC"/>
    <w:rsid w:val="002A024C"/>
    <w:rsid w:val="002A0C88"/>
    <w:rsid w:val="002A20CC"/>
    <w:rsid w:val="002A226A"/>
    <w:rsid w:val="002A3112"/>
    <w:rsid w:val="002A37B9"/>
    <w:rsid w:val="002A3B00"/>
    <w:rsid w:val="002A3BC2"/>
    <w:rsid w:val="002A4458"/>
    <w:rsid w:val="002A4610"/>
    <w:rsid w:val="002A4703"/>
    <w:rsid w:val="002A4BD9"/>
    <w:rsid w:val="002A4CBE"/>
    <w:rsid w:val="002A4CC0"/>
    <w:rsid w:val="002A4FEA"/>
    <w:rsid w:val="002A6B78"/>
    <w:rsid w:val="002A7246"/>
    <w:rsid w:val="002A78BC"/>
    <w:rsid w:val="002A7ACC"/>
    <w:rsid w:val="002A7C41"/>
    <w:rsid w:val="002B0672"/>
    <w:rsid w:val="002B1252"/>
    <w:rsid w:val="002B162A"/>
    <w:rsid w:val="002B1E74"/>
    <w:rsid w:val="002B212F"/>
    <w:rsid w:val="002B272A"/>
    <w:rsid w:val="002B3805"/>
    <w:rsid w:val="002B3A44"/>
    <w:rsid w:val="002B3F3B"/>
    <w:rsid w:val="002B42F2"/>
    <w:rsid w:val="002B456D"/>
    <w:rsid w:val="002B53BE"/>
    <w:rsid w:val="002B5B33"/>
    <w:rsid w:val="002B5F7E"/>
    <w:rsid w:val="002B62B5"/>
    <w:rsid w:val="002B6608"/>
    <w:rsid w:val="002B6727"/>
    <w:rsid w:val="002B6897"/>
    <w:rsid w:val="002B69BC"/>
    <w:rsid w:val="002B69FC"/>
    <w:rsid w:val="002B6DBA"/>
    <w:rsid w:val="002B6F1D"/>
    <w:rsid w:val="002B72A8"/>
    <w:rsid w:val="002B7627"/>
    <w:rsid w:val="002B7A51"/>
    <w:rsid w:val="002B7DCC"/>
    <w:rsid w:val="002C09EF"/>
    <w:rsid w:val="002C0DBF"/>
    <w:rsid w:val="002C11A4"/>
    <w:rsid w:val="002C1894"/>
    <w:rsid w:val="002C217E"/>
    <w:rsid w:val="002C3554"/>
    <w:rsid w:val="002C3941"/>
    <w:rsid w:val="002C44EB"/>
    <w:rsid w:val="002C47BD"/>
    <w:rsid w:val="002C4F10"/>
    <w:rsid w:val="002C5393"/>
    <w:rsid w:val="002C54F9"/>
    <w:rsid w:val="002C570E"/>
    <w:rsid w:val="002C6513"/>
    <w:rsid w:val="002C6664"/>
    <w:rsid w:val="002C6AC7"/>
    <w:rsid w:val="002C6F32"/>
    <w:rsid w:val="002C7C4A"/>
    <w:rsid w:val="002C7CEB"/>
    <w:rsid w:val="002C7DD4"/>
    <w:rsid w:val="002D00BF"/>
    <w:rsid w:val="002D00E3"/>
    <w:rsid w:val="002D01DF"/>
    <w:rsid w:val="002D01EC"/>
    <w:rsid w:val="002D07E2"/>
    <w:rsid w:val="002D0918"/>
    <w:rsid w:val="002D0B33"/>
    <w:rsid w:val="002D0F0E"/>
    <w:rsid w:val="002D297C"/>
    <w:rsid w:val="002D29E4"/>
    <w:rsid w:val="002D2B3F"/>
    <w:rsid w:val="002D337C"/>
    <w:rsid w:val="002D3ED0"/>
    <w:rsid w:val="002D4632"/>
    <w:rsid w:val="002D4FAB"/>
    <w:rsid w:val="002D50D9"/>
    <w:rsid w:val="002D545D"/>
    <w:rsid w:val="002D626F"/>
    <w:rsid w:val="002D6763"/>
    <w:rsid w:val="002D7BE3"/>
    <w:rsid w:val="002D7FBC"/>
    <w:rsid w:val="002E0E21"/>
    <w:rsid w:val="002E103D"/>
    <w:rsid w:val="002E1539"/>
    <w:rsid w:val="002E17A4"/>
    <w:rsid w:val="002E18F3"/>
    <w:rsid w:val="002E24E3"/>
    <w:rsid w:val="002E2648"/>
    <w:rsid w:val="002E2989"/>
    <w:rsid w:val="002E3468"/>
    <w:rsid w:val="002E3F46"/>
    <w:rsid w:val="002E3FC5"/>
    <w:rsid w:val="002E4319"/>
    <w:rsid w:val="002E5533"/>
    <w:rsid w:val="002E6172"/>
    <w:rsid w:val="002E69F3"/>
    <w:rsid w:val="002E7890"/>
    <w:rsid w:val="002E7C24"/>
    <w:rsid w:val="002F1B3C"/>
    <w:rsid w:val="002F1C4F"/>
    <w:rsid w:val="002F2153"/>
    <w:rsid w:val="002F25AD"/>
    <w:rsid w:val="002F3D61"/>
    <w:rsid w:val="002F4279"/>
    <w:rsid w:val="002F475D"/>
    <w:rsid w:val="002F4D58"/>
    <w:rsid w:val="002F56EC"/>
    <w:rsid w:val="002F5826"/>
    <w:rsid w:val="002F5C8B"/>
    <w:rsid w:val="002F5E7E"/>
    <w:rsid w:val="002F5E96"/>
    <w:rsid w:val="002F5ECE"/>
    <w:rsid w:val="002F64AF"/>
    <w:rsid w:val="002F6AA3"/>
    <w:rsid w:val="002F6F17"/>
    <w:rsid w:val="002F70E4"/>
    <w:rsid w:val="002F7E7B"/>
    <w:rsid w:val="00300120"/>
    <w:rsid w:val="0030224F"/>
    <w:rsid w:val="003022B9"/>
    <w:rsid w:val="0030250B"/>
    <w:rsid w:val="00302641"/>
    <w:rsid w:val="0030287A"/>
    <w:rsid w:val="00302D64"/>
    <w:rsid w:val="0030364B"/>
    <w:rsid w:val="00303ED0"/>
    <w:rsid w:val="00303F2F"/>
    <w:rsid w:val="003041F5"/>
    <w:rsid w:val="003042F4"/>
    <w:rsid w:val="003048AC"/>
    <w:rsid w:val="00304C33"/>
    <w:rsid w:val="00304C36"/>
    <w:rsid w:val="00305509"/>
    <w:rsid w:val="00305BCD"/>
    <w:rsid w:val="00306F35"/>
    <w:rsid w:val="00307123"/>
    <w:rsid w:val="00307193"/>
    <w:rsid w:val="00307B33"/>
    <w:rsid w:val="00307F76"/>
    <w:rsid w:val="00310588"/>
    <w:rsid w:val="0031221E"/>
    <w:rsid w:val="00312D34"/>
    <w:rsid w:val="00313772"/>
    <w:rsid w:val="0031394F"/>
    <w:rsid w:val="00313B58"/>
    <w:rsid w:val="00314098"/>
    <w:rsid w:val="00314509"/>
    <w:rsid w:val="00314A41"/>
    <w:rsid w:val="00314C55"/>
    <w:rsid w:val="00314C98"/>
    <w:rsid w:val="00315769"/>
    <w:rsid w:val="00315EB7"/>
    <w:rsid w:val="00315F32"/>
    <w:rsid w:val="0031610F"/>
    <w:rsid w:val="00316245"/>
    <w:rsid w:val="00317530"/>
    <w:rsid w:val="00317873"/>
    <w:rsid w:val="0031798E"/>
    <w:rsid w:val="00317BB3"/>
    <w:rsid w:val="00317F29"/>
    <w:rsid w:val="00320111"/>
    <w:rsid w:val="003203AD"/>
    <w:rsid w:val="00321233"/>
    <w:rsid w:val="00321FAB"/>
    <w:rsid w:val="00322244"/>
    <w:rsid w:val="00322D5A"/>
    <w:rsid w:val="00322F4E"/>
    <w:rsid w:val="0032377C"/>
    <w:rsid w:val="003254F0"/>
    <w:rsid w:val="00325A43"/>
    <w:rsid w:val="003260FC"/>
    <w:rsid w:val="00326A69"/>
    <w:rsid w:val="00326AFE"/>
    <w:rsid w:val="00326C64"/>
    <w:rsid w:val="0032720F"/>
    <w:rsid w:val="003272FC"/>
    <w:rsid w:val="00327677"/>
    <w:rsid w:val="00327E61"/>
    <w:rsid w:val="00327F9A"/>
    <w:rsid w:val="0033031A"/>
    <w:rsid w:val="0033093E"/>
    <w:rsid w:val="00330E5B"/>
    <w:rsid w:val="0033148A"/>
    <w:rsid w:val="00331501"/>
    <w:rsid w:val="0033254F"/>
    <w:rsid w:val="00332969"/>
    <w:rsid w:val="00332DCE"/>
    <w:rsid w:val="00332E03"/>
    <w:rsid w:val="003336E5"/>
    <w:rsid w:val="00333DCC"/>
    <w:rsid w:val="00335E23"/>
    <w:rsid w:val="00335E96"/>
    <w:rsid w:val="00336649"/>
    <w:rsid w:val="00336730"/>
    <w:rsid w:val="00336FD4"/>
    <w:rsid w:val="003374E4"/>
    <w:rsid w:val="003402E4"/>
    <w:rsid w:val="00341024"/>
    <w:rsid w:val="00341044"/>
    <w:rsid w:val="00341E66"/>
    <w:rsid w:val="00342798"/>
    <w:rsid w:val="00342950"/>
    <w:rsid w:val="00342A3F"/>
    <w:rsid w:val="00342AF8"/>
    <w:rsid w:val="00343211"/>
    <w:rsid w:val="00344051"/>
    <w:rsid w:val="00344488"/>
    <w:rsid w:val="00344577"/>
    <w:rsid w:val="00344E2B"/>
    <w:rsid w:val="00345453"/>
    <w:rsid w:val="00345E17"/>
    <w:rsid w:val="003461D7"/>
    <w:rsid w:val="00347D4C"/>
    <w:rsid w:val="00347DFD"/>
    <w:rsid w:val="00347E7B"/>
    <w:rsid w:val="0035004C"/>
    <w:rsid w:val="0035090B"/>
    <w:rsid w:val="0035137B"/>
    <w:rsid w:val="00351E76"/>
    <w:rsid w:val="00351EBA"/>
    <w:rsid w:val="00351FE1"/>
    <w:rsid w:val="003533A2"/>
    <w:rsid w:val="00354951"/>
    <w:rsid w:val="0035498F"/>
    <w:rsid w:val="00354C0C"/>
    <w:rsid w:val="0035599C"/>
    <w:rsid w:val="00355EBF"/>
    <w:rsid w:val="0035616B"/>
    <w:rsid w:val="003564B8"/>
    <w:rsid w:val="003565BE"/>
    <w:rsid w:val="00356995"/>
    <w:rsid w:val="0035701B"/>
    <w:rsid w:val="00357274"/>
    <w:rsid w:val="003573EA"/>
    <w:rsid w:val="003606B2"/>
    <w:rsid w:val="00360757"/>
    <w:rsid w:val="00360E0D"/>
    <w:rsid w:val="003612FA"/>
    <w:rsid w:val="00362096"/>
    <w:rsid w:val="00362115"/>
    <w:rsid w:val="003623D0"/>
    <w:rsid w:val="00362EB9"/>
    <w:rsid w:val="003637D2"/>
    <w:rsid w:val="003638A1"/>
    <w:rsid w:val="00364474"/>
    <w:rsid w:val="00365650"/>
    <w:rsid w:val="0036565A"/>
    <w:rsid w:val="00365EC3"/>
    <w:rsid w:val="0036679F"/>
    <w:rsid w:val="00366CAF"/>
    <w:rsid w:val="00366E30"/>
    <w:rsid w:val="00366E82"/>
    <w:rsid w:val="00366FCF"/>
    <w:rsid w:val="00367B94"/>
    <w:rsid w:val="00370AA0"/>
    <w:rsid w:val="0037183E"/>
    <w:rsid w:val="003728BB"/>
    <w:rsid w:val="00372C90"/>
    <w:rsid w:val="00372DD3"/>
    <w:rsid w:val="00372F89"/>
    <w:rsid w:val="003733EA"/>
    <w:rsid w:val="003735A3"/>
    <w:rsid w:val="003739BC"/>
    <w:rsid w:val="00373AE0"/>
    <w:rsid w:val="0037429E"/>
    <w:rsid w:val="0037446B"/>
    <w:rsid w:val="00374900"/>
    <w:rsid w:val="00374B56"/>
    <w:rsid w:val="00374D54"/>
    <w:rsid w:val="00374E15"/>
    <w:rsid w:val="00374E2D"/>
    <w:rsid w:val="0037546D"/>
    <w:rsid w:val="00375CAC"/>
    <w:rsid w:val="00376068"/>
    <w:rsid w:val="00376203"/>
    <w:rsid w:val="00376530"/>
    <w:rsid w:val="00376567"/>
    <w:rsid w:val="00376695"/>
    <w:rsid w:val="0037720E"/>
    <w:rsid w:val="003802AB"/>
    <w:rsid w:val="0038042A"/>
    <w:rsid w:val="003807AD"/>
    <w:rsid w:val="00380C74"/>
    <w:rsid w:val="0038111B"/>
    <w:rsid w:val="003812E1"/>
    <w:rsid w:val="00381474"/>
    <w:rsid w:val="00381937"/>
    <w:rsid w:val="00381EE4"/>
    <w:rsid w:val="00382440"/>
    <w:rsid w:val="00384B59"/>
    <w:rsid w:val="00385939"/>
    <w:rsid w:val="0038609B"/>
    <w:rsid w:val="00386284"/>
    <w:rsid w:val="00386C48"/>
    <w:rsid w:val="00387110"/>
    <w:rsid w:val="00387E21"/>
    <w:rsid w:val="00390073"/>
    <w:rsid w:val="003901AC"/>
    <w:rsid w:val="00390E4F"/>
    <w:rsid w:val="003912D4"/>
    <w:rsid w:val="00391331"/>
    <w:rsid w:val="00391430"/>
    <w:rsid w:val="00391CA7"/>
    <w:rsid w:val="00392C39"/>
    <w:rsid w:val="00392FEA"/>
    <w:rsid w:val="00393476"/>
    <w:rsid w:val="00393A0F"/>
    <w:rsid w:val="0039453C"/>
    <w:rsid w:val="0039480C"/>
    <w:rsid w:val="00394B45"/>
    <w:rsid w:val="00394E89"/>
    <w:rsid w:val="00394EEE"/>
    <w:rsid w:val="00394F80"/>
    <w:rsid w:val="00395627"/>
    <w:rsid w:val="0039605D"/>
    <w:rsid w:val="00396349"/>
    <w:rsid w:val="003972B1"/>
    <w:rsid w:val="00397907"/>
    <w:rsid w:val="003979DF"/>
    <w:rsid w:val="00397B6C"/>
    <w:rsid w:val="0039C41B"/>
    <w:rsid w:val="003A054D"/>
    <w:rsid w:val="003A094C"/>
    <w:rsid w:val="003A0BD1"/>
    <w:rsid w:val="003A13A2"/>
    <w:rsid w:val="003A1A7E"/>
    <w:rsid w:val="003A1C5B"/>
    <w:rsid w:val="003A1E8C"/>
    <w:rsid w:val="003A21E0"/>
    <w:rsid w:val="003A2A65"/>
    <w:rsid w:val="003A345A"/>
    <w:rsid w:val="003A3784"/>
    <w:rsid w:val="003A403E"/>
    <w:rsid w:val="003A4120"/>
    <w:rsid w:val="003A44EA"/>
    <w:rsid w:val="003A4E53"/>
    <w:rsid w:val="003A5349"/>
    <w:rsid w:val="003A53F8"/>
    <w:rsid w:val="003A54CB"/>
    <w:rsid w:val="003A5790"/>
    <w:rsid w:val="003A5AEA"/>
    <w:rsid w:val="003A5D8E"/>
    <w:rsid w:val="003A5E94"/>
    <w:rsid w:val="003A6446"/>
    <w:rsid w:val="003A67AB"/>
    <w:rsid w:val="003A68D2"/>
    <w:rsid w:val="003A6A3E"/>
    <w:rsid w:val="003A6F7D"/>
    <w:rsid w:val="003A7EF2"/>
    <w:rsid w:val="003B06CE"/>
    <w:rsid w:val="003B0EC8"/>
    <w:rsid w:val="003B1115"/>
    <w:rsid w:val="003B128B"/>
    <w:rsid w:val="003B1C18"/>
    <w:rsid w:val="003B221B"/>
    <w:rsid w:val="003B25BD"/>
    <w:rsid w:val="003B2F2C"/>
    <w:rsid w:val="003B3530"/>
    <w:rsid w:val="003B3E47"/>
    <w:rsid w:val="003B423B"/>
    <w:rsid w:val="003B4466"/>
    <w:rsid w:val="003B45B8"/>
    <w:rsid w:val="003B4AAB"/>
    <w:rsid w:val="003B4EA9"/>
    <w:rsid w:val="003B4FE2"/>
    <w:rsid w:val="003B540D"/>
    <w:rsid w:val="003B7225"/>
    <w:rsid w:val="003B72A5"/>
    <w:rsid w:val="003B7581"/>
    <w:rsid w:val="003C040E"/>
    <w:rsid w:val="003C0777"/>
    <w:rsid w:val="003C0F45"/>
    <w:rsid w:val="003C10E8"/>
    <w:rsid w:val="003C165E"/>
    <w:rsid w:val="003C1E55"/>
    <w:rsid w:val="003C2392"/>
    <w:rsid w:val="003C2869"/>
    <w:rsid w:val="003C2D70"/>
    <w:rsid w:val="003C2E11"/>
    <w:rsid w:val="003C2F73"/>
    <w:rsid w:val="003C3392"/>
    <w:rsid w:val="003C3E67"/>
    <w:rsid w:val="003C4BD2"/>
    <w:rsid w:val="003C595D"/>
    <w:rsid w:val="003C5D4D"/>
    <w:rsid w:val="003C6938"/>
    <w:rsid w:val="003C69FD"/>
    <w:rsid w:val="003C6D11"/>
    <w:rsid w:val="003C73D0"/>
    <w:rsid w:val="003D0CC0"/>
    <w:rsid w:val="003D0F55"/>
    <w:rsid w:val="003D1385"/>
    <w:rsid w:val="003D149A"/>
    <w:rsid w:val="003D1994"/>
    <w:rsid w:val="003D1C92"/>
    <w:rsid w:val="003D2804"/>
    <w:rsid w:val="003D2DCE"/>
    <w:rsid w:val="003D3946"/>
    <w:rsid w:val="003D3B2C"/>
    <w:rsid w:val="003D4D04"/>
    <w:rsid w:val="003D577C"/>
    <w:rsid w:val="003D580C"/>
    <w:rsid w:val="003D5899"/>
    <w:rsid w:val="003D6314"/>
    <w:rsid w:val="003D6641"/>
    <w:rsid w:val="003D699D"/>
    <w:rsid w:val="003D6B13"/>
    <w:rsid w:val="003E0176"/>
    <w:rsid w:val="003E034F"/>
    <w:rsid w:val="003E0956"/>
    <w:rsid w:val="003E1E9E"/>
    <w:rsid w:val="003E2B97"/>
    <w:rsid w:val="003E2DF3"/>
    <w:rsid w:val="003E2F4B"/>
    <w:rsid w:val="003E3A08"/>
    <w:rsid w:val="003E4A8D"/>
    <w:rsid w:val="003E4BCB"/>
    <w:rsid w:val="003E4FC2"/>
    <w:rsid w:val="003E5753"/>
    <w:rsid w:val="003E595C"/>
    <w:rsid w:val="003E5FF6"/>
    <w:rsid w:val="003E6536"/>
    <w:rsid w:val="003E6A4C"/>
    <w:rsid w:val="003E6FEB"/>
    <w:rsid w:val="003E7FE0"/>
    <w:rsid w:val="003F077A"/>
    <w:rsid w:val="003F08A9"/>
    <w:rsid w:val="003F196C"/>
    <w:rsid w:val="003F19F7"/>
    <w:rsid w:val="003F1B53"/>
    <w:rsid w:val="003F1E4C"/>
    <w:rsid w:val="003F25E9"/>
    <w:rsid w:val="003F2CD1"/>
    <w:rsid w:val="003F30ED"/>
    <w:rsid w:val="003F334B"/>
    <w:rsid w:val="003F3F5A"/>
    <w:rsid w:val="003F3F9B"/>
    <w:rsid w:val="003F41D1"/>
    <w:rsid w:val="003F4769"/>
    <w:rsid w:val="003F4BA1"/>
    <w:rsid w:val="003F4C38"/>
    <w:rsid w:val="003F6284"/>
    <w:rsid w:val="003F6821"/>
    <w:rsid w:val="003F6BAA"/>
    <w:rsid w:val="003F6C92"/>
    <w:rsid w:val="003F6D92"/>
    <w:rsid w:val="003F6E18"/>
    <w:rsid w:val="003F6F23"/>
    <w:rsid w:val="003F715A"/>
    <w:rsid w:val="00400BB1"/>
    <w:rsid w:val="00400F1B"/>
    <w:rsid w:val="0040264F"/>
    <w:rsid w:val="00402D61"/>
    <w:rsid w:val="00402F98"/>
    <w:rsid w:val="0040305B"/>
    <w:rsid w:val="00403751"/>
    <w:rsid w:val="00404CBA"/>
    <w:rsid w:val="00405552"/>
    <w:rsid w:val="00405D72"/>
    <w:rsid w:val="004060A7"/>
    <w:rsid w:val="004061DE"/>
    <w:rsid w:val="00406469"/>
    <w:rsid w:val="00406E59"/>
    <w:rsid w:val="00406F5C"/>
    <w:rsid w:val="00407B54"/>
    <w:rsid w:val="00407C3E"/>
    <w:rsid w:val="00407C56"/>
    <w:rsid w:val="00407CCC"/>
    <w:rsid w:val="00407CDD"/>
    <w:rsid w:val="00407FD6"/>
    <w:rsid w:val="004103A5"/>
    <w:rsid w:val="00410CD8"/>
    <w:rsid w:val="00410E0F"/>
    <w:rsid w:val="0041109F"/>
    <w:rsid w:val="004113F7"/>
    <w:rsid w:val="00411AB3"/>
    <w:rsid w:val="00411B6B"/>
    <w:rsid w:val="0041263F"/>
    <w:rsid w:val="00412C43"/>
    <w:rsid w:val="0041305D"/>
    <w:rsid w:val="004136AF"/>
    <w:rsid w:val="004137E9"/>
    <w:rsid w:val="00413D92"/>
    <w:rsid w:val="004145B7"/>
    <w:rsid w:val="004158FB"/>
    <w:rsid w:val="00415C02"/>
    <w:rsid w:val="00416075"/>
    <w:rsid w:val="004162B9"/>
    <w:rsid w:val="0041732B"/>
    <w:rsid w:val="004179CB"/>
    <w:rsid w:val="00420356"/>
    <w:rsid w:val="004208B8"/>
    <w:rsid w:val="00420BAB"/>
    <w:rsid w:val="0042122D"/>
    <w:rsid w:val="004212FB"/>
    <w:rsid w:val="0042133B"/>
    <w:rsid w:val="00421EA9"/>
    <w:rsid w:val="00422221"/>
    <w:rsid w:val="00423319"/>
    <w:rsid w:val="004233C2"/>
    <w:rsid w:val="00423832"/>
    <w:rsid w:val="00423A36"/>
    <w:rsid w:val="00423EC8"/>
    <w:rsid w:val="00424698"/>
    <w:rsid w:val="0042469B"/>
    <w:rsid w:val="004249CF"/>
    <w:rsid w:val="00424B01"/>
    <w:rsid w:val="00425054"/>
    <w:rsid w:val="00425240"/>
    <w:rsid w:val="004255FA"/>
    <w:rsid w:val="00425798"/>
    <w:rsid w:val="00425CFA"/>
    <w:rsid w:val="00425F44"/>
    <w:rsid w:val="00426131"/>
    <w:rsid w:val="00430152"/>
    <w:rsid w:val="00430BF5"/>
    <w:rsid w:val="00432357"/>
    <w:rsid w:val="004324F4"/>
    <w:rsid w:val="004329E2"/>
    <w:rsid w:val="00432E18"/>
    <w:rsid w:val="0043337F"/>
    <w:rsid w:val="004336D0"/>
    <w:rsid w:val="00433A19"/>
    <w:rsid w:val="00433B42"/>
    <w:rsid w:val="00433BCA"/>
    <w:rsid w:val="00434279"/>
    <w:rsid w:val="0043450F"/>
    <w:rsid w:val="00434C6F"/>
    <w:rsid w:val="00435A14"/>
    <w:rsid w:val="00435E0B"/>
    <w:rsid w:val="00435F7E"/>
    <w:rsid w:val="00436005"/>
    <w:rsid w:val="00436F25"/>
    <w:rsid w:val="00437644"/>
    <w:rsid w:val="00437A4A"/>
    <w:rsid w:val="00437D36"/>
    <w:rsid w:val="00437D3D"/>
    <w:rsid w:val="00440D80"/>
    <w:rsid w:val="00441100"/>
    <w:rsid w:val="00441491"/>
    <w:rsid w:val="0044193A"/>
    <w:rsid w:val="00441B28"/>
    <w:rsid w:val="00442E9A"/>
    <w:rsid w:val="00443024"/>
    <w:rsid w:val="004437D9"/>
    <w:rsid w:val="00443F28"/>
    <w:rsid w:val="0044419B"/>
    <w:rsid w:val="00444D84"/>
    <w:rsid w:val="00445310"/>
    <w:rsid w:val="00445B60"/>
    <w:rsid w:val="00445C93"/>
    <w:rsid w:val="00445D12"/>
    <w:rsid w:val="004462E3"/>
    <w:rsid w:val="004467A7"/>
    <w:rsid w:val="00446C8E"/>
    <w:rsid w:val="00446D43"/>
    <w:rsid w:val="004472F9"/>
    <w:rsid w:val="004476BF"/>
    <w:rsid w:val="00447BF2"/>
    <w:rsid w:val="0045077E"/>
    <w:rsid w:val="00450A53"/>
    <w:rsid w:val="00450FF7"/>
    <w:rsid w:val="004512DD"/>
    <w:rsid w:val="004514C5"/>
    <w:rsid w:val="004516E0"/>
    <w:rsid w:val="0045196D"/>
    <w:rsid w:val="00452454"/>
    <w:rsid w:val="004531A6"/>
    <w:rsid w:val="004536C1"/>
    <w:rsid w:val="00454A59"/>
    <w:rsid w:val="00454AAE"/>
    <w:rsid w:val="00454CE8"/>
    <w:rsid w:val="004551F3"/>
    <w:rsid w:val="004554F4"/>
    <w:rsid w:val="00456464"/>
    <w:rsid w:val="00456F07"/>
    <w:rsid w:val="004570B9"/>
    <w:rsid w:val="004573D8"/>
    <w:rsid w:val="00457E4A"/>
    <w:rsid w:val="00460338"/>
    <w:rsid w:val="00460534"/>
    <w:rsid w:val="004609BE"/>
    <w:rsid w:val="00460BB9"/>
    <w:rsid w:val="004611A7"/>
    <w:rsid w:val="00461B4B"/>
    <w:rsid w:val="0046214E"/>
    <w:rsid w:val="004628B6"/>
    <w:rsid w:val="00462C47"/>
    <w:rsid w:val="00462EFA"/>
    <w:rsid w:val="00463564"/>
    <w:rsid w:val="004636B4"/>
    <w:rsid w:val="004638A7"/>
    <w:rsid w:val="004645CE"/>
    <w:rsid w:val="004649B1"/>
    <w:rsid w:val="00464C03"/>
    <w:rsid w:val="00466409"/>
    <w:rsid w:val="0046766B"/>
    <w:rsid w:val="00470491"/>
    <w:rsid w:val="00471218"/>
    <w:rsid w:val="0047127A"/>
    <w:rsid w:val="00471EB6"/>
    <w:rsid w:val="00472200"/>
    <w:rsid w:val="0047331B"/>
    <w:rsid w:val="0047357F"/>
    <w:rsid w:val="004747B2"/>
    <w:rsid w:val="00475407"/>
    <w:rsid w:val="00475624"/>
    <w:rsid w:val="0047569E"/>
    <w:rsid w:val="00475810"/>
    <w:rsid w:val="00475F2D"/>
    <w:rsid w:val="00475FCF"/>
    <w:rsid w:val="004762F2"/>
    <w:rsid w:val="00477156"/>
    <w:rsid w:val="00477C1D"/>
    <w:rsid w:val="00480095"/>
    <w:rsid w:val="004806B7"/>
    <w:rsid w:val="004809C9"/>
    <w:rsid w:val="00480A95"/>
    <w:rsid w:val="00480CA2"/>
    <w:rsid w:val="004810D7"/>
    <w:rsid w:val="0048137B"/>
    <w:rsid w:val="004813B5"/>
    <w:rsid w:val="00482129"/>
    <w:rsid w:val="00482179"/>
    <w:rsid w:val="00483309"/>
    <w:rsid w:val="00483A63"/>
    <w:rsid w:val="00484857"/>
    <w:rsid w:val="00484A48"/>
    <w:rsid w:val="0048518A"/>
    <w:rsid w:val="004852CE"/>
    <w:rsid w:val="004859FF"/>
    <w:rsid w:val="00486EE1"/>
    <w:rsid w:val="00487092"/>
    <w:rsid w:val="004876D8"/>
    <w:rsid w:val="0048796E"/>
    <w:rsid w:val="004905D9"/>
    <w:rsid w:val="00490A57"/>
    <w:rsid w:val="00490CD1"/>
    <w:rsid w:val="00490EC2"/>
    <w:rsid w:val="0049105B"/>
    <w:rsid w:val="00491552"/>
    <w:rsid w:val="004919B0"/>
    <w:rsid w:val="0049207B"/>
    <w:rsid w:val="00492924"/>
    <w:rsid w:val="00492A56"/>
    <w:rsid w:val="00492CBF"/>
    <w:rsid w:val="00492E0D"/>
    <w:rsid w:val="00492E2C"/>
    <w:rsid w:val="004931BC"/>
    <w:rsid w:val="004947AB"/>
    <w:rsid w:val="004948A8"/>
    <w:rsid w:val="00495309"/>
    <w:rsid w:val="00495479"/>
    <w:rsid w:val="004959A0"/>
    <w:rsid w:val="00495C65"/>
    <w:rsid w:val="00495C70"/>
    <w:rsid w:val="004961DB"/>
    <w:rsid w:val="00496344"/>
    <w:rsid w:val="00496384"/>
    <w:rsid w:val="004964A5"/>
    <w:rsid w:val="004966E3"/>
    <w:rsid w:val="0049740F"/>
    <w:rsid w:val="00497668"/>
    <w:rsid w:val="00497963"/>
    <w:rsid w:val="004A0251"/>
    <w:rsid w:val="004A0C72"/>
    <w:rsid w:val="004A0C90"/>
    <w:rsid w:val="004A1725"/>
    <w:rsid w:val="004A19DD"/>
    <w:rsid w:val="004A365F"/>
    <w:rsid w:val="004A3E95"/>
    <w:rsid w:val="004A4E73"/>
    <w:rsid w:val="004A52A5"/>
    <w:rsid w:val="004A58E7"/>
    <w:rsid w:val="004A59F8"/>
    <w:rsid w:val="004A6239"/>
    <w:rsid w:val="004A6460"/>
    <w:rsid w:val="004A6DD3"/>
    <w:rsid w:val="004A7308"/>
    <w:rsid w:val="004A75FA"/>
    <w:rsid w:val="004A76E1"/>
    <w:rsid w:val="004A7855"/>
    <w:rsid w:val="004A79DD"/>
    <w:rsid w:val="004A7AB1"/>
    <w:rsid w:val="004A7F3B"/>
    <w:rsid w:val="004B0907"/>
    <w:rsid w:val="004B0B50"/>
    <w:rsid w:val="004B0D8C"/>
    <w:rsid w:val="004B0F1B"/>
    <w:rsid w:val="004B1C30"/>
    <w:rsid w:val="004B2522"/>
    <w:rsid w:val="004B2D5A"/>
    <w:rsid w:val="004B3138"/>
    <w:rsid w:val="004B351A"/>
    <w:rsid w:val="004B382C"/>
    <w:rsid w:val="004B418D"/>
    <w:rsid w:val="004B5B22"/>
    <w:rsid w:val="004B5F05"/>
    <w:rsid w:val="004B606D"/>
    <w:rsid w:val="004B6080"/>
    <w:rsid w:val="004B62BE"/>
    <w:rsid w:val="004B6931"/>
    <w:rsid w:val="004B7406"/>
    <w:rsid w:val="004B7933"/>
    <w:rsid w:val="004B7B1E"/>
    <w:rsid w:val="004B7B36"/>
    <w:rsid w:val="004B7BAE"/>
    <w:rsid w:val="004C033A"/>
    <w:rsid w:val="004C11A4"/>
    <w:rsid w:val="004C1286"/>
    <w:rsid w:val="004C1549"/>
    <w:rsid w:val="004C16D6"/>
    <w:rsid w:val="004C16DF"/>
    <w:rsid w:val="004C21D0"/>
    <w:rsid w:val="004C27D5"/>
    <w:rsid w:val="004C281B"/>
    <w:rsid w:val="004C2A22"/>
    <w:rsid w:val="004C2ABF"/>
    <w:rsid w:val="004C2D45"/>
    <w:rsid w:val="004C2ED9"/>
    <w:rsid w:val="004C3024"/>
    <w:rsid w:val="004C3494"/>
    <w:rsid w:val="004C352F"/>
    <w:rsid w:val="004C3536"/>
    <w:rsid w:val="004C383C"/>
    <w:rsid w:val="004C3A07"/>
    <w:rsid w:val="004C4868"/>
    <w:rsid w:val="004C5AEA"/>
    <w:rsid w:val="004C6511"/>
    <w:rsid w:val="004C6AE8"/>
    <w:rsid w:val="004C6DA6"/>
    <w:rsid w:val="004C7940"/>
    <w:rsid w:val="004C7EC8"/>
    <w:rsid w:val="004D0ACF"/>
    <w:rsid w:val="004D0E7C"/>
    <w:rsid w:val="004D168B"/>
    <w:rsid w:val="004D17D4"/>
    <w:rsid w:val="004D2093"/>
    <w:rsid w:val="004D2C71"/>
    <w:rsid w:val="004D2EE9"/>
    <w:rsid w:val="004D49E5"/>
    <w:rsid w:val="004D53DF"/>
    <w:rsid w:val="004D55A9"/>
    <w:rsid w:val="004D5740"/>
    <w:rsid w:val="004D63D2"/>
    <w:rsid w:val="004D66F2"/>
    <w:rsid w:val="004D688C"/>
    <w:rsid w:val="004D72E3"/>
    <w:rsid w:val="004D7597"/>
    <w:rsid w:val="004D75A3"/>
    <w:rsid w:val="004D788A"/>
    <w:rsid w:val="004D7947"/>
    <w:rsid w:val="004D7952"/>
    <w:rsid w:val="004D7A05"/>
    <w:rsid w:val="004D7B09"/>
    <w:rsid w:val="004D7CD0"/>
    <w:rsid w:val="004D7F8C"/>
    <w:rsid w:val="004E065A"/>
    <w:rsid w:val="004E0B55"/>
    <w:rsid w:val="004E0B80"/>
    <w:rsid w:val="004E0CC4"/>
    <w:rsid w:val="004E0D05"/>
    <w:rsid w:val="004E0F57"/>
    <w:rsid w:val="004E15C5"/>
    <w:rsid w:val="004E163D"/>
    <w:rsid w:val="004E24FB"/>
    <w:rsid w:val="004E3006"/>
    <w:rsid w:val="004E37DD"/>
    <w:rsid w:val="004E3BCB"/>
    <w:rsid w:val="004E3DBE"/>
    <w:rsid w:val="004E3FB2"/>
    <w:rsid w:val="004E3FD9"/>
    <w:rsid w:val="004E40B8"/>
    <w:rsid w:val="004E5127"/>
    <w:rsid w:val="004E58B4"/>
    <w:rsid w:val="004E5C9F"/>
    <w:rsid w:val="004E75B0"/>
    <w:rsid w:val="004E7B0F"/>
    <w:rsid w:val="004E7B3E"/>
    <w:rsid w:val="004E7DCC"/>
    <w:rsid w:val="004F0398"/>
    <w:rsid w:val="004F08E4"/>
    <w:rsid w:val="004F0EEF"/>
    <w:rsid w:val="004F0F34"/>
    <w:rsid w:val="004F1212"/>
    <w:rsid w:val="004F16FC"/>
    <w:rsid w:val="004F183A"/>
    <w:rsid w:val="004F2ECB"/>
    <w:rsid w:val="004F3408"/>
    <w:rsid w:val="004F3577"/>
    <w:rsid w:val="004F3B46"/>
    <w:rsid w:val="004F3DB2"/>
    <w:rsid w:val="004F3EAC"/>
    <w:rsid w:val="004F4C7C"/>
    <w:rsid w:val="004F4CC6"/>
    <w:rsid w:val="004F4DE9"/>
    <w:rsid w:val="004F5897"/>
    <w:rsid w:val="004F5C33"/>
    <w:rsid w:val="004F5CC6"/>
    <w:rsid w:val="004F5D6B"/>
    <w:rsid w:val="004F616A"/>
    <w:rsid w:val="004F61E0"/>
    <w:rsid w:val="004F7033"/>
    <w:rsid w:val="004F72B9"/>
    <w:rsid w:val="004F75BE"/>
    <w:rsid w:val="004F7643"/>
    <w:rsid w:val="004F795A"/>
    <w:rsid w:val="004F7A7A"/>
    <w:rsid w:val="004F7DE4"/>
    <w:rsid w:val="004F7ECA"/>
    <w:rsid w:val="0050026A"/>
    <w:rsid w:val="00501999"/>
    <w:rsid w:val="00501A81"/>
    <w:rsid w:val="00502120"/>
    <w:rsid w:val="00502410"/>
    <w:rsid w:val="0050267F"/>
    <w:rsid w:val="00502856"/>
    <w:rsid w:val="00503469"/>
    <w:rsid w:val="00503747"/>
    <w:rsid w:val="00503A6A"/>
    <w:rsid w:val="00503FAA"/>
    <w:rsid w:val="00503FCC"/>
    <w:rsid w:val="0050436D"/>
    <w:rsid w:val="00504590"/>
    <w:rsid w:val="005047DC"/>
    <w:rsid w:val="00504B01"/>
    <w:rsid w:val="00505200"/>
    <w:rsid w:val="0050522E"/>
    <w:rsid w:val="005057E4"/>
    <w:rsid w:val="0050600A"/>
    <w:rsid w:val="0050664C"/>
    <w:rsid w:val="00506BBE"/>
    <w:rsid w:val="00507145"/>
    <w:rsid w:val="00507462"/>
    <w:rsid w:val="005077FC"/>
    <w:rsid w:val="00507948"/>
    <w:rsid w:val="00507AE2"/>
    <w:rsid w:val="00507B0C"/>
    <w:rsid w:val="00507F71"/>
    <w:rsid w:val="005102ED"/>
    <w:rsid w:val="00510B01"/>
    <w:rsid w:val="00510C56"/>
    <w:rsid w:val="00510C71"/>
    <w:rsid w:val="0051124B"/>
    <w:rsid w:val="00511625"/>
    <w:rsid w:val="0051289D"/>
    <w:rsid w:val="005128A8"/>
    <w:rsid w:val="00513DEB"/>
    <w:rsid w:val="005151D8"/>
    <w:rsid w:val="00515980"/>
    <w:rsid w:val="005159CA"/>
    <w:rsid w:val="00515E17"/>
    <w:rsid w:val="00516A86"/>
    <w:rsid w:val="0051730B"/>
    <w:rsid w:val="00517493"/>
    <w:rsid w:val="0051770B"/>
    <w:rsid w:val="00517A49"/>
    <w:rsid w:val="00517A8B"/>
    <w:rsid w:val="00517B19"/>
    <w:rsid w:val="00517C78"/>
    <w:rsid w:val="00521A4B"/>
    <w:rsid w:val="00522E46"/>
    <w:rsid w:val="00522F09"/>
    <w:rsid w:val="00522FD9"/>
    <w:rsid w:val="0052309D"/>
    <w:rsid w:val="00524087"/>
    <w:rsid w:val="00524D46"/>
    <w:rsid w:val="00525A9B"/>
    <w:rsid w:val="00525E15"/>
    <w:rsid w:val="00526138"/>
    <w:rsid w:val="0052622D"/>
    <w:rsid w:val="00526652"/>
    <w:rsid w:val="005269D7"/>
    <w:rsid w:val="0052723D"/>
    <w:rsid w:val="00530621"/>
    <w:rsid w:val="00530855"/>
    <w:rsid w:val="00530BD6"/>
    <w:rsid w:val="005314C8"/>
    <w:rsid w:val="00531594"/>
    <w:rsid w:val="005317FF"/>
    <w:rsid w:val="0053215A"/>
    <w:rsid w:val="0053224B"/>
    <w:rsid w:val="00532623"/>
    <w:rsid w:val="005331BF"/>
    <w:rsid w:val="005338C2"/>
    <w:rsid w:val="00533D56"/>
    <w:rsid w:val="00533DC9"/>
    <w:rsid w:val="00534706"/>
    <w:rsid w:val="00534859"/>
    <w:rsid w:val="005352DC"/>
    <w:rsid w:val="00535312"/>
    <w:rsid w:val="00535C4B"/>
    <w:rsid w:val="005369AC"/>
    <w:rsid w:val="00536D81"/>
    <w:rsid w:val="00536E42"/>
    <w:rsid w:val="00537049"/>
    <w:rsid w:val="00537382"/>
    <w:rsid w:val="005379CF"/>
    <w:rsid w:val="00537D3E"/>
    <w:rsid w:val="00537ED4"/>
    <w:rsid w:val="0054030F"/>
    <w:rsid w:val="0054132B"/>
    <w:rsid w:val="00542AD9"/>
    <w:rsid w:val="00542DB9"/>
    <w:rsid w:val="00542F58"/>
    <w:rsid w:val="00543F09"/>
    <w:rsid w:val="0054403F"/>
    <w:rsid w:val="0054446C"/>
    <w:rsid w:val="005446C3"/>
    <w:rsid w:val="0054491E"/>
    <w:rsid w:val="00544AF7"/>
    <w:rsid w:val="00544C91"/>
    <w:rsid w:val="00544E01"/>
    <w:rsid w:val="00545309"/>
    <w:rsid w:val="00545563"/>
    <w:rsid w:val="00545821"/>
    <w:rsid w:val="00546202"/>
    <w:rsid w:val="00546C88"/>
    <w:rsid w:val="00547259"/>
    <w:rsid w:val="0054734C"/>
    <w:rsid w:val="00547C18"/>
    <w:rsid w:val="00547D9E"/>
    <w:rsid w:val="00550F4A"/>
    <w:rsid w:val="00550F50"/>
    <w:rsid w:val="00551025"/>
    <w:rsid w:val="00551660"/>
    <w:rsid w:val="00551881"/>
    <w:rsid w:val="00551CB6"/>
    <w:rsid w:val="00552161"/>
    <w:rsid w:val="0055385A"/>
    <w:rsid w:val="005538C4"/>
    <w:rsid w:val="00553AF4"/>
    <w:rsid w:val="00554242"/>
    <w:rsid w:val="00554D2E"/>
    <w:rsid w:val="00554D56"/>
    <w:rsid w:val="005565CC"/>
    <w:rsid w:val="00556822"/>
    <w:rsid w:val="00556879"/>
    <w:rsid w:val="00556F75"/>
    <w:rsid w:val="005579B5"/>
    <w:rsid w:val="00557D2C"/>
    <w:rsid w:val="005601B4"/>
    <w:rsid w:val="005621CC"/>
    <w:rsid w:val="005622B4"/>
    <w:rsid w:val="0056242C"/>
    <w:rsid w:val="00562686"/>
    <w:rsid w:val="00563277"/>
    <w:rsid w:val="00563590"/>
    <w:rsid w:val="005642FC"/>
    <w:rsid w:val="0056598B"/>
    <w:rsid w:val="00565C2F"/>
    <w:rsid w:val="00566640"/>
    <w:rsid w:val="00567453"/>
    <w:rsid w:val="00567583"/>
    <w:rsid w:val="00570333"/>
    <w:rsid w:val="00570545"/>
    <w:rsid w:val="00571880"/>
    <w:rsid w:val="0057238E"/>
    <w:rsid w:val="005725A5"/>
    <w:rsid w:val="00572850"/>
    <w:rsid w:val="00572B16"/>
    <w:rsid w:val="00572CDF"/>
    <w:rsid w:val="00573566"/>
    <w:rsid w:val="00573D95"/>
    <w:rsid w:val="00573FDD"/>
    <w:rsid w:val="0057406C"/>
    <w:rsid w:val="00574862"/>
    <w:rsid w:val="00574AA5"/>
    <w:rsid w:val="00574FF4"/>
    <w:rsid w:val="00575329"/>
    <w:rsid w:val="00575726"/>
    <w:rsid w:val="005766D4"/>
    <w:rsid w:val="005776D8"/>
    <w:rsid w:val="0057777F"/>
    <w:rsid w:val="00577A37"/>
    <w:rsid w:val="00577CDD"/>
    <w:rsid w:val="00580C27"/>
    <w:rsid w:val="005812D9"/>
    <w:rsid w:val="00581C32"/>
    <w:rsid w:val="0058248D"/>
    <w:rsid w:val="00582502"/>
    <w:rsid w:val="0058255C"/>
    <w:rsid w:val="00582759"/>
    <w:rsid w:val="00582B9D"/>
    <w:rsid w:val="00583688"/>
    <w:rsid w:val="00583E8D"/>
    <w:rsid w:val="00583F76"/>
    <w:rsid w:val="00584416"/>
    <w:rsid w:val="00584956"/>
    <w:rsid w:val="00584D96"/>
    <w:rsid w:val="005860A6"/>
    <w:rsid w:val="00586D2F"/>
    <w:rsid w:val="00586E3D"/>
    <w:rsid w:val="00587387"/>
    <w:rsid w:val="00587449"/>
    <w:rsid w:val="0058778A"/>
    <w:rsid w:val="0058782F"/>
    <w:rsid w:val="00587838"/>
    <w:rsid w:val="00590078"/>
    <w:rsid w:val="005902F7"/>
    <w:rsid w:val="0059046D"/>
    <w:rsid w:val="00592144"/>
    <w:rsid w:val="00592517"/>
    <w:rsid w:val="005929BE"/>
    <w:rsid w:val="00592FCD"/>
    <w:rsid w:val="0059310D"/>
    <w:rsid w:val="00593977"/>
    <w:rsid w:val="00593993"/>
    <w:rsid w:val="00593E49"/>
    <w:rsid w:val="005940D6"/>
    <w:rsid w:val="0059445E"/>
    <w:rsid w:val="00594C0C"/>
    <w:rsid w:val="00594D00"/>
    <w:rsid w:val="00595012"/>
    <w:rsid w:val="0059501D"/>
    <w:rsid w:val="00595F50"/>
    <w:rsid w:val="00596261"/>
    <w:rsid w:val="00596361"/>
    <w:rsid w:val="005964F5"/>
    <w:rsid w:val="00596C73"/>
    <w:rsid w:val="005974E1"/>
    <w:rsid w:val="0059753C"/>
    <w:rsid w:val="00597978"/>
    <w:rsid w:val="00597BCB"/>
    <w:rsid w:val="00597D40"/>
    <w:rsid w:val="00597E0F"/>
    <w:rsid w:val="005A0374"/>
    <w:rsid w:val="005A037C"/>
    <w:rsid w:val="005A0415"/>
    <w:rsid w:val="005A107C"/>
    <w:rsid w:val="005A120D"/>
    <w:rsid w:val="005A129C"/>
    <w:rsid w:val="005A1F6F"/>
    <w:rsid w:val="005A205E"/>
    <w:rsid w:val="005A250F"/>
    <w:rsid w:val="005A296D"/>
    <w:rsid w:val="005A2A66"/>
    <w:rsid w:val="005A2DD0"/>
    <w:rsid w:val="005A3461"/>
    <w:rsid w:val="005A34C4"/>
    <w:rsid w:val="005A446B"/>
    <w:rsid w:val="005A50E6"/>
    <w:rsid w:val="005A5570"/>
    <w:rsid w:val="005A5BA7"/>
    <w:rsid w:val="005A5D45"/>
    <w:rsid w:val="005A5E24"/>
    <w:rsid w:val="005A718A"/>
    <w:rsid w:val="005A72EE"/>
    <w:rsid w:val="005A7C8D"/>
    <w:rsid w:val="005A7EE8"/>
    <w:rsid w:val="005B05C9"/>
    <w:rsid w:val="005B0897"/>
    <w:rsid w:val="005B09D5"/>
    <w:rsid w:val="005B1BB0"/>
    <w:rsid w:val="005B20A1"/>
    <w:rsid w:val="005B288D"/>
    <w:rsid w:val="005B29D2"/>
    <w:rsid w:val="005B3098"/>
    <w:rsid w:val="005B45CE"/>
    <w:rsid w:val="005B48FF"/>
    <w:rsid w:val="005B4979"/>
    <w:rsid w:val="005B4A78"/>
    <w:rsid w:val="005B4B22"/>
    <w:rsid w:val="005B5C28"/>
    <w:rsid w:val="005B5C59"/>
    <w:rsid w:val="005C0457"/>
    <w:rsid w:val="005C0DF0"/>
    <w:rsid w:val="005C10ED"/>
    <w:rsid w:val="005C1489"/>
    <w:rsid w:val="005C1E02"/>
    <w:rsid w:val="005C234C"/>
    <w:rsid w:val="005C33DC"/>
    <w:rsid w:val="005C3E55"/>
    <w:rsid w:val="005C5910"/>
    <w:rsid w:val="005C5FC2"/>
    <w:rsid w:val="005C6D2A"/>
    <w:rsid w:val="005C7744"/>
    <w:rsid w:val="005C7C8F"/>
    <w:rsid w:val="005D0098"/>
    <w:rsid w:val="005D1280"/>
    <w:rsid w:val="005D16E9"/>
    <w:rsid w:val="005D1ABF"/>
    <w:rsid w:val="005D1F55"/>
    <w:rsid w:val="005D1F7A"/>
    <w:rsid w:val="005D2505"/>
    <w:rsid w:val="005D2532"/>
    <w:rsid w:val="005D2AEF"/>
    <w:rsid w:val="005D2DAA"/>
    <w:rsid w:val="005D2DD9"/>
    <w:rsid w:val="005D3A9D"/>
    <w:rsid w:val="005D4054"/>
    <w:rsid w:val="005D4150"/>
    <w:rsid w:val="005D43E0"/>
    <w:rsid w:val="005D494B"/>
    <w:rsid w:val="005D52EC"/>
    <w:rsid w:val="005D5401"/>
    <w:rsid w:val="005D5ABD"/>
    <w:rsid w:val="005D61DA"/>
    <w:rsid w:val="005D660E"/>
    <w:rsid w:val="005D6856"/>
    <w:rsid w:val="005D6904"/>
    <w:rsid w:val="005D7B69"/>
    <w:rsid w:val="005D7E88"/>
    <w:rsid w:val="005D7F09"/>
    <w:rsid w:val="005E02DB"/>
    <w:rsid w:val="005E03FC"/>
    <w:rsid w:val="005E147B"/>
    <w:rsid w:val="005E164C"/>
    <w:rsid w:val="005E19F1"/>
    <w:rsid w:val="005E2156"/>
    <w:rsid w:val="005E23BB"/>
    <w:rsid w:val="005E27D8"/>
    <w:rsid w:val="005E29F0"/>
    <w:rsid w:val="005E2E80"/>
    <w:rsid w:val="005E2F12"/>
    <w:rsid w:val="005E3954"/>
    <w:rsid w:val="005E3955"/>
    <w:rsid w:val="005E4204"/>
    <w:rsid w:val="005E49AE"/>
    <w:rsid w:val="005E4C3B"/>
    <w:rsid w:val="005E4CDE"/>
    <w:rsid w:val="005E54F1"/>
    <w:rsid w:val="005E56AB"/>
    <w:rsid w:val="005E5714"/>
    <w:rsid w:val="005E5E0F"/>
    <w:rsid w:val="005E68B1"/>
    <w:rsid w:val="005E6C57"/>
    <w:rsid w:val="005E7363"/>
    <w:rsid w:val="005E74AF"/>
    <w:rsid w:val="005E75B8"/>
    <w:rsid w:val="005E77F4"/>
    <w:rsid w:val="005E7B9A"/>
    <w:rsid w:val="005F1711"/>
    <w:rsid w:val="005F18A9"/>
    <w:rsid w:val="005F1B88"/>
    <w:rsid w:val="005F1CB0"/>
    <w:rsid w:val="005F1F7C"/>
    <w:rsid w:val="005F24CF"/>
    <w:rsid w:val="005F2753"/>
    <w:rsid w:val="005F2ABC"/>
    <w:rsid w:val="005F3BC2"/>
    <w:rsid w:val="005F40C7"/>
    <w:rsid w:val="005F4896"/>
    <w:rsid w:val="005F4B82"/>
    <w:rsid w:val="005F4EE0"/>
    <w:rsid w:val="005F50DC"/>
    <w:rsid w:val="005F53E2"/>
    <w:rsid w:val="005F5A9E"/>
    <w:rsid w:val="005F5D29"/>
    <w:rsid w:val="005F6495"/>
    <w:rsid w:val="005F69DB"/>
    <w:rsid w:val="005F6EA5"/>
    <w:rsid w:val="005F7368"/>
    <w:rsid w:val="0060013B"/>
    <w:rsid w:val="00600DB6"/>
    <w:rsid w:val="0060111E"/>
    <w:rsid w:val="00601381"/>
    <w:rsid w:val="006021C3"/>
    <w:rsid w:val="00602D92"/>
    <w:rsid w:val="00602EF5"/>
    <w:rsid w:val="0060318C"/>
    <w:rsid w:val="006034BB"/>
    <w:rsid w:val="006051DB"/>
    <w:rsid w:val="00605486"/>
    <w:rsid w:val="006057F2"/>
    <w:rsid w:val="00605BF8"/>
    <w:rsid w:val="00605E08"/>
    <w:rsid w:val="00606302"/>
    <w:rsid w:val="00606712"/>
    <w:rsid w:val="00606B7F"/>
    <w:rsid w:val="00606B92"/>
    <w:rsid w:val="006071F0"/>
    <w:rsid w:val="00607865"/>
    <w:rsid w:val="00607D9C"/>
    <w:rsid w:val="00610D0A"/>
    <w:rsid w:val="00610DAB"/>
    <w:rsid w:val="006110AE"/>
    <w:rsid w:val="0061121E"/>
    <w:rsid w:val="0061137D"/>
    <w:rsid w:val="0061173D"/>
    <w:rsid w:val="00611EFE"/>
    <w:rsid w:val="00611F39"/>
    <w:rsid w:val="00612011"/>
    <w:rsid w:val="00612019"/>
    <w:rsid w:val="006122DD"/>
    <w:rsid w:val="00612C8B"/>
    <w:rsid w:val="00613B52"/>
    <w:rsid w:val="00613E2F"/>
    <w:rsid w:val="006140E7"/>
    <w:rsid w:val="00614358"/>
    <w:rsid w:val="00614F52"/>
    <w:rsid w:val="00615A18"/>
    <w:rsid w:val="00615B90"/>
    <w:rsid w:val="00615DD2"/>
    <w:rsid w:val="006169AE"/>
    <w:rsid w:val="00617097"/>
    <w:rsid w:val="006174B5"/>
    <w:rsid w:val="00617DE6"/>
    <w:rsid w:val="00620026"/>
    <w:rsid w:val="00620C34"/>
    <w:rsid w:val="00620FA2"/>
    <w:rsid w:val="0062156A"/>
    <w:rsid w:val="006223EA"/>
    <w:rsid w:val="00622A1F"/>
    <w:rsid w:val="006231D5"/>
    <w:rsid w:val="0062347A"/>
    <w:rsid w:val="006236F1"/>
    <w:rsid w:val="006249DF"/>
    <w:rsid w:val="006250F7"/>
    <w:rsid w:val="00625786"/>
    <w:rsid w:val="00625B1C"/>
    <w:rsid w:val="00626151"/>
    <w:rsid w:val="00626E61"/>
    <w:rsid w:val="00627602"/>
    <w:rsid w:val="00627604"/>
    <w:rsid w:val="00630675"/>
    <w:rsid w:val="00630F3D"/>
    <w:rsid w:val="006321AB"/>
    <w:rsid w:val="006327D4"/>
    <w:rsid w:val="00632B3C"/>
    <w:rsid w:val="00633259"/>
    <w:rsid w:val="00634343"/>
    <w:rsid w:val="00634ECB"/>
    <w:rsid w:val="006352B2"/>
    <w:rsid w:val="00635429"/>
    <w:rsid w:val="00635707"/>
    <w:rsid w:val="00635E74"/>
    <w:rsid w:val="0063642D"/>
    <w:rsid w:val="006365E8"/>
    <w:rsid w:val="00636614"/>
    <w:rsid w:val="00636651"/>
    <w:rsid w:val="00636DEE"/>
    <w:rsid w:val="006371FD"/>
    <w:rsid w:val="0063725A"/>
    <w:rsid w:val="0063745D"/>
    <w:rsid w:val="006378F9"/>
    <w:rsid w:val="0064063E"/>
    <w:rsid w:val="006406F5"/>
    <w:rsid w:val="006412EF"/>
    <w:rsid w:val="006418EA"/>
    <w:rsid w:val="006419D8"/>
    <w:rsid w:val="00641FA5"/>
    <w:rsid w:val="00642632"/>
    <w:rsid w:val="006426E5"/>
    <w:rsid w:val="00643106"/>
    <w:rsid w:val="00643768"/>
    <w:rsid w:val="00644D3E"/>
    <w:rsid w:val="0064581E"/>
    <w:rsid w:val="00645A78"/>
    <w:rsid w:val="006465CB"/>
    <w:rsid w:val="006466A0"/>
    <w:rsid w:val="006469F2"/>
    <w:rsid w:val="00646B27"/>
    <w:rsid w:val="00646C80"/>
    <w:rsid w:val="00646F3E"/>
    <w:rsid w:val="006472DE"/>
    <w:rsid w:val="006473BF"/>
    <w:rsid w:val="0064797B"/>
    <w:rsid w:val="00647DD4"/>
    <w:rsid w:val="00647F18"/>
    <w:rsid w:val="0065014F"/>
    <w:rsid w:val="00650449"/>
    <w:rsid w:val="0065071C"/>
    <w:rsid w:val="0065099D"/>
    <w:rsid w:val="00650C80"/>
    <w:rsid w:val="00650CA0"/>
    <w:rsid w:val="00650FA1"/>
    <w:rsid w:val="00651222"/>
    <w:rsid w:val="00651B7A"/>
    <w:rsid w:val="00651F3C"/>
    <w:rsid w:val="00652923"/>
    <w:rsid w:val="0065396A"/>
    <w:rsid w:val="00653B32"/>
    <w:rsid w:val="00653F2B"/>
    <w:rsid w:val="00654A70"/>
    <w:rsid w:val="00655115"/>
    <w:rsid w:val="006552DB"/>
    <w:rsid w:val="00655B57"/>
    <w:rsid w:val="006560A9"/>
    <w:rsid w:val="00656348"/>
    <w:rsid w:val="00656D9F"/>
    <w:rsid w:val="006571EF"/>
    <w:rsid w:val="0066040D"/>
    <w:rsid w:val="00660954"/>
    <w:rsid w:val="00661042"/>
    <w:rsid w:val="00661061"/>
    <w:rsid w:val="00661D1A"/>
    <w:rsid w:val="00662421"/>
    <w:rsid w:val="0066248D"/>
    <w:rsid w:val="006624F0"/>
    <w:rsid w:val="0066276D"/>
    <w:rsid w:val="00662F3E"/>
    <w:rsid w:val="006632EA"/>
    <w:rsid w:val="006639B3"/>
    <w:rsid w:val="00663E8F"/>
    <w:rsid w:val="00664B34"/>
    <w:rsid w:val="00664B6C"/>
    <w:rsid w:val="006651F6"/>
    <w:rsid w:val="00665573"/>
    <w:rsid w:val="0066579A"/>
    <w:rsid w:val="00665812"/>
    <w:rsid w:val="00666D21"/>
    <w:rsid w:val="00666FE7"/>
    <w:rsid w:val="00667205"/>
    <w:rsid w:val="006672C1"/>
    <w:rsid w:val="006675ED"/>
    <w:rsid w:val="00670139"/>
    <w:rsid w:val="0067062C"/>
    <w:rsid w:val="00670BF6"/>
    <w:rsid w:val="006721E0"/>
    <w:rsid w:val="00672545"/>
    <w:rsid w:val="006729EA"/>
    <w:rsid w:val="00673817"/>
    <w:rsid w:val="00673933"/>
    <w:rsid w:val="0067475B"/>
    <w:rsid w:val="006749FF"/>
    <w:rsid w:val="00674F95"/>
    <w:rsid w:val="00674FE7"/>
    <w:rsid w:val="00675CFD"/>
    <w:rsid w:val="00675DF2"/>
    <w:rsid w:val="00676123"/>
    <w:rsid w:val="00676501"/>
    <w:rsid w:val="006766E3"/>
    <w:rsid w:val="0067774C"/>
    <w:rsid w:val="00677948"/>
    <w:rsid w:val="00677E6A"/>
    <w:rsid w:val="00680846"/>
    <w:rsid w:val="006808BF"/>
    <w:rsid w:val="0068116B"/>
    <w:rsid w:val="00681219"/>
    <w:rsid w:val="00682259"/>
    <w:rsid w:val="006834CC"/>
    <w:rsid w:val="00683D1C"/>
    <w:rsid w:val="00684275"/>
    <w:rsid w:val="006845E7"/>
    <w:rsid w:val="00684E08"/>
    <w:rsid w:val="00685099"/>
    <w:rsid w:val="00685161"/>
    <w:rsid w:val="00685C41"/>
    <w:rsid w:val="00685DE2"/>
    <w:rsid w:val="006863C5"/>
    <w:rsid w:val="00687657"/>
    <w:rsid w:val="006900CD"/>
    <w:rsid w:val="00690FAF"/>
    <w:rsid w:val="0069126B"/>
    <w:rsid w:val="00692B60"/>
    <w:rsid w:val="00692B65"/>
    <w:rsid w:val="0069366D"/>
    <w:rsid w:val="00693848"/>
    <w:rsid w:val="00694639"/>
    <w:rsid w:val="00694820"/>
    <w:rsid w:val="00694920"/>
    <w:rsid w:val="00694B41"/>
    <w:rsid w:val="006950B8"/>
    <w:rsid w:val="00695189"/>
    <w:rsid w:val="00695E38"/>
    <w:rsid w:val="00695FC6"/>
    <w:rsid w:val="00696983"/>
    <w:rsid w:val="00697177"/>
    <w:rsid w:val="006973CA"/>
    <w:rsid w:val="006978DF"/>
    <w:rsid w:val="00697EFC"/>
    <w:rsid w:val="00697F9D"/>
    <w:rsid w:val="006A002E"/>
    <w:rsid w:val="006A023A"/>
    <w:rsid w:val="006A08A0"/>
    <w:rsid w:val="006A095B"/>
    <w:rsid w:val="006A0A63"/>
    <w:rsid w:val="006A142F"/>
    <w:rsid w:val="006A14D6"/>
    <w:rsid w:val="006A15C9"/>
    <w:rsid w:val="006A26C7"/>
    <w:rsid w:val="006A28C4"/>
    <w:rsid w:val="006A2B77"/>
    <w:rsid w:val="006A3F36"/>
    <w:rsid w:val="006A41FF"/>
    <w:rsid w:val="006A4F77"/>
    <w:rsid w:val="006A50F6"/>
    <w:rsid w:val="006A5151"/>
    <w:rsid w:val="006A5453"/>
    <w:rsid w:val="006A555B"/>
    <w:rsid w:val="006A59EC"/>
    <w:rsid w:val="006A5A4B"/>
    <w:rsid w:val="006A5C53"/>
    <w:rsid w:val="006A5E78"/>
    <w:rsid w:val="006A5FC0"/>
    <w:rsid w:val="006A62FB"/>
    <w:rsid w:val="006A6CBB"/>
    <w:rsid w:val="006A7316"/>
    <w:rsid w:val="006A74BF"/>
    <w:rsid w:val="006A7CF0"/>
    <w:rsid w:val="006A7D7B"/>
    <w:rsid w:val="006B00E7"/>
    <w:rsid w:val="006B05FB"/>
    <w:rsid w:val="006B0725"/>
    <w:rsid w:val="006B0828"/>
    <w:rsid w:val="006B16A2"/>
    <w:rsid w:val="006B1ABC"/>
    <w:rsid w:val="006B2121"/>
    <w:rsid w:val="006B23D2"/>
    <w:rsid w:val="006B252C"/>
    <w:rsid w:val="006B2E79"/>
    <w:rsid w:val="006B2EEA"/>
    <w:rsid w:val="006B3BB1"/>
    <w:rsid w:val="006B4A45"/>
    <w:rsid w:val="006B4F0C"/>
    <w:rsid w:val="006B5304"/>
    <w:rsid w:val="006B5F5B"/>
    <w:rsid w:val="006B638F"/>
    <w:rsid w:val="006B6DA2"/>
    <w:rsid w:val="006B79AD"/>
    <w:rsid w:val="006C0488"/>
    <w:rsid w:val="006C0984"/>
    <w:rsid w:val="006C18DC"/>
    <w:rsid w:val="006C1EA6"/>
    <w:rsid w:val="006C31BC"/>
    <w:rsid w:val="006C3B18"/>
    <w:rsid w:val="006C5A2F"/>
    <w:rsid w:val="006C5B9E"/>
    <w:rsid w:val="006C6155"/>
    <w:rsid w:val="006C7211"/>
    <w:rsid w:val="006C7294"/>
    <w:rsid w:val="006C79ED"/>
    <w:rsid w:val="006D0668"/>
    <w:rsid w:val="006D08F5"/>
    <w:rsid w:val="006D0AFA"/>
    <w:rsid w:val="006D0C7F"/>
    <w:rsid w:val="006D0D9D"/>
    <w:rsid w:val="006D0E60"/>
    <w:rsid w:val="006D1FE5"/>
    <w:rsid w:val="006D2102"/>
    <w:rsid w:val="006D293B"/>
    <w:rsid w:val="006D3103"/>
    <w:rsid w:val="006D3D35"/>
    <w:rsid w:val="006D3F9C"/>
    <w:rsid w:val="006D4493"/>
    <w:rsid w:val="006D453B"/>
    <w:rsid w:val="006D457B"/>
    <w:rsid w:val="006D5304"/>
    <w:rsid w:val="006D5485"/>
    <w:rsid w:val="006D588A"/>
    <w:rsid w:val="006D5CED"/>
    <w:rsid w:val="006D5D54"/>
    <w:rsid w:val="006D64A9"/>
    <w:rsid w:val="006D76D4"/>
    <w:rsid w:val="006D783B"/>
    <w:rsid w:val="006D7B2D"/>
    <w:rsid w:val="006D7FD2"/>
    <w:rsid w:val="006D7FE1"/>
    <w:rsid w:val="006E0819"/>
    <w:rsid w:val="006E10AF"/>
    <w:rsid w:val="006E10E3"/>
    <w:rsid w:val="006E11F4"/>
    <w:rsid w:val="006E18FA"/>
    <w:rsid w:val="006E1E09"/>
    <w:rsid w:val="006E2053"/>
    <w:rsid w:val="006E2070"/>
    <w:rsid w:val="006E2192"/>
    <w:rsid w:val="006E28C6"/>
    <w:rsid w:val="006E28DE"/>
    <w:rsid w:val="006E2B39"/>
    <w:rsid w:val="006E2BE4"/>
    <w:rsid w:val="006E2CC6"/>
    <w:rsid w:val="006E3A2C"/>
    <w:rsid w:val="006E414B"/>
    <w:rsid w:val="006E4174"/>
    <w:rsid w:val="006E454A"/>
    <w:rsid w:val="006E47D7"/>
    <w:rsid w:val="006E4A44"/>
    <w:rsid w:val="006E4E18"/>
    <w:rsid w:val="006E4ED6"/>
    <w:rsid w:val="006E4F00"/>
    <w:rsid w:val="006E5182"/>
    <w:rsid w:val="006E52DA"/>
    <w:rsid w:val="006E5479"/>
    <w:rsid w:val="006E57A4"/>
    <w:rsid w:val="006E5CD1"/>
    <w:rsid w:val="006E6454"/>
    <w:rsid w:val="006E6BCD"/>
    <w:rsid w:val="006E73CF"/>
    <w:rsid w:val="006F0BD1"/>
    <w:rsid w:val="006F13E8"/>
    <w:rsid w:val="006F2026"/>
    <w:rsid w:val="006F2B40"/>
    <w:rsid w:val="006F2DA5"/>
    <w:rsid w:val="006F2DC5"/>
    <w:rsid w:val="006F2F5F"/>
    <w:rsid w:val="006F3769"/>
    <w:rsid w:val="006F3B24"/>
    <w:rsid w:val="006F4229"/>
    <w:rsid w:val="006F438D"/>
    <w:rsid w:val="006F4C31"/>
    <w:rsid w:val="006F5E57"/>
    <w:rsid w:val="006F648A"/>
    <w:rsid w:val="006F75E6"/>
    <w:rsid w:val="006F7BA1"/>
    <w:rsid w:val="006F7CD6"/>
    <w:rsid w:val="006F7ED8"/>
    <w:rsid w:val="0070012D"/>
    <w:rsid w:val="00700E2F"/>
    <w:rsid w:val="00701723"/>
    <w:rsid w:val="00701E7D"/>
    <w:rsid w:val="00701EBC"/>
    <w:rsid w:val="00701FBC"/>
    <w:rsid w:val="00703133"/>
    <w:rsid w:val="007033AE"/>
    <w:rsid w:val="00703B60"/>
    <w:rsid w:val="00704158"/>
    <w:rsid w:val="00705AA0"/>
    <w:rsid w:val="00705CC1"/>
    <w:rsid w:val="00705FF9"/>
    <w:rsid w:val="007061B9"/>
    <w:rsid w:val="007074B3"/>
    <w:rsid w:val="00707824"/>
    <w:rsid w:val="00707A10"/>
    <w:rsid w:val="00707AEC"/>
    <w:rsid w:val="00707F8C"/>
    <w:rsid w:val="00710AA0"/>
    <w:rsid w:val="00710BF8"/>
    <w:rsid w:val="007114CC"/>
    <w:rsid w:val="00711C47"/>
    <w:rsid w:val="00712F6B"/>
    <w:rsid w:val="00713180"/>
    <w:rsid w:val="00713552"/>
    <w:rsid w:val="00713BA1"/>
    <w:rsid w:val="00713CF1"/>
    <w:rsid w:val="0071405B"/>
    <w:rsid w:val="007149F6"/>
    <w:rsid w:val="00714EDF"/>
    <w:rsid w:val="007159EB"/>
    <w:rsid w:val="00716745"/>
    <w:rsid w:val="0071696B"/>
    <w:rsid w:val="00716B5F"/>
    <w:rsid w:val="00716FBA"/>
    <w:rsid w:val="007170A4"/>
    <w:rsid w:val="00717298"/>
    <w:rsid w:val="00717E51"/>
    <w:rsid w:val="0072156A"/>
    <w:rsid w:val="007219BD"/>
    <w:rsid w:val="00722B26"/>
    <w:rsid w:val="00722DC8"/>
    <w:rsid w:val="007232D2"/>
    <w:rsid w:val="007238C4"/>
    <w:rsid w:val="00723ED2"/>
    <w:rsid w:val="00723F79"/>
    <w:rsid w:val="00724AB4"/>
    <w:rsid w:val="00724BD3"/>
    <w:rsid w:val="00725B98"/>
    <w:rsid w:val="007272CC"/>
    <w:rsid w:val="007275F3"/>
    <w:rsid w:val="007278BB"/>
    <w:rsid w:val="0073082F"/>
    <w:rsid w:val="00730D09"/>
    <w:rsid w:val="0073111C"/>
    <w:rsid w:val="00731559"/>
    <w:rsid w:val="00731A00"/>
    <w:rsid w:val="00732441"/>
    <w:rsid w:val="00732748"/>
    <w:rsid w:val="0073294B"/>
    <w:rsid w:val="00732D5C"/>
    <w:rsid w:val="0073347C"/>
    <w:rsid w:val="00733CE2"/>
    <w:rsid w:val="00733CEF"/>
    <w:rsid w:val="00733F2B"/>
    <w:rsid w:val="0073429C"/>
    <w:rsid w:val="00734817"/>
    <w:rsid w:val="00734C1C"/>
    <w:rsid w:val="007357C0"/>
    <w:rsid w:val="00735848"/>
    <w:rsid w:val="007358E5"/>
    <w:rsid w:val="00735B05"/>
    <w:rsid w:val="00735B0D"/>
    <w:rsid w:val="007364EC"/>
    <w:rsid w:val="007365A3"/>
    <w:rsid w:val="00736677"/>
    <w:rsid w:val="007368C1"/>
    <w:rsid w:val="007374DE"/>
    <w:rsid w:val="00740850"/>
    <w:rsid w:val="00740926"/>
    <w:rsid w:val="00740972"/>
    <w:rsid w:val="00741224"/>
    <w:rsid w:val="00741455"/>
    <w:rsid w:val="0074147F"/>
    <w:rsid w:val="00741A4E"/>
    <w:rsid w:val="00741A7A"/>
    <w:rsid w:val="00743148"/>
    <w:rsid w:val="007432FA"/>
    <w:rsid w:val="00743392"/>
    <w:rsid w:val="007434D8"/>
    <w:rsid w:val="00743529"/>
    <w:rsid w:val="007437C6"/>
    <w:rsid w:val="00743CC5"/>
    <w:rsid w:val="0074404F"/>
    <w:rsid w:val="00744C99"/>
    <w:rsid w:val="00745BC4"/>
    <w:rsid w:val="00745F24"/>
    <w:rsid w:val="0074607E"/>
    <w:rsid w:val="0074608C"/>
    <w:rsid w:val="00746553"/>
    <w:rsid w:val="00746869"/>
    <w:rsid w:val="00746B3C"/>
    <w:rsid w:val="007472D6"/>
    <w:rsid w:val="00750247"/>
    <w:rsid w:val="00750DCF"/>
    <w:rsid w:val="00750E4C"/>
    <w:rsid w:val="0075104A"/>
    <w:rsid w:val="007516B7"/>
    <w:rsid w:val="00752131"/>
    <w:rsid w:val="0075310D"/>
    <w:rsid w:val="0075329B"/>
    <w:rsid w:val="007537F6"/>
    <w:rsid w:val="0075433C"/>
    <w:rsid w:val="0075478E"/>
    <w:rsid w:val="007555DE"/>
    <w:rsid w:val="00755923"/>
    <w:rsid w:val="007562A3"/>
    <w:rsid w:val="00757593"/>
    <w:rsid w:val="00757CDD"/>
    <w:rsid w:val="00760612"/>
    <w:rsid w:val="0076062F"/>
    <w:rsid w:val="0076083C"/>
    <w:rsid w:val="00761338"/>
    <w:rsid w:val="0076166F"/>
    <w:rsid w:val="00761C93"/>
    <w:rsid w:val="00762528"/>
    <w:rsid w:val="00762B87"/>
    <w:rsid w:val="00762C72"/>
    <w:rsid w:val="00763200"/>
    <w:rsid w:val="007635C3"/>
    <w:rsid w:val="00763624"/>
    <w:rsid w:val="00763BED"/>
    <w:rsid w:val="00763C23"/>
    <w:rsid w:val="007640EF"/>
    <w:rsid w:val="007656C8"/>
    <w:rsid w:val="0076675C"/>
    <w:rsid w:val="00766EFC"/>
    <w:rsid w:val="0076712F"/>
    <w:rsid w:val="0076780C"/>
    <w:rsid w:val="00767CE7"/>
    <w:rsid w:val="00770839"/>
    <w:rsid w:val="007713AC"/>
    <w:rsid w:val="00771428"/>
    <w:rsid w:val="007715DF"/>
    <w:rsid w:val="00772172"/>
    <w:rsid w:val="00773519"/>
    <w:rsid w:val="00773945"/>
    <w:rsid w:val="00773DBD"/>
    <w:rsid w:val="0077407E"/>
    <w:rsid w:val="007741F0"/>
    <w:rsid w:val="007741F6"/>
    <w:rsid w:val="0077489E"/>
    <w:rsid w:val="0077509B"/>
    <w:rsid w:val="007757B4"/>
    <w:rsid w:val="007757D1"/>
    <w:rsid w:val="007758D7"/>
    <w:rsid w:val="0077669C"/>
    <w:rsid w:val="007768E0"/>
    <w:rsid w:val="00777270"/>
    <w:rsid w:val="00777955"/>
    <w:rsid w:val="00777CCF"/>
    <w:rsid w:val="007800CB"/>
    <w:rsid w:val="007809F1"/>
    <w:rsid w:val="0078124F"/>
    <w:rsid w:val="007817B5"/>
    <w:rsid w:val="00781BA9"/>
    <w:rsid w:val="007823D8"/>
    <w:rsid w:val="00782684"/>
    <w:rsid w:val="00782BDE"/>
    <w:rsid w:val="00783140"/>
    <w:rsid w:val="0078385E"/>
    <w:rsid w:val="00783985"/>
    <w:rsid w:val="00783D38"/>
    <w:rsid w:val="00783EEB"/>
    <w:rsid w:val="0078414F"/>
    <w:rsid w:val="0078454A"/>
    <w:rsid w:val="00784C2D"/>
    <w:rsid w:val="00784D60"/>
    <w:rsid w:val="0078556A"/>
    <w:rsid w:val="00786299"/>
    <w:rsid w:val="007862BD"/>
    <w:rsid w:val="00786E77"/>
    <w:rsid w:val="007874BB"/>
    <w:rsid w:val="0078756B"/>
    <w:rsid w:val="007879EF"/>
    <w:rsid w:val="00790BD1"/>
    <w:rsid w:val="00791662"/>
    <w:rsid w:val="007917E1"/>
    <w:rsid w:val="007918F1"/>
    <w:rsid w:val="00791AE4"/>
    <w:rsid w:val="00791ECF"/>
    <w:rsid w:val="00791EE4"/>
    <w:rsid w:val="007922F0"/>
    <w:rsid w:val="0079244F"/>
    <w:rsid w:val="00793C44"/>
    <w:rsid w:val="00794330"/>
    <w:rsid w:val="007944D0"/>
    <w:rsid w:val="00794845"/>
    <w:rsid w:val="007949B3"/>
    <w:rsid w:val="00794ACA"/>
    <w:rsid w:val="00794D33"/>
    <w:rsid w:val="007954D7"/>
    <w:rsid w:val="00797608"/>
    <w:rsid w:val="007976B1"/>
    <w:rsid w:val="007976F3"/>
    <w:rsid w:val="00797B5E"/>
    <w:rsid w:val="00797CC2"/>
    <w:rsid w:val="007A00F6"/>
    <w:rsid w:val="007A07FD"/>
    <w:rsid w:val="007A0F30"/>
    <w:rsid w:val="007A1028"/>
    <w:rsid w:val="007A2967"/>
    <w:rsid w:val="007A2B69"/>
    <w:rsid w:val="007A2D29"/>
    <w:rsid w:val="007A38A0"/>
    <w:rsid w:val="007A4EB3"/>
    <w:rsid w:val="007A561D"/>
    <w:rsid w:val="007A5639"/>
    <w:rsid w:val="007A5CA8"/>
    <w:rsid w:val="007A6056"/>
    <w:rsid w:val="007A635F"/>
    <w:rsid w:val="007A6379"/>
    <w:rsid w:val="007A693F"/>
    <w:rsid w:val="007A74E9"/>
    <w:rsid w:val="007A7BB5"/>
    <w:rsid w:val="007A7CEB"/>
    <w:rsid w:val="007B065C"/>
    <w:rsid w:val="007B0C97"/>
    <w:rsid w:val="007B0F32"/>
    <w:rsid w:val="007B14C6"/>
    <w:rsid w:val="007B1AC8"/>
    <w:rsid w:val="007B1FDB"/>
    <w:rsid w:val="007B2337"/>
    <w:rsid w:val="007B29A9"/>
    <w:rsid w:val="007B29D9"/>
    <w:rsid w:val="007B2ACB"/>
    <w:rsid w:val="007B2E1E"/>
    <w:rsid w:val="007B3241"/>
    <w:rsid w:val="007B335A"/>
    <w:rsid w:val="007B3D01"/>
    <w:rsid w:val="007B3EA2"/>
    <w:rsid w:val="007B4038"/>
    <w:rsid w:val="007B4D5C"/>
    <w:rsid w:val="007B4ECD"/>
    <w:rsid w:val="007B512D"/>
    <w:rsid w:val="007B5290"/>
    <w:rsid w:val="007B53A2"/>
    <w:rsid w:val="007B5F8D"/>
    <w:rsid w:val="007B63F8"/>
    <w:rsid w:val="007B6440"/>
    <w:rsid w:val="007B6757"/>
    <w:rsid w:val="007B6BC6"/>
    <w:rsid w:val="007B70A6"/>
    <w:rsid w:val="007B7178"/>
    <w:rsid w:val="007B7551"/>
    <w:rsid w:val="007B78E1"/>
    <w:rsid w:val="007B7BFD"/>
    <w:rsid w:val="007B7EE2"/>
    <w:rsid w:val="007C0124"/>
    <w:rsid w:val="007C082F"/>
    <w:rsid w:val="007C0AF0"/>
    <w:rsid w:val="007C0F49"/>
    <w:rsid w:val="007C0F77"/>
    <w:rsid w:val="007C142F"/>
    <w:rsid w:val="007C19E2"/>
    <w:rsid w:val="007C1B62"/>
    <w:rsid w:val="007C24EC"/>
    <w:rsid w:val="007C28B4"/>
    <w:rsid w:val="007C2A29"/>
    <w:rsid w:val="007C2E5F"/>
    <w:rsid w:val="007C33D2"/>
    <w:rsid w:val="007C4B37"/>
    <w:rsid w:val="007C5088"/>
    <w:rsid w:val="007C557C"/>
    <w:rsid w:val="007C5847"/>
    <w:rsid w:val="007C61F0"/>
    <w:rsid w:val="007C6D43"/>
    <w:rsid w:val="007C71DE"/>
    <w:rsid w:val="007C78DE"/>
    <w:rsid w:val="007D0928"/>
    <w:rsid w:val="007D0BE8"/>
    <w:rsid w:val="007D15FA"/>
    <w:rsid w:val="007D1A0F"/>
    <w:rsid w:val="007D1A34"/>
    <w:rsid w:val="007D1FA2"/>
    <w:rsid w:val="007D2C05"/>
    <w:rsid w:val="007D2CA1"/>
    <w:rsid w:val="007D2F8C"/>
    <w:rsid w:val="007D3231"/>
    <w:rsid w:val="007D38CD"/>
    <w:rsid w:val="007D3E14"/>
    <w:rsid w:val="007D441F"/>
    <w:rsid w:val="007D4C09"/>
    <w:rsid w:val="007D4C22"/>
    <w:rsid w:val="007D4EB6"/>
    <w:rsid w:val="007D51FD"/>
    <w:rsid w:val="007D5FE9"/>
    <w:rsid w:val="007D6A8D"/>
    <w:rsid w:val="007D778E"/>
    <w:rsid w:val="007D79C2"/>
    <w:rsid w:val="007D7DB5"/>
    <w:rsid w:val="007E050E"/>
    <w:rsid w:val="007E07D2"/>
    <w:rsid w:val="007E0AE1"/>
    <w:rsid w:val="007E0DFF"/>
    <w:rsid w:val="007E0F7E"/>
    <w:rsid w:val="007E0FFF"/>
    <w:rsid w:val="007E16F2"/>
    <w:rsid w:val="007E19A4"/>
    <w:rsid w:val="007E1D0A"/>
    <w:rsid w:val="007E23DD"/>
    <w:rsid w:val="007E3AF7"/>
    <w:rsid w:val="007E3FA1"/>
    <w:rsid w:val="007E427C"/>
    <w:rsid w:val="007E440E"/>
    <w:rsid w:val="007E441B"/>
    <w:rsid w:val="007E4454"/>
    <w:rsid w:val="007E4CBD"/>
    <w:rsid w:val="007E5BE7"/>
    <w:rsid w:val="007E5EA1"/>
    <w:rsid w:val="007E60FC"/>
    <w:rsid w:val="007E7789"/>
    <w:rsid w:val="007E7D17"/>
    <w:rsid w:val="007F0AEF"/>
    <w:rsid w:val="007F11A6"/>
    <w:rsid w:val="007F1567"/>
    <w:rsid w:val="007F1759"/>
    <w:rsid w:val="007F22E3"/>
    <w:rsid w:val="007F2B98"/>
    <w:rsid w:val="007F32F2"/>
    <w:rsid w:val="007F43D1"/>
    <w:rsid w:val="007F4A67"/>
    <w:rsid w:val="007F4BE2"/>
    <w:rsid w:val="007F5306"/>
    <w:rsid w:val="007F59C1"/>
    <w:rsid w:val="007F5CD6"/>
    <w:rsid w:val="007F5F50"/>
    <w:rsid w:val="007F643D"/>
    <w:rsid w:val="007F6495"/>
    <w:rsid w:val="007F6698"/>
    <w:rsid w:val="007F6741"/>
    <w:rsid w:val="007F6783"/>
    <w:rsid w:val="007F679E"/>
    <w:rsid w:val="007F69DB"/>
    <w:rsid w:val="007F70EF"/>
    <w:rsid w:val="007F7550"/>
    <w:rsid w:val="00800FED"/>
    <w:rsid w:val="00801AAA"/>
    <w:rsid w:val="00802578"/>
    <w:rsid w:val="00802847"/>
    <w:rsid w:val="008029B7"/>
    <w:rsid w:val="00802DF9"/>
    <w:rsid w:val="0080308E"/>
    <w:rsid w:val="0080340B"/>
    <w:rsid w:val="00803685"/>
    <w:rsid w:val="00803FB3"/>
    <w:rsid w:val="00804305"/>
    <w:rsid w:val="00804485"/>
    <w:rsid w:val="00804595"/>
    <w:rsid w:val="00804CCD"/>
    <w:rsid w:val="00805062"/>
    <w:rsid w:val="008064AB"/>
    <w:rsid w:val="008065AC"/>
    <w:rsid w:val="0080661E"/>
    <w:rsid w:val="00806C6A"/>
    <w:rsid w:val="00806D94"/>
    <w:rsid w:val="00807B1D"/>
    <w:rsid w:val="00810494"/>
    <w:rsid w:val="008119CE"/>
    <w:rsid w:val="008124A4"/>
    <w:rsid w:val="00812DB3"/>
    <w:rsid w:val="00812F96"/>
    <w:rsid w:val="00813ADC"/>
    <w:rsid w:val="00813F09"/>
    <w:rsid w:val="00814119"/>
    <w:rsid w:val="00814452"/>
    <w:rsid w:val="008149A8"/>
    <w:rsid w:val="00815722"/>
    <w:rsid w:val="00815BCC"/>
    <w:rsid w:val="008162DC"/>
    <w:rsid w:val="00816F55"/>
    <w:rsid w:val="00817B01"/>
    <w:rsid w:val="00817E9A"/>
    <w:rsid w:val="008209A3"/>
    <w:rsid w:val="008210F8"/>
    <w:rsid w:val="00821466"/>
    <w:rsid w:val="008216C9"/>
    <w:rsid w:val="00821BAC"/>
    <w:rsid w:val="00821D9F"/>
    <w:rsid w:val="008223CD"/>
    <w:rsid w:val="008224A2"/>
    <w:rsid w:val="0082389B"/>
    <w:rsid w:val="00823BFA"/>
    <w:rsid w:val="00823C71"/>
    <w:rsid w:val="00823DE5"/>
    <w:rsid w:val="0082464B"/>
    <w:rsid w:val="008248D3"/>
    <w:rsid w:val="00824B8E"/>
    <w:rsid w:val="00824B9C"/>
    <w:rsid w:val="0082516D"/>
    <w:rsid w:val="008258C9"/>
    <w:rsid w:val="008269E4"/>
    <w:rsid w:val="00826A4B"/>
    <w:rsid w:val="00826EEA"/>
    <w:rsid w:val="008279CD"/>
    <w:rsid w:val="00827C5D"/>
    <w:rsid w:val="00827E8C"/>
    <w:rsid w:val="00832395"/>
    <w:rsid w:val="008327F6"/>
    <w:rsid w:val="00832CE4"/>
    <w:rsid w:val="00832DF4"/>
    <w:rsid w:val="00833A74"/>
    <w:rsid w:val="0083400E"/>
    <w:rsid w:val="0083433D"/>
    <w:rsid w:val="00835A80"/>
    <w:rsid w:val="00835BC9"/>
    <w:rsid w:val="00836167"/>
    <w:rsid w:val="00836337"/>
    <w:rsid w:val="008364B1"/>
    <w:rsid w:val="00836F4C"/>
    <w:rsid w:val="00836F73"/>
    <w:rsid w:val="00837315"/>
    <w:rsid w:val="00837681"/>
    <w:rsid w:val="0084005C"/>
    <w:rsid w:val="0084010F"/>
    <w:rsid w:val="00841234"/>
    <w:rsid w:val="00841297"/>
    <w:rsid w:val="0084145F"/>
    <w:rsid w:val="00841F4C"/>
    <w:rsid w:val="008420A5"/>
    <w:rsid w:val="008432C0"/>
    <w:rsid w:val="0084351D"/>
    <w:rsid w:val="00843895"/>
    <w:rsid w:val="0084392B"/>
    <w:rsid w:val="008439E7"/>
    <w:rsid w:val="00844DB4"/>
    <w:rsid w:val="00845429"/>
    <w:rsid w:val="008455D3"/>
    <w:rsid w:val="008455D7"/>
    <w:rsid w:val="00845B1F"/>
    <w:rsid w:val="00845EBB"/>
    <w:rsid w:val="008466C8"/>
    <w:rsid w:val="008469A1"/>
    <w:rsid w:val="008473C1"/>
    <w:rsid w:val="008475FF"/>
    <w:rsid w:val="00850195"/>
    <w:rsid w:val="00850F41"/>
    <w:rsid w:val="008511FC"/>
    <w:rsid w:val="0085125B"/>
    <w:rsid w:val="0085143A"/>
    <w:rsid w:val="0085156B"/>
    <w:rsid w:val="008515F5"/>
    <w:rsid w:val="00851C40"/>
    <w:rsid w:val="0085226E"/>
    <w:rsid w:val="008530BC"/>
    <w:rsid w:val="0085414F"/>
    <w:rsid w:val="008541D6"/>
    <w:rsid w:val="00854335"/>
    <w:rsid w:val="00854EC8"/>
    <w:rsid w:val="00855047"/>
    <w:rsid w:val="008551B3"/>
    <w:rsid w:val="008551FA"/>
    <w:rsid w:val="00856578"/>
    <w:rsid w:val="00856632"/>
    <w:rsid w:val="00856D76"/>
    <w:rsid w:val="008574FC"/>
    <w:rsid w:val="00857712"/>
    <w:rsid w:val="00857971"/>
    <w:rsid w:val="00857E4B"/>
    <w:rsid w:val="008607E7"/>
    <w:rsid w:val="0086102E"/>
    <w:rsid w:val="0086131C"/>
    <w:rsid w:val="008615A3"/>
    <w:rsid w:val="008616E0"/>
    <w:rsid w:val="00861ECF"/>
    <w:rsid w:val="00861F60"/>
    <w:rsid w:val="008622F3"/>
    <w:rsid w:val="00862424"/>
    <w:rsid w:val="0086391B"/>
    <w:rsid w:val="00863D25"/>
    <w:rsid w:val="00863ECB"/>
    <w:rsid w:val="0086465C"/>
    <w:rsid w:val="00864825"/>
    <w:rsid w:val="00864A72"/>
    <w:rsid w:val="00864F5B"/>
    <w:rsid w:val="0086511F"/>
    <w:rsid w:val="008652E1"/>
    <w:rsid w:val="00866292"/>
    <w:rsid w:val="00866CDA"/>
    <w:rsid w:val="0086735B"/>
    <w:rsid w:val="0086782B"/>
    <w:rsid w:val="008678CC"/>
    <w:rsid w:val="00867B23"/>
    <w:rsid w:val="00870131"/>
    <w:rsid w:val="0087029C"/>
    <w:rsid w:val="008702D5"/>
    <w:rsid w:val="0087060E"/>
    <w:rsid w:val="00870B2C"/>
    <w:rsid w:val="008712CB"/>
    <w:rsid w:val="00871A51"/>
    <w:rsid w:val="00871D54"/>
    <w:rsid w:val="00872013"/>
    <w:rsid w:val="00872774"/>
    <w:rsid w:val="00872C38"/>
    <w:rsid w:val="0087433C"/>
    <w:rsid w:val="00874588"/>
    <w:rsid w:val="00874B2A"/>
    <w:rsid w:val="0087531D"/>
    <w:rsid w:val="00875547"/>
    <w:rsid w:val="00876478"/>
    <w:rsid w:val="00876716"/>
    <w:rsid w:val="008769A3"/>
    <w:rsid w:val="00877624"/>
    <w:rsid w:val="00877C0B"/>
    <w:rsid w:val="00877C31"/>
    <w:rsid w:val="00880163"/>
    <w:rsid w:val="00880296"/>
    <w:rsid w:val="008808AC"/>
    <w:rsid w:val="00880C2C"/>
    <w:rsid w:val="0088117E"/>
    <w:rsid w:val="0088128E"/>
    <w:rsid w:val="008812DD"/>
    <w:rsid w:val="008814E2"/>
    <w:rsid w:val="00882897"/>
    <w:rsid w:val="00883006"/>
    <w:rsid w:val="0088321B"/>
    <w:rsid w:val="008836B5"/>
    <w:rsid w:val="008839DA"/>
    <w:rsid w:val="00883EBD"/>
    <w:rsid w:val="00883F3E"/>
    <w:rsid w:val="00883F63"/>
    <w:rsid w:val="00884025"/>
    <w:rsid w:val="00884DA9"/>
    <w:rsid w:val="008857A2"/>
    <w:rsid w:val="00885E52"/>
    <w:rsid w:val="008860BD"/>
    <w:rsid w:val="00886D15"/>
    <w:rsid w:val="00887EF5"/>
    <w:rsid w:val="00887FB3"/>
    <w:rsid w:val="00887FE0"/>
    <w:rsid w:val="008905B9"/>
    <w:rsid w:val="00890672"/>
    <w:rsid w:val="0089084B"/>
    <w:rsid w:val="00890970"/>
    <w:rsid w:val="0089194A"/>
    <w:rsid w:val="00891B93"/>
    <w:rsid w:val="00892257"/>
    <w:rsid w:val="008922F4"/>
    <w:rsid w:val="008928C1"/>
    <w:rsid w:val="00893892"/>
    <w:rsid w:val="00893CC4"/>
    <w:rsid w:val="00893F5E"/>
    <w:rsid w:val="008942E6"/>
    <w:rsid w:val="00894545"/>
    <w:rsid w:val="00894801"/>
    <w:rsid w:val="00894F41"/>
    <w:rsid w:val="008954FD"/>
    <w:rsid w:val="008967A2"/>
    <w:rsid w:val="00896A66"/>
    <w:rsid w:val="00896E7A"/>
    <w:rsid w:val="00897576"/>
    <w:rsid w:val="008A038E"/>
    <w:rsid w:val="008A0AE5"/>
    <w:rsid w:val="008A0BA4"/>
    <w:rsid w:val="008A0D2A"/>
    <w:rsid w:val="008A0FD2"/>
    <w:rsid w:val="008A10C2"/>
    <w:rsid w:val="008A124C"/>
    <w:rsid w:val="008A2614"/>
    <w:rsid w:val="008A2966"/>
    <w:rsid w:val="008A2A9B"/>
    <w:rsid w:val="008A2CA8"/>
    <w:rsid w:val="008A3323"/>
    <w:rsid w:val="008A4CBF"/>
    <w:rsid w:val="008A4FC0"/>
    <w:rsid w:val="008A521E"/>
    <w:rsid w:val="008A6190"/>
    <w:rsid w:val="008A661A"/>
    <w:rsid w:val="008A6A88"/>
    <w:rsid w:val="008A7186"/>
    <w:rsid w:val="008A7D70"/>
    <w:rsid w:val="008B08FA"/>
    <w:rsid w:val="008B0979"/>
    <w:rsid w:val="008B128C"/>
    <w:rsid w:val="008B15BA"/>
    <w:rsid w:val="008B2115"/>
    <w:rsid w:val="008B21E5"/>
    <w:rsid w:val="008B2D90"/>
    <w:rsid w:val="008B3196"/>
    <w:rsid w:val="008B387C"/>
    <w:rsid w:val="008B4260"/>
    <w:rsid w:val="008B43C9"/>
    <w:rsid w:val="008B4835"/>
    <w:rsid w:val="008B4E56"/>
    <w:rsid w:val="008B4F6C"/>
    <w:rsid w:val="008B500C"/>
    <w:rsid w:val="008B5305"/>
    <w:rsid w:val="008B547B"/>
    <w:rsid w:val="008B5F36"/>
    <w:rsid w:val="008B6C41"/>
    <w:rsid w:val="008B73A7"/>
    <w:rsid w:val="008B77A9"/>
    <w:rsid w:val="008B790D"/>
    <w:rsid w:val="008C0143"/>
    <w:rsid w:val="008C04EC"/>
    <w:rsid w:val="008C0711"/>
    <w:rsid w:val="008C10DE"/>
    <w:rsid w:val="008C2121"/>
    <w:rsid w:val="008C23D5"/>
    <w:rsid w:val="008C2D7F"/>
    <w:rsid w:val="008C3B41"/>
    <w:rsid w:val="008C3E6E"/>
    <w:rsid w:val="008C4EAD"/>
    <w:rsid w:val="008C522A"/>
    <w:rsid w:val="008C53FD"/>
    <w:rsid w:val="008C5918"/>
    <w:rsid w:val="008C635D"/>
    <w:rsid w:val="008C648A"/>
    <w:rsid w:val="008C7633"/>
    <w:rsid w:val="008C7697"/>
    <w:rsid w:val="008C7777"/>
    <w:rsid w:val="008C7C6E"/>
    <w:rsid w:val="008D10B5"/>
    <w:rsid w:val="008D1186"/>
    <w:rsid w:val="008D13AE"/>
    <w:rsid w:val="008D1D7A"/>
    <w:rsid w:val="008D1E4B"/>
    <w:rsid w:val="008D29EF"/>
    <w:rsid w:val="008D2B8C"/>
    <w:rsid w:val="008D3201"/>
    <w:rsid w:val="008D37C6"/>
    <w:rsid w:val="008D41DF"/>
    <w:rsid w:val="008D4B55"/>
    <w:rsid w:val="008D4E14"/>
    <w:rsid w:val="008D4F21"/>
    <w:rsid w:val="008D555D"/>
    <w:rsid w:val="008D5A1A"/>
    <w:rsid w:val="008D5BC8"/>
    <w:rsid w:val="008D5FF2"/>
    <w:rsid w:val="008D60AF"/>
    <w:rsid w:val="008D6B0C"/>
    <w:rsid w:val="008D6C90"/>
    <w:rsid w:val="008D6EAD"/>
    <w:rsid w:val="008D72B5"/>
    <w:rsid w:val="008D7DBD"/>
    <w:rsid w:val="008D7F32"/>
    <w:rsid w:val="008E0569"/>
    <w:rsid w:val="008E07B4"/>
    <w:rsid w:val="008E09A4"/>
    <w:rsid w:val="008E0FC9"/>
    <w:rsid w:val="008E1C50"/>
    <w:rsid w:val="008E2222"/>
    <w:rsid w:val="008E256E"/>
    <w:rsid w:val="008E28D1"/>
    <w:rsid w:val="008E3032"/>
    <w:rsid w:val="008E3B58"/>
    <w:rsid w:val="008E401C"/>
    <w:rsid w:val="008E429C"/>
    <w:rsid w:val="008E48DB"/>
    <w:rsid w:val="008E5092"/>
    <w:rsid w:val="008E52CC"/>
    <w:rsid w:val="008E575C"/>
    <w:rsid w:val="008E5F1A"/>
    <w:rsid w:val="008E656C"/>
    <w:rsid w:val="008E6BB1"/>
    <w:rsid w:val="008E6E44"/>
    <w:rsid w:val="008E71FC"/>
    <w:rsid w:val="008E7938"/>
    <w:rsid w:val="008F0139"/>
    <w:rsid w:val="008F07F0"/>
    <w:rsid w:val="008F119A"/>
    <w:rsid w:val="008F1389"/>
    <w:rsid w:val="008F1808"/>
    <w:rsid w:val="008F19B2"/>
    <w:rsid w:val="008F1A23"/>
    <w:rsid w:val="008F1A9D"/>
    <w:rsid w:val="008F1BC2"/>
    <w:rsid w:val="008F2FC6"/>
    <w:rsid w:val="008F409F"/>
    <w:rsid w:val="008F464B"/>
    <w:rsid w:val="008F479C"/>
    <w:rsid w:val="008F54F2"/>
    <w:rsid w:val="008F5DED"/>
    <w:rsid w:val="008F606D"/>
    <w:rsid w:val="008F6634"/>
    <w:rsid w:val="008F68F7"/>
    <w:rsid w:val="008F74FC"/>
    <w:rsid w:val="008F78CE"/>
    <w:rsid w:val="008F7CF1"/>
    <w:rsid w:val="0090047B"/>
    <w:rsid w:val="009009A7"/>
    <w:rsid w:val="009009AC"/>
    <w:rsid w:val="00900F41"/>
    <w:rsid w:val="0090152A"/>
    <w:rsid w:val="009018E3"/>
    <w:rsid w:val="00901A62"/>
    <w:rsid w:val="00901C04"/>
    <w:rsid w:val="00901D68"/>
    <w:rsid w:val="00902451"/>
    <w:rsid w:val="00902B3F"/>
    <w:rsid w:val="009031A8"/>
    <w:rsid w:val="009033E7"/>
    <w:rsid w:val="0090395E"/>
    <w:rsid w:val="00904666"/>
    <w:rsid w:val="00904B26"/>
    <w:rsid w:val="00904C2B"/>
    <w:rsid w:val="00905681"/>
    <w:rsid w:val="00905DC2"/>
    <w:rsid w:val="00906248"/>
    <w:rsid w:val="0090632E"/>
    <w:rsid w:val="00906398"/>
    <w:rsid w:val="00907C93"/>
    <w:rsid w:val="0091056B"/>
    <w:rsid w:val="00910B99"/>
    <w:rsid w:val="00910C1E"/>
    <w:rsid w:val="00911C06"/>
    <w:rsid w:val="00912131"/>
    <w:rsid w:val="00912AC5"/>
    <w:rsid w:val="0091376A"/>
    <w:rsid w:val="009137CE"/>
    <w:rsid w:val="00913C03"/>
    <w:rsid w:val="00913CC2"/>
    <w:rsid w:val="009140B0"/>
    <w:rsid w:val="0091441B"/>
    <w:rsid w:val="00914D50"/>
    <w:rsid w:val="00914DBF"/>
    <w:rsid w:val="00915233"/>
    <w:rsid w:val="0091554E"/>
    <w:rsid w:val="0091596B"/>
    <w:rsid w:val="0091684E"/>
    <w:rsid w:val="00916ACA"/>
    <w:rsid w:val="00917123"/>
    <w:rsid w:val="00920671"/>
    <w:rsid w:val="00920A98"/>
    <w:rsid w:val="009211F2"/>
    <w:rsid w:val="009225A5"/>
    <w:rsid w:val="00922B45"/>
    <w:rsid w:val="00922D76"/>
    <w:rsid w:val="00923553"/>
    <w:rsid w:val="00924569"/>
    <w:rsid w:val="00924AC6"/>
    <w:rsid w:val="00924C01"/>
    <w:rsid w:val="009254BB"/>
    <w:rsid w:val="0092587D"/>
    <w:rsid w:val="00925A70"/>
    <w:rsid w:val="00925AEB"/>
    <w:rsid w:val="00925C0C"/>
    <w:rsid w:val="00925C89"/>
    <w:rsid w:val="00925D02"/>
    <w:rsid w:val="00927760"/>
    <w:rsid w:val="0093018C"/>
    <w:rsid w:val="009301EC"/>
    <w:rsid w:val="009303D1"/>
    <w:rsid w:val="00930AE4"/>
    <w:rsid w:val="009311D4"/>
    <w:rsid w:val="009313EF"/>
    <w:rsid w:val="00931AB3"/>
    <w:rsid w:val="00931B9A"/>
    <w:rsid w:val="00932780"/>
    <w:rsid w:val="00932C3F"/>
    <w:rsid w:val="0093302C"/>
    <w:rsid w:val="009334B1"/>
    <w:rsid w:val="00933824"/>
    <w:rsid w:val="00934577"/>
    <w:rsid w:val="00934FD6"/>
    <w:rsid w:val="009351FC"/>
    <w:rsid w:val="00935938"/>
    <w:rsid w:val="00935A8C"/>
    <w:rsid w:val="00935C6D"/>
    <w:rsid w:val="00935EBF"/>
    <w:rsid w:val="0093651D"/>
    <w:rsid w:val="00937C54"/>
    <w:rsid w:val="00937E23"/>
    <w:rsid w:val="009407B7"/>
    <w:rsid w:val="00940AD7"/>
    <w:rsid w:val="009412E3"/>
    <w:rsid w:val="00941942"/>
    <w:rsid w:val="00941A48"/>
    <w:rsid w:val="00942697"/>
    <w:rsid w:val="00942E25"/>
    <w:rsid w:val="00942F26"/>
    <w:rsid w:val="0094339D"/>
    <w:rsid w:val="009437C6"/>
    <w:rsid w:val="00943A96"/>
    <w:rsid w:val="00944267"/>
    <w:rsid w:val="00944643"/>
    <w:rsid w:val="009447B7"/>
    <w:rsid w:val="00944E17"/>
    <w:rsid w:val="00944E31"/>
    <w:rsid w:val="00946476"/>
    <w:rsid w:val="00946D55"/>
    <w:rsid w:val="00947431"/>
    <w:rsid w:val="009500D0"/>
    <w:rsid w:val="00950978"/>
    <w:rsid w:val="009510DC"/>
    <w:rsid w:val="00951E71"/>
    <w:rsid w:val="00951FDF"/>
    <w:rsid w:val="00952216"/>
    <w:rsid w:val="009525F8"/>
    <w:rsid w:val="00952F97"/>
    <w:rsid w:val="0095314B"/>
    <w:rsid w:val="009532BD"/>
    <w:rsid w:val="00953685"/>
    <w:rsid w:val="009537C2"/>
    <w:rsid w:val="00953AF3"/>
    <w:rsid w:val="00953E27"/>
    <w:rsid w:val="00953ED7"/>
    <w:rsid w:val="00953F3E"/>
    <w:rsid w:val="0095421B"/>
    <w:rsid w:val="009545AA"/>
    <w:rsid w:val="00954EB1"/>
    <w:rsid w:val="00955C66"/>
    <w:rsid w:val="0095636A"/>
    <w:rsid w:val="0095639E"/>
    <w:rsid w:val="00956B98"/>
    <w:rsid w:val="00956E84"/>
    <w:rsid w:val="009579C9"/>
    <w:rsid w:val="00957EE5"/>
    <w:rsid w:val="009602F6"/>
    <w:rsid w:val="00960565"/>
    <w:rsid w:val="0096134A"/>
    <w:rsid w:val="009615E2"/>
    <w:rsid w:val="00961D99"/>
    <w:rsid w:val="00962375"/>
    <w:rsid w:val="00962E8F"/>
    <w:rsid w:val="00963075"/>
    <w:rsid w:val="009630FC"/>
    <w:rsid w:val="00963890"/>
    <w:rsid w:val="00963D89"/>
    <w:rsid w:val="0096498B"/>
    <w:rsid w:val="00964F6B"/>
    <w:rsid w:val="00967062"/>
    <w:rsid w:val="009679F6"/>
    <w:rsid w:val="00967DC3"/>
    <w:rsid w:val="00970AAA"/>
    <w:rsid w:val="00970F60"/>
    <w:rsid w:val="009715B2"/>
    <w:rsid w:val="009719C4"/>
    <w:rsid w:val="00971ACD"/>
    <w:rsid w:val="009720F3"/>
    <w:rsid w:val="00972C7A"/>
    <w:rsid w:val="009733A0"/>
    <w:rsid w:val="00973531"/>
    <w:rsid w:val="009735E7"/>
    <w:rsid w:val="00973627"/>
    <w:rsid w:val="00973BAC"/>
    <w:rsid w:val="009745F3"/>
    <w:rsid w:val="009746BF"/>
    <w:rsid w:val="00975F47"/>
    <w:rsid w:val="009764F7"/>
    <w:rsid w:val="00977972"/>
    <w:rsid w:val="00977F3D"/>
    <w:rsid w:val="009802B5"/>
    <w:rsid w:val="00980AE5"/>
    <w:rsid w:val="00980CED"/>
    <w:rsid w:val="00980D39"/>
    <w:rsid w:val="009816E6"/>
    <w:rsid w:val="0098189B"/>
    <w:rsid w:val="0098292E"/>
    <w:rsid w:val="00982C92"/>
    <w:rsid w:val="00982F7A"/>
    <w:rsid w:val="00983206"/>
    <w:rsid w:val="0098322E"/>
    <w:rsid w:val="0098398B"/>
    <w:rsid w:val="00983EFA"/>
    <w:rsid w:val="00984924"/>
    <w:rsid w:val="00984D2D"/>
    <w:rsid w:val="0098539A"/>
    <w:rsid w:val="009855BC"/>
    <w:rsid w:val="00985E49"/>
    <w:rsid w:val="009861F1"/>
    <w:rsid w:val="0098622C"/>
    <w:rsid w:val="00986BDD"/>
    <w:rsid w:val="00987250"/>
    <w:rsid w:val="009875A2"/>
    <w:rsid w:val="00987B94"/>
    <w:rsid w:val="00987C6C"/>
    <w:rsid w:val="009902A6"/>
    <w:rsid w:val="00990CE6"/>
    <w:rsid w:val="00990E5F"/>
    <w:rsid w:val="009914D1"/>
    <w:rsid w:val="00991716"/>
    <w:rsid w:val="00991C92"/>
    <w:rsid w:val="00991D69"/>
    <w:rsid w:val="00993BA7"/>
    <w:rsid w:val="0099489E"/>
    <w:rsid w:val="00994DB0"/>
    <w:rsid w:val="00994E5C"/>
    <w:rsid w:val="00995508"/>
    <w:rsid w:val="00995BAF"/>
    <w:rsid w:val="00995D2C"/>
    <w:rsid w:val="009961B8"/>
    <w:rsid w:val="0099636F"/>
    <w:rsid w:val="00996A14"/>
    <w:rsid w:val="00996EC1"/>
    <w:rsid w:val="0099765B"/>
    <w:rsid w:val="009976A4"/>
    <w:rsid w:val="00997E93"/>
    <w:rsid w:val="009A0868"/>
    <w:rsid w:val="009A0B13"/>
    <w:rsid w:val="009A1ADC"/>
    <w:rsid w:val="009A1B0A"/>
    <w:rsid w:val="009A2699"/>
    <w:rsid w:val="009A2D17"/>
    <w:rsid w:val="009A2E48"/>
    <w:rsid w:val="009A369D"/>
    <w:rsid w:val="009A3739"/>
    <w:rsid w:val="009A4F09"/>
    <w:rsid w:val="009A5701"/>
    <w:rsid w:val="009A5C9A"/>
    <w:rsid w:val="009A5E88"/>
    <w:rsid w:val="009A6BD7"/>
    <w:rsid w:val="009A7254"/>
    <w:rsid w:val="009A74F4"/>
    <w:rsid w:val="009A76EB"/>
    <w:rsid w:val="009A7EBA"/>
    <w:rsid w:val="009B0D1C"/>
    <w:rsid w:val="009B1A7F"/>
    <w:rsid w:val="009B1B58"/>
    <w:rsid w:val="009B1B70"/>
    <w:rsid w:val="009B1CAF"/>
    <w:rsid w:val="009B27D9"/>
    <w:rsid w:val="009B29DD"/>
    <w:rsid w:val="009B29F5"/>
    <w:rsid w:val="009B2B08"/>
    <w:rsid w:val="009B370F"/>
    <w:rsid w:val="009B3C17"/>
    <w:rsid w:val="009B42AA"/>
    <w:rsid w:val="009B4349"/>
    <w:rsid w:val="009B4470"/>
    <w:rsid w:val="009B4830"/>
    <w:rsid w:val="009B48BE"/>
    <w:rsid w:val="009B4C5F"/>
    <w:rsid w:val="009B51BD"/>
    <w:rsid w:val="009B563A"/>
    <w:rsid w:val="009B580A"/>
    <w:rsid w:val="009B6048"/>
    <w:rsid w:val="009B61A3"/>
    <w:rsid w:val="009B69F6"/>
    <w:rsid w:val="009B75A4"/>
    <w:rsid w:val="009B7DF5"/>
    <w:rsid w:val="009B7E03"/>
    <w:rsid w:val="009B7FC3"/>
    <w:rsid w:val="009C10EC"/>
    <w:rsid w:val="009C117D"/>
    <w:rsid w:val="009C120B"/>
    <w:rsid w:val="009C1318"/>
    <w:rsid w:val="009C19F3"/>
    <w:rsid w:val="009C1F7C"/>
    <w:rsid w:val="009C3176"/>
    <w:rsid w:val="009C3434"/>
    <w:rsid w:val="009C366A"/>
    <w:rsid w:val="009C3BE8"/>
    <w:rsid w:val="009C3FD9"/>
    <w:rsid w:val="009C438D"/>
    <w:rsid w:val="009C5696"/>
    <w:rsid w:val="009C5EE4"/>
    <w:rsid w:val="009C61EC"/>
    <w:rsid w:val="009C6DB4"/>
    <w:rsid w:val="009C75B1"/>
    <w:rsid w:val="009C7EC9"/>
    <w:rsid w:val="009D01A9"/>
    <w:rsid w:val="009D049A"/>
    <w:rsid w:val="009D0912"/>
    <w:rsid w:val="009D0CEB"/>
    <w:rsid w:val="009D1389"/>
    <w:rsid w:val="009D15B4"/>
    <w:rsid w:val="009D1646"/>
    <w:rsid w:val="009D1E47"/>
    <w:rsid w:val="009D1FED"/>
    <w:rsid w:val="009D2E6C"/>
    <w:rsid w:val="009D31F2"/>
    <w:rsid w:val="009D36D3"/>
    <w:rsid w:val="009D39AA"/>
    <w:rsid w:val="009D432C"/>
    <w:rsid w:val="009D4423"/>
    <w:rsid w:val="009D45CB"/>
    <w:rsid w:val="009D5310"/>
    <w:rsid w:val="009D6129"/>
    <w:rsid w:val="009D6D9A"/>
    <w:rsid w:val="009D786E"/>
    <w:rsid w:val="009D79E6"/>
    <w:rsid w:val="009D7C4E"/>
    <w:rsid w:val="009E06C3"/>
    <w:rsid w:val="009E0822"/>
    <w:rsid w:val="009E09EE"/>
    <w:rsid w:val="009E116D"/>
    <w:rsid w:val="009E1427"/>
    <w:rsid w:val="009E1456"/>
    <w:rsid w:val="009E1705"/>
    <w:rsid w:val="009E23AA"/>
    <w:rsid w:val="009E31B2"/>
    <w:rsid w:val="009E3E8E"/>
    <w:rsid w:val="009E46C6"/>
    <w:rsid w:val="009E48FD"/>
    <w:rsid w:val="009E591C"/>
    <w:rsid w:val="009E69B0"/>
    <w:rsid w:val="009E6A01"/>
    <w:rsid w:val="009E7608"/>
    <w:rsid w:val="009E7953"/>
    <w:rsid w:val="009E7B7C"/>
    <w:rsid w:val="009E7D43"/>
    <w:rsid w:val="009F0905"/>
    <w:rsid w:val="009F092C"/>
    <w:rsid w:val="009F0A96"/>
    <w:rsid w:val="009F1169"/>
    <w:rsid w:val="009F1405"/>
    <w:rsid w:val="009F2347"/>
    <w:rsid w:val="009F2576"/>
    <w:rsid w:val="009F3B50"/>
    <w:rsid w:val="009F46AA"/>
    <w:rsid w:val="009F5118"/>
    <w:rsid w:val="009F517F"/>
    <w:rsid w:val="009F541B"/>
    <w:rsid w:val="009F5696"/>
    <w:rsid w:val="009F56C7"/>
    <w:rsid w:val="009F696F"/>
    <w:rsid w:val="009F6B1F"/>
    <w:rsid w:val="009F7F28"/>
    <w:rsid w:val="00A00060"/>
    <w:rsid w:val="00A00FAD"/>
    <w:rsid w:val="00A01078"/>
    <w:rsid w:val="00A0147B"/>
    <w:rsid w:val="00A0150D"/>
    <w:rsid w:val="00A01E4F"/>
    <w:rsid w:val="00A01EA6"/>
    <w:rsid w:val="00A021AD"/>
    <w:rsid w:val="00A03392"/>
    <w:rsid w:val="00A03396"/>
    <w:rsid w:val="00A033F6"/>
    <w:rsid w:val="00A037F0"/>
    <w:rsid w:val="00A045A1"/>
    <w:rsid w:val="00A04EC5"/>
    <w:rsid w:val="00A05027"/>
    <w:rsid w:val="00A05366"/>
    <w:rsid w:val="00A056A4"/>
    <w:rsid w:val="00A05932"/>
    <w:rsid w:val="00A0603B"/>
    <w:rsid w:val="00A06188"/>
    <w:rsid w:val="00A0671D"/>
    <w:rsid w:val="00A07436"/>
    <w:rsid w:val="00A07550"/>
    <w:rsid w:val="00A076D4"/>
    <w:rsid w:val="00A07C5F"/>
    <w:rsid w:val="00A10818"/>
    <w:rsid w:val="00A11B71"/>
    <w:rsid w:val="00A11FE8"/>
    <w:rsid w:val="00A12547"/>
    <w:rsid w:val="00A125D1"/>
    <w:rsid w:val="00A12C92"/>
    <w:rsid w:val="00A13423"/>
    <w:rsid w:val="00A136FD"/>
    <w:rsid w:val="00A13B36"/>
    <w:rsid w:val="00A14BBF"/>
    <w:rsid w:val="00A14DBB"/>
    <w:rsid w:val="00A14FAD"/>
    <w:rsid w:val="00A15F91"/>
    <w:rsid w:val="00A1607E"/>
    <w:rsid w:val="00A16435"/>
    <w:rsid w:val="00A16679"/>
    <w:rsid w:val="00A168AF"/>
    <w:rsid w:val="00A169A7"/>
    <w:rsid w:val="00A16C87"/>
    <w:rsid w:val="00A16CFC"/>
    <w:rsid w:val="00A20CC5"/>
    <w:rsid w:val="00A20DFC"/>
    <w:rsid w:val="00A214FC"/>
    <w:rsid w:val="00A2196B"/>
    <w:rsid w:val="00A21A4F"/>
    <w:rsid w:val="00A22067"/>
    <w:rsid w:val="00A22154"/>
    <w:rsid w:val="00A22220"/>
    <w:rsid w:val="00A22CA8"/>
    <w:rsid w:val="00A2318A"/>
    <w:rsid w:val="00A23571"/>
    <w:rsid w:val="00A23710"/>
    <w:rsid w:val="00A238F7"/>
    <w:rsid w:val="00A245D5"/>
    <w:rsid w:val="00A2463E"/>
    <w:rsid w:val="00A24ADA"/>
    <w:rsid w:val="00A2514D"/>
    <w:rsid w:val="00A255E9"/>
    <w:rsid w:val="00A260A1"/>
    <w:rsid w:val="00A2614F"/>
    <w:rsid w:val="00A2672D"/>
    <w:rsid w:val="00A268D5"/>
    <w:rsid w:val="00A26CAB"/>
    <w:rsid w:val="00A26D28"/>
    <w:rsid w:val="00A26F70"/>
    <w:rsid w:val="00A272F1"/>
    <w:rsid w:val="00A2731C"/>
    <w:rsid w:val="00A273DE"/>
    <w:rsid w:val="00A276A4"/>
    <w:rsid w:val="00A2775C"/>
    <w:rsid w:val="00A27B86"/>
    <w:rsid w:val="00A27FA4"/>
    <w:rsid w:val="00A27FE7"/>
    <w:rsid w:val="00A30806"/>
    <w:rsid w:val="00A3083D"/>
    <w:rsid w:val="00A3177F"/>
    <w:rsid w:val="00A31D15"/>
    <w:rsid w:val="00A3232D"/>
    <w:rsid w:val="00A325ED"/>
    <w:rsid w:val="00A327CF"/>
    <w:rsid w:val="00A340D4"/>
    <w:rsid w:val="00A34506"/>
    <w:rsid w:val="00A34926"/>
    <w:rsid w:val="00A34D1C"/>
    <w:rsid w:val="00A34E47"/>
    <w:rsid w:val="00A34E6B"/>
    <w:rsid w:val="00A35028"/>
    <w:rsid w:val="00A35428"/>
    <w:rsid w:val="00A3553F"/>
    <w:rsid w:val="00A359DB"/>
    <w:rsid w:val="00A35B73"/>
    <w:rsid w:val="00A35BBA"/>
    <w:rsid w:val="00A36140"/>
    <w:rsid w:val="00A3672F"/>
    <w:rsid w:val="00A36C30"/>
    <w:rsid w:val="00A37015"/>
    <w:rsid w:val="00A370C0"/>
    <w:rsid w:val="00A376C7"/>
    <w:rsid w:val="00A37948"/>
    <w:rsid w:val="00A37A5E"/>
    <w:rsid w:val="00A37C47"/>
    <w:rsid w:val="00A40453"/>
    <w:rsid w:val="00A40892"/>
    <w:rsid w:val="00A40A2B"/>
    <w:rsid w:val="00A40A7E"/>
    <w:rsid w:val="00A40D43"/>
    <w:rsid w:val="00A414D3"/>
    <w:rsid w:val="00A41696"/>
    <w:rsid w:val="00A41D6E"/>
    <w:rsid w:val="00A42074"/>
    <w:rsid w:val="00A4225C"/>
    <w:rsid w:val="00A424CC"/>
    <w:rsid w:val="00A426D1"/>
    <w:rsid w:val="00A42808"/>
    <w:rsid w:val="00A43159"/>
    <w:rsid w:val="00A432FD"/>
    <w:rsid w:val="00A43DF8"/>
    <w:rsid w:val="00A4423F"/>
    <w:rsid w:val="00A44519"/>
    <w:rsid w:val="00A44618"/>
    <w:rsid w:val="00A447C7"/>
    <w:rsid w:val="00A45338"/>
    <w:rsid w:val="00A45523"/>
    <w:rsid w:val="00A464B8"/>
    <w:rsid w:val="00A46E1E"/>
    <w:rsid w:val="00A4711D"/>
    <w:rsid w:val="00A472C9"/>
    <w:rsid w:val="00A4744E"/>
    <w:rsid w:val="00A47E79"/>
    <w:rsid w:val="00A503F5"/>
    <w:rsid w:val="00A504C7"/>
    <w:rsid w:val="00A50649"/>
    <w:rsid w:val="00A50993"/>
    <w:rsid w:val="00A50BEA"/>
    <w:rsid w:val="00A51596"/>
    <w:rsid w:val="00A51C06"/>
    <w:rsid w:val="00A51D8E"/>
    <w:rsid w:val="00A52133"/>
    <w:rsid w:val="00A5232C"/>
    <w:rsid w:val="00A5245B"/>
    <w:rsid w:val="00A526D2"/>
    <w:rsid w:val="00A5275A"/>
    <w:rsid w:val="00A5378F"/>
    <w:rsid w:val="00A53E70"/>
    <w:rsid w:val="00A54808"/>
    <w:rsid w:val="00A55360"/>
    <w:rsid w:val="00A55989"/>
    <w:rsid w:val="00A560AB"/>
    <w:rsid w:val="00A568A2"/>
    <w:rsid w:val="00A56ACA"/>
    <w:rsid w:val="00A56E86"/>
    <w:rsid w:val="00A574F2"/>
    <w:rsid w:val="00A6049A"/>
    <w:rsid w:val="00A60631"/>
    <w:rsid w:val="00A6079A"/>
    <w:rsid w:val="00A61400"/>
    <w:rsid w:val="00A625E2"/>
    <w:rsid w:val="00A629E1"/>
    <w:rsid w:val="00A62C3E"/>
    <w:rsid w:val="00A62C71"/>
    <w:rsid w:val="00A63117"/>
    <w:rsid w:val="00A63358"/>
    <w:rsid w:val="00A6384F"/>
    <w:rsid w:val="00A63929"/>
    <w:rsid w:val="00A63C2A"/>
    <w:rsid w:val="00A64329"/>
    <w:rsid w:val="00A648AB"/>
    <w:rsid w:val="00A656EB"/>
    <w:rsid w:val="00A65728"/>
    <w:rsid w:val="00A65B40"/>
    <w:rsid w:val="00A65B9D"/>
    <w:rsid w:val="00A65E9D"/>
    <w:rsid w:val="00A66DCC"/>
    <w:rsid w:val="00A676FD"/>
    <w:rsid w:val="00A67D79"/>
    <w:rsid w:val="00A67E59"/>
    <w:rsid w:val="00A67FA9"/>
    <w:rsid w:val="00A7028E"/>
    <w:rsid w:val="00A70B85"/>
    <w:rsid w:val="00A716DB"/>
    <w:rsid w:val="00A718A2"/>
    <w:rsid w:val="00A71901"/>
    <w:rsid w:val="00A72476"/>
    <w:rsid w:val="00A72BF7"/>
    <w:rsid w:val="00A72C66"/>
    <w:rsid w:val="00A73B96"/>
    <w:rsid w:val="00A73F5E"/>
    <w:rsid w:val="00A73F8B"/>
    <w:rsid w:val="00A73FFA"/>
    <w:rsid w:val="00A742B9"/>
    <w:rsid w:val="00A74592"/>
    <w:rsid w:val="00A746D8"/>
    <w:rsid w:val="00A747CD"/>
    <w:rsid w:val="00A75315"/>
    <w:rsid w:val="00A75A39"/>
    <w:rsid w:val="00A75B54"/>
    <w:rsid w:val="00A76125"/>
    <w:rsid w:val="00A7617C"/>
    <w:rsid w:val="00A776F6"/>
    <w:rsid w:val="00A77CAD"/>
    <w:rsid w:val="00A805DF"/>
    <w:rsid w:val="00A80BAE"/>
    <w:rsid w:val="00A817F5"/>
    <w:rsid w:val="00A81D06"/>
    <w:rsid w:val="00A81EE7"/>
    <w:rsid w:val="00A81EEA"/>
    <w:rsid w:val="00A824E5"/>
    <w:rsid w:val="00A82929"/>
    <w:rsid w:val="00A8394C"/>
    <w:rsid w:val="00A839AE"/>
    <w:rsid w:val="00A83DDA"/>
    <w:rsid w:val="00A83E6B"/>
    <w:rsid w:val="00A85505"/>
    <w:rsid w:val="00A856BE"/>
    <w:rsid w:val="00A85700"/>
    <w:rsid w:val="00A85A18"/>
    <w:rsid w:val="00A85A27"/>
    <w:rsid w:val="00A85D2E"/>
    <w:rsid w:val="00A861D7"/>
    <w:rsid w:val="00A86581"/>
    <w:rsid w:val="00A86A76"/>
    <w:rsid w:val="00A8708E"/>
    <w:rsid w:val="00A910D2"/>
    <w:rsid w:val="00A9153F"/>
    <w:rsid w:val="00A91B62"/>
    <w:rsid w:val="00A91D84"/>
    <w:rsid w:val="00A91FC4"/>
    <w:rsid w:val="00A924A2"/>
    <w:rsid w:val="00A931A2"/>
    <w:rsid w:val="00A93654"/>
    <w:rsid w:val="00A938D5"/>
    <w:rsid w:val="00A944FB"/>
    <w:rsid w:val="00A9487C"/>
    <w:rsid w:val="00A94AE1"/>
    <w:rsid w:val="00A951F5"/>
    <w:rsid w:val="00A95C6C"/>
    <w:rsid w:val="00A95E0A"/>
    <w:rsid w:val="00A96995"/>
    <w:rsid w:val="00A96C7B"/>
    <w:rsid w:val="00A96F05"/>
    <w:rsid w:val="00A9731D"/>
    <w:rsid w:val="00A973BD"/>
    <w:rsid w:val="00A97714"/>
    <w:rsid w:val="00A97BA3"/>
    <w:rsid w:val="00AA026C"/>
    <w:rsid w:val="00AA0933"/>
    <w:rsid w:val="00AA108D"/>
    <w:rsid w:val="00AA138E"/>
    <w:rsid w:val="00AA15E2"/>
    <w:rsid w:val="00AA1745"/>
    <w:rsid w:val="00AA193C"/>
    <w:rsid w:val="00AA20AB"/>
    <w:rsid w:val="00AA2424"/>
    <w:rsid w:val="00AA26EE"/>
    <w:rsid w:val="00AA303F"/>
    <w:rsid w:val="00AA3975"/>
    <w:rsid w:val="00AA398F"/>
    <w:rsid w:val="00AA3A54"/>
    <w:rsid w:val="00AA3D57"/>
    <w:rsid w:val="00AA3D6A"/>
    <w:rsid w:val="00AA3E94"/>
    <w:rsid w:val="00AA4855"/>
    <w:rsid w:val="00AA53DF"/>
    <w:rsid w:val="00AA5766"/>
    <w:rsid w:val="00AA6294"/>
    <w:rsid w:val="00AA637D"/>
    <w:rsid w:val="00AA6950"/>
    <w:rsid w:val="00AA6A4D"/>
    <w:rsid w:val="00AA74FB"/>
    <w:rsid w:val="00AA7C10"/>
    <w:rsid w:val="00AA7EE9"/>
    <w:rsid w:val="00AB04EA"/>
    <w:rsid w:val="00AB0A77"/>
    <w:rsid w:val="00AB11EF"/>
    <w:rsid w:val="00AB1A36"/>
    <w:rsid w:val="00AB1B5E"/>
    <w:rsid w:val="00AB223F"/>
    <w:rsid w:val="00AB2832"/>
    <w:rsid w:val="00AB2FA9"/>
    <w:rsid w:val="00AB3457"/>
    <w:rsid w:val="00AB41D2"/>
    <w:rsid w:val="00AB478D"/>
    <w:rsid w:val="00AB47A6"/>
    <w:rsid w:val="00AB4CAC"/>
    <w:rsid w:val="00AB51BB"/>
    <w:rsid w:val="00AB529D"/>
    <w:rsid w:val="00AB561B"/>
    <w:rsid w:val="00AB5B76"/>
    <w:rsid w:val="00AB6140"/>
    <w:rsid w:val="00AB63E5"/>
    <w:rsid w:val="00AB6C25"/>
    <w:rsid w:val="00AB6F2E"/>
    <w:rsid w:val="00AB727F"/>
    <w:rsid w:val="00AC0127"/>
    <w:rsid w:val="00AC07D3"/>
    <w:rsid w:val="00AC0BF7"/>
    <w:rsid w:val="00AC0BF8"/>
    <w:rsid w:val="00AC0D07"/>
    <w:rsid w:val="00AC0F22"/>
    <w:rsid w:val="00AC1299"/>
    <w:rsid w:val="00AC1318"/>
    <w:rsid w:val="00AC15E1"/>
    <w:rsid w:val="00AC1690"/>
    <w:rsid w:val="00AC18C1"/>
    <w:rsid w:val="00AC21F5"/>
    <w:rsid w:val="00AC2E7C"/>
    <w:rsid w:val="00AC39DC"/>
    <w:rsid w:val="00AC3CA4"/>
    <w:rsid w:val="00AC3E8B"/>
    <w:rsid w:val="00AC42F4"/>
    <w:rsid w:val="00AC4399"/>
    <w:rsid w:val="00AC4619"/>
    <w:rsid w:val="00AC487D"/>
    <w:rsid w:val="00AC51DD"/>
    <w:rsid w:val="00AC5A05"/>
    <w:rsid w:val="00AC610B"/>
    <w:rsid w:val="00AC696A"/>
    <w:rsid w:val="00AC69D2"/>
    <w:rsid w:val="00AC6B92"/>
    <w:rsid w:val="00AC7879"/>
    <w:rsid w:val="00AC7934"/>
    <w:rsid w:val="00AD0358"/>
    <w:rsid w:val="00AD0754"/>
    <w:rsid w:val="00AD087F"/>
    <w:rsid w:val="00AD0B6F"/>
    <w:rsid w:val="00AD1084"/>
    <w:rsid w:val="00AD1683"/>
    <w:rsid w:val="00AD1B1A"/>
    <w:rsid w:val="00AD1EAF"/>
    <w:rsid w:val="00AD214B"/>
    <w:rsid w:val="00AD2F16"/>
    <w:rsid w:val="00AD327F"/>
    <w:rsid w:val="00AD348A"/>
    <w:rsid w:val="00AD3925"/>
    <w:rsid w:val="00AD3DDC"/>
    <w:rsid w:val="00AD3DEA"/>
    <w:rsid w:val="00AD5780"/>
    <w:rsid w:val="00AD68A6"/>
    <w:rsid w:val="00AD7F9C"/>
    <w:rsid w:val="00AE0044"/>
    <w:rsid w:val="00AE03A2"/>
    <w:rsid w:val="00AE0A52"/>
    <w:rsid w:val="00AE115B"/>
    <w:rsid w:val="00AE17F7"/>
    <w:rsid w:val="00AE1DD0"/>
    <w:rsid w:val="00AE1E70"/>
    <w:rsid w:val="00AE2053"/>
    <w:rsid w:val="00AE2186"/>
    <w:rsid w:val="00AE37E1"/>
    <w:rsid w:val="00AE38F2"/>
    <w:rsid w:val="00AE4EE1"/>
    <w:rsid w:val="00AE5458"/>
    <w:rsid w:val="00AE6B0B"/>
    <w:rsid w:val="00AE702F"/>
    <w:rsid w:val="00AE7258"/>
    <w:rsid w:val="00AE7267"/>
    <w:rsid w:val="00AE738E"/>
    <w:rsid w:val="00AE7606"/>
    <w:rsid w:val="00AE7612"/>
    <w:rsid w:val="00AE7A44"/>
    <w:rsid w:val="00AE7AD4"/>
    <w:rsid w:val="00AE7F86"/>
    <w:rsid w:val="00AF015A"/>
    <w:rsid w:val="00AF01A3"/>
    <w:rsid w:val="00AF04C8"/>
    <w:rsid w:val="00AF068E"/>
    <w:rsid w:val="00AF077A"/>
    <w:rsid w:val="00AF0D4D"/>
    <w:rsid w:val="00AF11AB"/>
    <w:rsid w:val="00AF198A"/>
    <w:rsid w:val="00AF1C6B"/>
    <w:rsid w:val="00AF2800"/>
    <w:rsid w:val="00AF2A0B"/>
    <w:rsid w:val="00AF2DA0"/>
    <w:rsid w:val="00AF3163"/>
    <w:rsid w:val="00AF3350"/>
    <w:rsid w:val="00AF3901"/>
    <w:rsid w:val="00AF3EBA"/>
    <w:rsid w:val="00AF4233"/>
    <w:rsid w:val="00AF427C"/>
    <w:rsid w:val="00AF43C7"/>
    <w:rsid w:val="00AF5525"/>
    <w:rsid w:val="00AF6885"/>
    <w:rsid w:val="00AF6DCD"/>
    <w:rsid w:val="00AF6E0E"/>
    <w:rsid w:val="00AF70C8"/>
    <w:rsid w:val="00AF7948"/>
    <w:rsid w:val="00AF7A62"/>
    <w:rsid w:val="00AF7BA5"/>
    <w:rsid w:val="00AF7C0A"/>
    <w:rsid w:val="00AF7F9F"/>
    <w:rsid w:val="00B000B2"/>
    <w:rsid w:val="00B01253"/>
    <w:rsid w:val="00B015AC"/>
    <w:rsid w:val="00B018EC"/>
    <w:rsid w:val="00B01B6D"/>
    <w:rsid w:val="00B0222D"/>
    <w:rsid w:val="00B02EA9"/>
    <w:rsid w:val="00B031F9"/>
    <w:rsid w:val="00B03298"/>
    <w:rsid w:val="00B039F3"/>
    <w:rsid w:val="00B039F4"/>
    <w:rsid w:val="00B03A8E"/>
    <w:rsid w:val="00B03BDD"/>
    <w:rsid w:val="00B03FD1"/>
    <w:rsid w:val="00B04046"/>
    <w:rsid w:val="00B044F0"/>
    <w:rsid w:val="00B04C47"/>
    <w:rsid w:val="00B04EEC"/>
    <w:rsid w:val="00B05250"/>
    <w:rsid w:val="00B05662"/>
    <w:rsid w:val="00B06742"/>
    <w:rsid w:val="00B067BE"/>
    <w:rsid w:val="00B0685F"/>
    <w:rsid w:val="00B06D76"/>
    <w:rsid w:val="00B070EE"/>
    <w:rsid w:val="00B07528"/>
    <w:rsid w:val="00B07F3C"/>
    <w:rsid w:val="00B10812"/>
    <w:rsid w:val="00B10AE1"/>
    <w:rsid w:val="00B10E8A"/>
    <w:rsid w:val="00B10F16"/>
    <w:rsid w:val="00B111E3"/>
    <w:rsid w:val="00B11526"/>
    <w:rsid w:val="00B11901"/>
    <w:rsid w:val="00B11A60"/>
    <w:rsid w:val="00B11AAD"/>
    <w:rsid w:val="00B122D2"/>
    <w:rsid w:val="00B1259A"/>
    <w:rsid w:val="00B12821"/>
    <w:rsid w:val="00B1303B"/>
    <w:rsid w:val="00B139FA"/>
    <w:rsid w:val="00B13E5E"/>
    <w:rsid w:val="00B1411A"/>
    <w:rsid w:val="00B1443D"/>
    <w:rsid w:val="00B1491F"/>
    <w:rsid w:val="00B149D7"/>
    <w:rsid w:val="00B154E0"/>
    <w:rsid w:val="00B163D4"/>
    <w:rsid w:val="00B17428"/>
    <w:rsid w:val="00B205A4"/>
    <w:rsid w:val="00B20F7C"/>
    <w:rsid w:val="00B21286"/>
    <w:rsid w:val="00B2144C"/>
    <w:rsid w:val="00B21652"/>
    <w:rsid w:val="00B21925"/>
    <w:rsid w:val="00B21B07"/>
    <w:rsid w:val="00B22A51"/>
    <w:rsid w:val="00B22E44"/>
    <w:rsid w:val="00B2335C"/>
    <w:rsid w:val="00B239F1"/>
    <w:rsid w:val="00B23AB6"/>
    <w:rsid w:val="00B23EB6"/>
    <w:rsid w:val="00B244C2"/>
    <w:rsid w:val="00B24891"/>
    <w:rsid w:val="00B24B90"/>
    <w:rsid w:val="00B262D8"/>
    <w:rsid w:val="00B266A8"/>
    <w:rsid w:val="00B2702E"/>
    <w:rsid w:val="00B27179"/>
    <w:rsid w:val="00B2788D"/>
    <w:rsid w:val="00B30043"/>
    <w:rsid w:val="00B30521"/>
    <w:rsid w:val="00B30E97"/>
    <w:rsid w:val="00B31ABB"/>
    <w:rsid w:val="00B31C88"/>
    <w:rsid w:val="00B31D83"/>
    <w:rsid w:val="00B327AF"/>
    <w:rsid w:val="00B32C81"/>
    <w:rsid w:val="00B330A2"/>
    <w:rsid w:val="00B333D6"/>
    <w:rsid w:val="00B33559"/>
    <w:rsid w:val="00B33846"/>
    <w:rsid w:val="00B33E8E"/>
    <w:rsid w:val="00B3459B"/>
    <w:rsid w:val="00B345D6"/>
    <w:rsid w:val="00B35612"/>
    <w:rsid w:val="00B358C1"/>
    <w:rsid w:val="00B35DC9"/>
    <w:rsid w:val="00B36279"/>
    <w:rsid w:val="00B366BB"/>
    <w:rsid w:val="00B36909"/>
    <w:rsid w:val="00B369DD"/>
    <w:rsid w:val="00B36F80"/>
    <w:rsid w:val="00B3709B"/>
    <w:rsid w:val="00B377BF"/>
    <w:rsid w:val="00B37F84"/>
    <w:rsid w:val="00B4000C"/>
    <w:rsid w:val="00B406B9"/>
    <w:rsid w:val="00B40BDC"/>
    <w:rsid w:val="00B41DCF"/>
    <w:rsid w:val="00B424B8"/>
    <w:rsid w:val="00B4389A"/>
    <w:rsid w:val="00B43B9A"/>
    <w:rsid w:val="00B44314"/>
    <w:rsid w:val="00B44450"/>
    <w:rsid w:val="00B447AA"/>
    <w:rsid w:val="00B44C38"/>
    <w:rsid w:val="00B44E5A"/>
    <w:rsid w:val="00B45246"/>
    <w:rsid w:val="00B452CA"/>
    <w:rsid w:val="00B45A32"/>
    <w:rsid w:val="00B45C27"/>
    <w:rsid w:val="00B465D7"/>
    <w:rsid w:val="00B466B1"/>
    <w:rsid w:val="00B46712"/>
    <w:rsid w:val="00B46F5A"/>
    <w:rsid w:val="00B470ED"/>
    <w:rsid w:val="00B47470"/>
    <w:rsid w:val="00B47BE3"/>
    <w:rsid w:val="00B47D2E"/>
    <w:rsid w:val="00B50A2B"/>
    <w:rsid w:val="00B50BA6"/>
    <w:rsid w:val="00B50FDA"/>
    <w:rsid w:val="00B52B1C"/>
    <w:rsid w:val="00B52B71"/>
    <w:rsid w:val="00B52C41"/>
    <w:rsid w:val="00B52D69"/>
    <w:rsid w:val="00B52FF3"/>
    <w:rsid w:val="00B531F4"/>
    <w:rsid w:val="00B53CE5"/>
    <w:rsid w:val="00B5434E"/>
    <w:rsid w:val="00B54827"/>
    <w:rsid w:val="00B5487B"/>
    <w:rsid w:val="00B54AA4"/>
    <w:rsid w:val="00B54DA2"/>
    <w:rsid w:val="00B55EAF"/>
    <w:rsid w:val="00B56477"/>
    <w:rsid w:val="00B57B82"/>
    <w:rsid w:val="00B57D9C"/>
    <w:rsid w:val="00B57DB4"/>
    <w:rsid w:val="00B57E43"/>
    <w:rsid w:val="00B57FE8"/>
    <w:rsid w:val="00B600A7"/>
    <w:rsid w:val="00B60121"/>
    <w:rsid w:val="00B60283"/>
    <w:rsid w:val="00B60776"/>
    <w:rsid w:val="00B60A09"/>
    <w:rsid w:val="00B60D30"/>
    <w:rsid w:val="00B61076"/>
    <w:rsid w:val="00B610D6"/>
    <w:rsid w:val="00B613C9"/>
    <w:rsid w:val="00B6181E"/>
    <w:rsid w:val="00B62B1A"/>
    <w:rsid w:val="00B63896"/>
    <w:rsid w:val="00B640F4"/>
    <w:rsid w:val="00B645F9"/>
    <w:rsid w:val="00B656B1"/>
    <w:rsid w:val="00B658CB"/>
    <w:rsid w:val="00B65B28"/>
    <w:rsid w:val="00B65F4A"/>
    <w:rsid w:val="00B668D2"/>
    <w:rsid w:val="00B66D6A"/>
    <w:rsid w:val="00B671A1"/>
    <w:rsid w:val="00B67505"/>
    <w:rsid w:val="00B70EF5"/>
    <w:rsid w:val="00B7103B"/>
    <w:rsid w:val="00B716DD"/>
    <w:rsid w:val="00B71A7C"/>
    <w:rsid w:val="00B71EBC"/>
    <w:rsid w:val="00B71EF1"/>
    <w:rsid w:val="00B7234F"/>
    <w:rsid w:val="00B73192"/>
    <w:rsid w:val="00B7343B"/>
    <w:rsid w:val="00B73FFF"/>
    <w:rsid w:val="00B7428E"/>
    <w:rsid w:val="00B74D47"/>
    <w:rsid w:val="00B74D59"/>
    <w:rsid w:val="00B74DFE"/>
    <w:rsid w:val="00B7507F"/>
    <w:rsid w:val="00B75A72"/>
    <w:rsid w:val="00B761DD"/>
    <w:rsid w:val="00B7694C"/>
    <w:rsid w:val="00B76DEB"/>
    <w:rsid w:val="00B76EB5"/>
    <w:rsid w:val="00B7713A"/>
    <w:rsid w:val="00B7730F"/>
    <w:rsid w:val="00B774AA"/>
    <w:rsid w:val="00B77710"/>
    <w:rsid w:val="00B80501"/>
    <w:rsid w:val="00B80C80"/>
    <w:rsid w:val="00B81397"/>
    <w:rsid w:val="00B813FA"/>
    <w:rsid w:val="00B818B5"/>
    <w:rsid w:val="00B819B3"/>
    <w:rsid w:val="00B82794"/>
    <w:rsid w:val="00B82D78"/>
    <w:rsid w:val="00B8344F"/>
    <w:rsid w:val="00B837B4"/>
    <w:rsid w:val="00B83A68"/>
    <w:rsid w:val="00B83D8C"/>
    <w:rsid w:val="00B83DB5"/>
    <w:rsid w:val="00B84144"/>
    <w:rsid w:val="00B84245"/>
    <w:rsid w:val="00B853FD"/>
    <w:rsid w:val="00B85C98"/>
    <w:rsid w:val="00B85F14"/>
    <w:rsid w:val="00B86114"/>
    <w:rsid w:val="00B86117"/>
    <w:rsid w:val="00B86D22"/>
    <w:rsid w:val="00B873B5"/>
    <w:rsid w:val="00B8742F"/>
    <w:rsid w:val="00B87A55"/>
    <w:rsid w:val="00B87A7A"/>
    <w:rsid w:val="00B90363"/>
    <w:rsid w:val="00B90A10"/>
    <w:rsid w:val="00B91A8C"/>
    <w:rsid w:val="00B91D1B"/>
    <w:rsid w:val="00B92D44"/>
    <w:rsid w:val="00B93451"/>
    <w:rsid w:val="00B93480"/>
    <w:rsid w:val="00B93552"/>
    <w:rsid w:val="00B9385E"/>
    <w:rsid w:val="00B93B50"/>
    <w:rsid w:val="00B941CF"/>
    <w:rsid w:val="00B94B03"/>
    <w:rsid w:val="00B951FD"/>
    <w:rsid w:val="00B954B5"/>
    <w:rsid w:val="00B95C8D"/>
    <w:rsid w:val="00B967E2"/>
    <w:rsid w:val="00B96818"/>
    <w:rsid w:val="00B96A06"/>
    <w:rsid w:val="00B96A79"/>
    <w:rsid w:val="00B96C18"/>
    <w:rsid w:val="00B96EB5"/>
    <w:rsid w:val="00B972B2"/>
    <w:rsid w:val="00B976BE"/>
    <w:rsid w:val="00B97E14"/>
    <w:rsid w:val="00BA08EF"/>
    <w:rsid w:val="00BA0A16"/>
    <w:rsid w:val="00BA0C96"/>
    <w:rsid w:val="00BA15A8"/>
    <w:rsid w:val="00BA16E8"/>
    <w:rsid w:val="00BA1969"/>
    <w:rsid w:val="00BA2383"/>
    <w:rsid w:val="00BA23B2"/>
    <w:rsid w:val="00BA2418"/>
    <w:rsid w:val="00BA24D4"/>
    <w:rsid w:val="00BA24E8"/>
    <w:rsid w:val="00BA2729"/>
    <w:rsid w:val="00BA418D"/>
    <w:rsid w:val="00BA4BB6"/>
    <w:rsid w:val="00BA4D15"/>
    <w:rsid w:val="00BA50A1"/>
    <w:rsid w:val="00BA58BA"/>
    <w:rsid w:val="00BA6432"/>
    <w:rsid w:val="00BA696A"/>
    <w:rsid w:val="00BA7371"/>
    <w:rsid w:val="00BB0112"/>
    <w:rsid w:val="00BB0397"/>
    <w:rsid w:val="00BB104C"/>
    <w:rsid w:val="00BB1BF8"/>
    <w:rsid w:val="00BB1D4F"/>
    <w:rsid w:val="00BB1E1A"/>
    <w:rsid w:val="00BB24FC"/>
    <w:rsid w:val="00BB2670"/>
    <w:rsid w:val="00BB2981"/>
    <w:rsid w:val="00BB29B8"/>
    <w:rsid w:val="00BB3753"/>
    <w:rsid w:val="00BB3A03"/>
    <w:rsid w:val="00BB3CCC"/>
    <w:rsid w:val="00BB3E61"/>
    <w:rsid w:val="00BB3F08"/>
    <w:rsid w:val="00BB437B"/>
    <w:rsid w:val="00BB4797"/>
    <w:rsid w:val="00BB49A1"/>
    <w:rsid w:val="00BB4E3E"/>
    <w:rsid w:val="00BB56EE"/>
    <w:rsid w:val="00BB5965"/>
    <w:rsid w:val="00BB5DB5"/>
    <w:rsid w:val="00BB5FAB"/>
    <w:rsid w:val="00BB627E"/>
    <w:rsid w:val="00BB6341"/>
    <w:rsid w:val="00BB6910"/>
    <w:rsid w:val="00BB694F"/>
    <w:rsid w:val="00BB7603"/>
    <w:rsid w:val="00BB76D5"/>
    <w:rsid w:val="00BB7B6E"/>
    <w:rsid w:val="00BC0279"/>
    <w:rsid w:val="00BC063C"/>
    <w:rsid w:val="00BC0772"/>
    <w:rsid w:val="00BC0ED3"/>
    <w:rsid w:val="00BC113C"/>
    <w:rsid w:val="00BC14FB"/>
    <w:rsid w:val="00BC15E4"/>
    <w:rsid w:val="00BC17F0"/>
    <w:rsid w:val="00BC181B"/>
    <w:rsid w:val="00BC18BD"/>
    <w:rsid w:val="00BC2630"/>
    <w:rsid w:val="00BC3216"/>
    <w:rsid w:val="00BC35DF"/>
    <w:rsid w:val="00BC3722"/>
    <w:rsid w:val="00BC388D"/>
    <w:rsid w:val="00BC3DAC"/>
    <w:rsid w:val="00BC46C9"/>
    <w:rsid w:val="00BC4A53"/>
    <w:rsid w:val="00BC4B42"/>
    <w:rsid w:val="00BC4CF6"/>
    <w:rsid w:val="00BC538A"/>
    <w:rsid w:val="00BC5EB6"/>
    <w:rsid w:val="00BC75C8"/>
    <w:rsid w:val="00BD0635"/>
    <w:rsid w:val="00BD120F"/>
    <w:rsid w:val="00BD129B"/>
    <w:rsid w:val="00BD1596"/>
    <w:rsid w:val="00BD1971"/>
    <w:rsid w:val="00BD1A02"/>
    <w:rsid w:val="00BD25CD"/>
    <w:rsid w:val="00BD27A2"/>
    <w:rsid w:val="00BD3CC8"/>
    <w:rsid w:val="00BD4018"/>
    <w:rsid w:val="00BD4027"/>
    <w:rsid w:val="00BD45FF"/>
    <w:rsid w:val="00BD4756"/>
    <w:rsid w:val="00BD479B"/>
    <w:rsid w:val="00BD4F47"/>
    <w:rsid w:val="00BD59B6"/>
    <w:rsid w:val="00BD5F05"/>
    <w:rsid w:val="00BD6650"/>
    <w:rsid w:val="00BD6AAE"/>
    <w:rsid w:val="00BD7324"/>
    <w:rsid w:val="00BD7ADD"/>
    <w:rsid w:val="00BE0172"/>
    <w:rsid w:val="00BE01FA"/>
    <w:rsid w:val="00BE03FE"/>
    <w:rsid w:val="00BE056A"/>
    <w:rsid w:val="00BE1042"/>
    <w:rsid w:val="00BE1046"/>
    <w:rsid w:val="00BE1B67"/>
    <w:rsid w:val="00BE208B"/>
    <w:rsid w:val="00BE2D02"/>
    <w:rsid w:val="00BE3614"/>
    <w:rsid w:val="00BE3949"/>
    <w:rsid w:val="00BE3EDC"/>
    <w:rsid w:val="00BE4408"/>
    <w:rsid w:val="00BE447F"/>
    <w:rsid w:val="00BE45D0"/>
    <w:rsid w:val="00BE5911"/>
    <w:rsid w:val="00BE6C30"/>
    <w:rsid w:val="00BE7515"/>
    <w:rsid w:val="00BE77F5"/>
    <w:rsid w:val="00BF02E5"/>
    <w:rsid w:val="00BF0589"/>
    <w:rsid w:val="00BF0CDB"/>
    <w:rsid w:val="00BF147C"/>
    <w:rsid w:val="00BF14F5"/>
    <w:rsid w:val="00BF1E75"/>
    <w:rsid w:val="00BF1F09"/>
    <w:rsid w:val="00BF2382"/>
    <w:rsid w:val="00BF2FF5"/>
    <w:rsid w:val="00BF327C"/>
    <w:rsid w:val="00BF3757"/>
    <w:rsid w:val="00BF3D59"/>
    <w:rsid w:val="00BF444B"/>
    <w:rsid w:val="00BF4CF4"/>
    <w:rsid w:val="00BF5730"/>
    <w:rsid w:val="00BF5E74"/>
    <w:rsid w:val="00BF63A9"/>
    <w:rsid w:val="00BF63B9"/>
    <w:rsid w:val="00C00421"/>
    <w:rsid w:val="00C007F8"/>
    <w:rsid w:val="00C00CA8"/>
    <w:rsid w:val="00C02416"/>
    <w:rsid w:val="00C0260A"/>
    <w:rsid w:val="00C02BD3"/>
    <w:rsid w:val="00C03039"/>
    <w:rsid w:val="00C03331"/>
    <w:rsid w:val="00C03C22"/>
    <w:rsid w:val="00C03C3A"/>
    <w:rsid w:val="00C03FE9"/>
    <w:rsid w:val="00C04010"/>
    <w:rsid w:val="00C041D2"/>
    <w:rsid w:val="00C0527B"/>
    <w:rsid w:val="00C05549"/>
    <w:rsid w:val="00C05725"/>
    <w:rsid w:val="00C0652E"/>
    <w:rsid w:val="00C065AC"/>
    <w:rsid w:val="00C0702D"/>
    <w:rsid w:val="00C07190"/>
    <w:rsid w:val="00C078E6"/>
    <w:rsid w:val="00C0792D"/>
    <w:rsid w:val="00C104AC"/>
    <w:rsid w:val="00C10815"/>
    <w:rsid w:val="00C10957"/>
    <w:rsid w:val="00C116CB"/>
    <w:rsid w:val="00C119BF"/>
    <w:rsid w:val="00C120F4"/>
    <w:rsid w:val="00C12568"/>
    <w:rsid w:val="00C126E7"/>
    <w:rsid w:val="00C12B09"/>
    <w:rsid w:val="00C12B7B"/>
    <w:rsid w:val="00C12BB0"/>
    <w:rsid w:val="00C13097"/>
    <w:rsid w:val="00C13ABF"/>
    <w:rsid w:val="00C13B63"/>
    <w:rsid w:val="00C1463B"/>
    <w:rsid w:val="00C14712"/>
    <w:rsid w:val="00C1579B"/>
    <w:rsid w:val="00C15994"/>
    <w:rsid w:val="00C15DB9"/>
    <w:rsid w:val="00C15EC2"/>
    <w:rsid w:val="00C164F9"/>
    <w:rsid w:val="00C1695C"/>
    <w:rsid w:val="00C171CA"/>
    <w:rsid w:val="00C1798E"/>
    <w:rsid w:val="00C17A62"/>
    <w:rsid w:val="00C202D3"/>
    <w:rsid w:val="00C20380"/>
    <w:rsid w:val="00C20882"/>
    <w:rsid w:val="00C20BC0"/>
    <w:rsid w:val="00C20CB0"/>
    <w:rsid w:val="00C21459"/>
    <w:rsid w:val="00C218B3"/>
    <w:rsid w:val="00C21A48"/>
    <w:rsid w:val="00C21F12"/>
    <w:rsid w:val="00C222B5"/>
    <w:rsid w:val="00C22D46"/>
    <w:rsid w:val="00C23C84"/>
    <w:rsid w:val="00C2474E"/>
    <w:rsid w:val="00C258AF"/>
    <w:rsid w:val="00C25ACD"/>
    <w:rsid w:val="00C267F7"/>
    <w:rsid w:val="00C2691B"/>
    <w:rsid w:val="00C27493"/>
    <w:rsid w:val="00C27783"/>
    <w:rsid w:val="00C278AF"/>
    <w:rsid w:val="00C27AC4"/>
    <w:rsid w:val="00C3092A"/>
    <w:rsid w:val="00C30998"/>
    <w:rsid w:val="00C309BD"/>
    <w:rsid w:val="00C3100C"/>
    <w:rsid w:val="00C310E9"/>
    <w:rsid w:val="00C31398"/>
    <w:rsid w:val="00C31ACB"/>
    <w:rsid w:val="00C31B08"/>
    <w:rsid w:val="00C31B21"/>
    <w:rsid w:val="00C31D65"/>
    <w:rsid w:val="00C328E3"/>
    <w:rsid w:val="00C32BF2"/>
    <w:rsid w:val="00C33256"/>
    <w:rsid w:val="00C334B0"/>
    <w:rsid w:val="00C33D9D"/>
    <w:rsid w:val="00C33DFC"/>
    <w:rsid w:val="00C33F8C"/>
    <w:rsid w:val="00C343FE"/>
    <w:rsid w:val="00C34758"/>
    <w:rsid w:val="00C34814"/>
    <w:rsid w:val="00C3493A"/>
    <w:rsid w:val="00C34B0B"/>
    <w:rsid w:val="00C3579B"/>
    <w:rsid w:val="00C374B7"/>
    <w:rsid w:val="00C376DC"/>
    <w:rsid w:val="00C37A06"/>
    <w:rsid w:val="00C40420"/>
    <w:rsid w:val="00C406B5"/>
    <w:rsid w:val="00C40CA7"/>
    <w:rsid w:val="00C40CE4"/>
    <w:rsid w:val="00C40DF5"/>
    <w:rsid w:val="00C4107C"/>
    <w:rsid w:val="00C410B5"/>
    <w:rsid w:val="00C41414"/>
    <w:rsid w:val="00C41738"/>
    <w:rsid w:val="00C41C5B"/>
    <w:rsid w:val="00C42442"/>
    <w:rsid w:val="00C42A39"/>
    <w:rsid w:val="00C42A58"/>
    <w:rsid w:val="00C4310D"/>
    <w:rsid w:val="00C431D6"/>
    <w:rsid w:val="00C4350F"/>
    <w:rsid w:val="00C43515"/>
    <w:rsid w:val="00C4397F"/>
    <w:rsid w:val="00C44AB5"/>
    <w:rsid w:val="00C4595E"/>
    <w:rsid w:val="00C45A8D"/>
    <w:rsid w:val="00C462DB"/>
    <w:rsid w:val="00C46FE0"/>
    <w:rsid w:val="00C47487"/>
    <w:rsid w:val="00C50636"/>
    <w:rsid w:val="00C506DB"/>
    <w:rsid w:val="00C50A49"/>
    <w:rsid w:val="00C50CE5"/>
    <w:rsid w:val="00C50D37"/>
    <w:rsid w:val="00C51446"/>
    <w:rsid w:val="00C51614"/>
    <w:rsid w:val="00C5178E"/>
    <w:rsid w:val="00C5199C"/>
    <w:rsid w:val="00C51BBD"/>
    <w:rsid w:val="00C52170"/>
    <w:rsid w:val="00C527C4"/>
    <w:rsid w:val="00C529AA"/>
    <w:rsid w:val="00C534AE"/>
    <w:rsid w:val="00C5357F"/>
    <w:rsid w:val="00C536EA"/>
    <w:rsid w:val="00C536F9"/>
    <w:rsid w:val="00C53DF9"/>
    <w:rsid w:val="00C54F80"/>
    <w:rsid w:val="00C55EB7"/>
    <w:rsid w:val="00C5619B"/>
    <w:rsid w:val="00C561A1"/>
    <w:rsid w:val="00C561C6"/>
    <w:rsid w:val="00C56386"/>
    <w:rsid w:val="00C56717"/>
    <w:rsid w:val="00C56984"/>
    <w:rsid w:val="00C56D8D"/>
    <w:rsid w:val="00C57C75"/>
    <w:rsid w:val="00C60686"/>
    <w:rsid w:val="00C611B7"/>
    <w:rsid w:val="00C61897"/>
    <w:rsid w:val="00C61C9F"/>
    <w:rsid w:val="00C626B1"/>
    <w:rsid w:val="00C63036"/>
    <w:rsid w:val="00C63511"/>
    <w:rsid w:val="00C63C4E"/>
    <w:rsid w:val="00C644C5"/>
    <w:rsid w:val="00C647A6"/>
    <w:rsid w:val="00C647DB"/>
    <w:rsid w:val="00C64F16"/>
    <w:rsid w:val="00C65B57"/>
    <w:rsid w:val="00C65B7E"/>
    <w:rsid w:val="00C6604F"/>
    <w:rsid w:val="00C67876"/>
    <w:rsid w:val="00C67D65"/>
    <w:rsid w:val="00C705A7"/>
    <w:rsid w:val="00C723C0"/>
    <w:rsid w:val="00C747B3"/>
    <w:rsid w:val="00C74AFA"/>
    <w:rsid w:val="00C74B40"/>
    <w:rsid w:val="00C74B79"/>
    <w:rsid w:val="00C75361"/>
    <w:rsid w:val="00C75A0A"/>
    <w:rsid w:val="00C75DB2"/>
    <w:rsid w:val="00C760AF"/>
    <w:rsid w:val="00C764AB"/>
    <w:rsid w:val="00C76B17"/>
    <w:rsid w:val="00C76BC7"/>
    <w:rsid w:val="00C771B1"/>
    <w:rsid w:val="00C77969"/>
    <w:rsid w:val="00C77AA1"/>
    <w:rsid w:val="00C80442"/>
    <w:rsid w:val="00C80F8E"/>
    <w:rsid w:val="00C8167A"/>
    <w:rsid w:val="00C82A06"/>
    <w:rsid w:val="00C83015"/>
    <w:rsid w:val="00C830EA"/>
    <w:rsid w:val="00C83E75"/>
    <w:rsid w:val="00C84374"/>
    <w:rsid w:val="00C847BD"/>
    <w:rsid w:val="00C84ED6"/>
    <w:rsid w:val="00C85E4A"/>
    <w:rsid w:val="00C85EB2"/>
    <w:rsid w:val="00C8631D"/>
    <w:rsid w:val="00C865AC"/>
    <w:rsid w:val="00C8763F"/>
    <w:rsid w:val="00C87EC0"/>
    <w:rsid w:val="00C87F15"/>
    <w:rsid w:val="00C9020A"/>
    <w:rsid w:val="00C9028A"/>
    <w:rsid w:val="00C90B71"/>
    <w:rsid w:val="00C9123B"/>
    <w:rsid w:val="00C91542"/>
    <w:rsid w:val="00C91BEE"/>
    <w:rsid w:val="00C924BA"/>
    <w:rsid w:val="00C92BBF"/>
    <w:rsid w:val="00C92E19"/>
    <w:rsid w:val="00C9329C"/>
    <w:rsid w:val="00C93B07"/>
    <w:rsid w:val="00C93DB4"/>
    <w:rsid w:val="00C94316"/>
    <w:rsid w:val="00C94AA6"/>
    <w:rsid w:val="00C94CF0"/>
    <w:rsid w:val="00C9557E"/>
    <w:rsid w:val="00C95E58"/>
    <w:rsid w:val="00C9689B"/>
    <w:rsid w:val="00C96CEE"/>
    <w:rsid w:val="00C971AD"/>
    <w:rsid w:val="00C97337"/>
    <w:rsid w:val="00C97928"/>
    <w:rsid w:val="00C97A70"/>
    <w:rsid w:val="00CA0C66"/>
    <w:rsid w:val="00CA0C92"/>
    <w:rsid w:val="00CA0D6B"/>
    <w:rsid w:val="00CA1577"/>
    <w:rsid w:val="00CA18A0"/>
    <w:rsid w:val="00CA1F2E"/>
    <w:rsid w:val="00CA23DE"/>
    <w:rsid w:val="00CA248C"/>
    <w:rsid w:val="00CA28A7"/>
    <w:rsid w:val="00CA29FA"/>
    <w:rsid w:val="00CA2EC6"/>
    <w:rsid w:val="00CA2F98"/>
    <w:rsid w:val="00CA2FC7"/>
    <w:rsid w:val="00CA31D7"/>
    <w:rsid w:val="00CA46DA"/>
    <w:rsid w:val="00CA4D80"/>
    <w:rsid w:val="00CA5334"/>
    <w:rsid w:val="00CA534C"/>
    <w:rsid w:val="00CA6804"/>
    <w:rsid w:val="00CA7197"/>
    <w:rsid w:val="00CB00D8"/>
    <w:rsid w:val="00CB073D"/>
    <w:rsid w:val="00CB089A"/>
    <w:rsid w:val="00CB0D65"/>
    <w:rsid w:val="00CB0FC9"/>
    <w:rsid w:val="00CB1561"/>
    <w:rsid w:val="00CB1686"/>
    <w:rsid w:val="00CB190A"/>
    <w:rsid w:val="00CB1E83"/>
    <w:rsid w:val="00CB266D"/>
    <w:rsid w:val="00CB274C"/>
    <w:rsid w:val="00CB32C4"/>
    <w:rsid w:val="00CB35E6"/>
    <w:rsid w:val="00CB38C7"/>
    <w:rsid w:val="00CB3A16"/>
    <w:rsid w:val="00CB3E24"/>
    <w:rsid w:val="00CB3F21"/>
    <w:rsid w:val="00CB40A5"/>
    <w:rsid w:val="00CB4594"/>
    <w:rsid w:val="00CB4675"/>
    <w:rsid w:val="00CB4AF2"/>
    <w:rsid w:val="00CB4C39"/>
    <w:rsid w:val="00CB4D69"/>
    <w:rsid w:val="00CB50B3"/>
    <w:rsid w:val="00CB5E10"/>
    <w:rsid w:val="00CB5E2B"/>
    <w:rsid w:val="00CB602B"/>
    <w:rsid w:val="00CB656A"/>
    <w:rsid w:val="00CB65FE"/>
    <w:rsid w:val="00CB6856"/>
    <w:rsid w:val="00CB709C"/>
    <w:rsid w:val="00CB7733"/>
    <w:rsid w:val="00CC054A"/>
    <w:rsid w:val="00CC0714"/>
    <w:rsid w:val="00CC0BE5"/>
    <w:rsid w:val="00CC12BD"/>
    <w:rsid w:val="00CC16D3"/>
    <w:rsid w:val="00CC1964"/>
    <w:rsid w:val="00CC1A4C"/>
    <w:rsid w:val="00CC2E76"/>
    <w:rsid w:val="00CC3021"/>
    <w:rsid w:val="00CC32B5"/>
    <w:rsid w:val="00CC3793"/>
    <w:rsid w:val="00CC42F1"/>
    <w:rsid w:val="00CC4A8D"/>
    <w:rsid w:val="00CC4C38"/>
    <w:rsid w:val="00CC4F0C"/>
    <w:rsid w:val="00CC545C"/>
    <w:rsid w:val="00CC587C"/>
    <w:rsid w:val="00CC5C27"/>
    <w:rsid w:val="00CC5C36"/>
    <w:rsid w:val="00CC62C1"/>
    <w:rsid w:val="00CC7F70"/>
    <w:rsid w:val="00CD00A8"/>
    <w:rsid w:val="00CD0309"/>
    <w:rsid w:val="00CD0FBB"/>
    <w:rsid w:val="00CD13A2"/>
    <w:rsid w:val="00CD1E32"/>
    <w:rsid w:val="00CD29AE"/>
    <w:rsid w:val="00CD37D4"/>
    <w:rsid w:val="00CD38BB"/>
    <w:rsid w:val="00CD3A3F"/>
    <w:rsid w:val="00CD3AE7"/>
    <w:rsid w:val="00CD49EF"/>
    <w:rsid w:val="00CD4C79"/>
    <w:rsid w:val="00CD4F47"/>
    <w:rsid w:val="00CD4F97"/>
    <w:rsid w:val="00CD53BA"/>
    <w:rsid w:val="00CD5478"/>
    <w:rsid w:val="00CD55CC"/>
    <w:rsid w:val="00CD5A00"/>
    <w:rsid w:val="00CD5A47"/>
    <w:rsid w:val="00CD5D56"/>
    <w:rsid w:val="00CD5F74"/>
    <w:rsid w:val="00CD6780"/>
    <w:rsid w:val="00CD72CB"/>
    <w:rsid w:val="00CD7B86"/>
    <w:rsid w:val="00CD7FD3"/>
    <w:rsid w:val="00CE0D93"/>
    <w:rsid w:val="00CE1E2D"/>
    <w:rsid w:val="00CE25B6"/>
    <w:rsid w:val="00CE2A8E"/>
    <w:rsid w:val="00CE31A2"/>
    <w:rsid w:val="00CE41C9"/>
    <w:rsid w:val="00CE4A2E"/>
    <w:rsid w:val="00CE5A8F"/>
    <w:rsid w:val="00CE67A8"/>
    <w:rsid w:val="00CE7844"/>
    <w:rsid w:val="00CF0E7A"/>
    <w:rsid w:val="00CF23B7"/>
    <w:rsid w:val="00CF27A2"/>
    <w:rsid w:val="00CF282C"/>
    <w:rsid w:val="00CF312D"/>
    <w:rsid w:val="00CF351C"/>
    <w:rsid w:val="00CF3A7D"/>
    <w:rsid w:val="00CF5311"/>
    <w:rsid w:val="00CF58FA"/>
    <w:rsid w:val="00CF6952"/>
    <w:rsid w:val="00CF6C18"/>
    <w:rsid w:val="00CF7328"/>
    <w:rsid w:val="00CF74B4"/>
    <w:rsid w:val="00CF76B1"/>
    <w:rsid w:val="00CF7E27"/>
    <w:rsid w:val="00CF7E87"/>
    <w:rsid w:val="00CF7F61"/>
    <w:rsid w:val="00D0084C"/>
    <w:rsid w:val="00D011A9"/>
    <w:rsid w:val="00D01418"/>
    <w:rsid w:val="00D018C0"/>
    <w:rsid w:val="00D01C1D"/>
    <w:rsid w:val="00D01E58"/>
    <w:rsid w:val="00D020AE"/>
    <w:rsid w:val="00D02232"/>
    <w:rsid w:val="00D02E05"/>
    <w:rsid w:val="00D03629"/>
    <w:rsid w:val="00D037F3"/>
    <w:rsid w:val="00D04417"/>
    <w:rsid w:val="00D046DA"/>
    <w:rsid w:val="00D047AD"/>
    <w:rsid w:val="00D05234"/>
    <w:rsid w:val="00D053DF"/>
    <w:rsid w:val="00D05EE0"/>
    <w:rsid w:val="00D06A80"/>
    <w:rsid w:val="00D07659"/>
    <w:rsid w:val="00D0782B"/>
    <w:rsid w:val="00D078E2"/>
    <w:rsid w:val="00D07C6D"/>
    <w:rsid w:val="00D07E4B"/>
    <w:rsid w:val="00D102AA"/>
    <w:rsid w:val="00D10B01"/>
    <w:rsid w:val="00D1107B"/>
    <w:rsid w:val="00D11D82"/>
    <w:rsid w:val="00D11F0B"/>
    <w:rsid w:val="00D120FC"/>
    <w:rsid w:val="00D12B83"/>
    <w:rsid w:val="00D13A14"/>
    <w:rsid w:val="00D13A7D"/>
    <w:rsid w:val="00D1411F"/>
    <w:rsid w:val="00D14419"/>
    <w:rsid w:val="00D15653"/>
    <w:rsid w:val="00D16779"/>
    <w:rsid w:val="00D16A10"/>
    <w:rsid w:val="00D17378"/>
    <w:rsid w:val="00D17672"/>
    <w:rsid w:val="00D20180"/>
    <w:rsid w:val="00D202EA"/>
    <w:rsid w:val="00D20801"/>
    <w:rsid w:val="00D218A7"/>
    <w:rsid w:val="00D21F09"/>
    <w:rsid w:val="00D22CC5"/>
    <w:rsid w:val="00D23631"/>
    <w:rsid w:val="00D2394E"/>
    <w:rsid w:val="00D2399F"/>
    <w:rsid w:val="00D24897"/>
    <w:rsid w:val="00D24C1C"/>
    <w:rsid w:val="00D24F39"/>
    <w:rsid w:val="00D25102"/>
    <w:rsid w:val="00D251DA"/>
    <w:rsid w:val="00D2541B"/>
    <w:rsid w:val="00D25750"/>
    <w:rsid w:val="00D2612C"/>
    <w:rsid w:val="00D27340"/>
    <w:rsid w:val="00D27541"/>
    <w:rsid w:val="00D278DC"/>
    <w:rsid w:val="00D30F9F"/>
    <w:rsid w:val="00D314EB"/>
    <w:rsid w:val="00D31527"/>
    <w:rsid w:val="00D317BF"/>
    <w:rsid w:val="00D31BAA"/>
    <w:rsid w:val="00D31CB6"/>
    <w:rsid w:val="00D31EE4"/>
    <w:rsid w:val="00D32212"/>
    <w:rsid w:val="00D32238"/>
    <w:rsid w:val="00D3283C"/>
    <w:rsid w:val="00D32BBE"/>
    <w:rsid w:val="00D3306B"/>
    <w:rsid w:val="00D33B0F"/>
    <w:rsid w:val="00D34226"/>
    <w:rsid w:val="00D343E5"/>
    <w:rsid w:val="00D34595"/>
    <w:rsid w:val="00D362A9"/>
    <w:rsid w:val="00D36440"/>
    <w:rsid w:val="00D36C1B"/>
    <w:rsid w:val="00D3703A"/>
    <w:rsid w:val="00D3715C"/>
    <w:rsid w:val="00D37290"/>
    <w:rsid w:val="00D37BB2"/>
    <w:rsid w:val="00D37D8D"/>
    <w:rsid w:val="00D37D9A"/>
    <w:rsid w:val="00D4007A"/>
    <w:rsid w:val="00D401A7"/>
    <w:rsid w:val="00D403D2"/>
    <w:rsid w:val="00D4107B"/>
    <w:rsid w:val="00D414A7"/>
    <w:rsid w:val="00D41503"/>
    <w:rsid w:val="00D41AAB"/>
    <w:rsid w:val="00D41DF1"/>
    <w:rsid w:val="00D42252"/>
    <w:rsid w:val="00D42303"/>
    <w:rsid w:val="00D4265B"/>
    <w:rsid w:val="00D42796"/>
    <w:rsid w:val="00D42E3B"/>
    <w:rsid w:val="00D43035"/>
    <w:rsid w:val="00D4471D"/>
    <w:rsid w:val="00D44A45"/>
    <w:rsid w:val="00D451A7"/>
    <w:rsid w:val="00D4578D"/>
    <w:rsid w:val="00D460FD"/>
    <w:rsid w:val="00D46181"/>
    <w:rsid w:val="00D46AC9"/>
    <w:rsid w:val="00D46AD1"/>
    <w:rsid w:val="00D46B84"/>
    <w:rsid w:val="00D46C14"/>
    <w:rsid w:val="00D47009"/>
    <w:rsid w:val="00D47C12"/>
    <w:rsid w:val="00D501C5"/>
    <w:rsid w:val="00D51261"/>
    <w:rsid w:val="00D51C04"/>
    <w:rsid w:val="00D51DA8"/>
    <w:rsid w:val="00D52B63"/>
    <w:rsid w:val="00D52B85"/>
    <w:rsid w:val="00D53417"/>
    <w:rsid w:val="00D53631"/>
    <w:rsid w:val="00D53ACE"/>
    <w:rsid w:val="00D5503F"/>
    <w:rsid w:val="00D55911"/>
    <w:rsid w:val="00D562CC"/>
    <w:rsid w:val="00D5672F"/>
    <w:rsid w:val="00D56774"/>
    <w:rsid w:val="00D56F94"/>
    <w:rsid w:val="00D57432"/>
    <w:rsid w:val="00D6051A"/>
    <w:rsid w:val="00D60C50"/>
    <w:rsid w:val="00D60CAA"/>
    <w:rsid w:val="00D61431"/>
    <w:rsid w:val="00D61489"/>
    <w:rsid w:val="00D61BA8"/>
    <w:rsid w:val="00D61D05"/>
    <w:rsid w:val="00D62275"/>
    <w:rsid w:val="00D62553"/>
    <w:rsid w:val="00D628A5"/>
    <w:rsid w:val="00D62C35"/>
    <w:rsid w:val="00D62DB6"/>
    <w:rsid w:val="00D63357"/>
    <w:rsid w:val="00D63A6B"/>
    <w:rsid w:val="00D6462F"/>
    <w:rsid w:val="00D649A0"/>
    <w:rsid w:val="00D65D05"/>
    <w:rsid w:val="00D65E69"/>
    <w:rsid w:val="00D660A7"/>
    <w:rsid w:val="00D66685"/>
    <w:rsid w:val="00D66946"/>
    <w:rsid w:val="00D669D3"/>
    <w:rsid w:val="00D66BC8"/>
    <w:rsid w:val="00D678B8"/>
    <w:rsid w:val="00D67955"/>
    <w:rsid w:val="00D67ADD"/>
    <w:rsid w:val="00D67E9D"/>
    <w:rsid w:val="00D70CC4"/>
    <w:rsid w:val="00D715B0"/>
    <w:rsid w:val="00D715E1"/>
    <w:rsid w:val="00D7226A"/>
    <w:rsid w:val="00D7262E"/>
    <w:rsid w:val="00D72CDA"/>
    <w:rsid w:val="00D734BA"/>
    <w:rsid w:val="00D73667"/>
    <w:rsid w:val="00D740AD"/>
    <w:rsid w:val="00D74603"/>
    <w:rsid w:val="00D748E1"/>
    <w:rsid w:val="00D7497F"/>
    <w:rsid w:val="00D75064"/>
    <w:rsid w:val="00D75123"/>
    <w:rsid w:val="00D75735"/>
    <w:rsid w:val="00D76596"/>
    <w:rsid w:val="00D76637"/>
    <w:rsid w:val="00D76EA5"/>
    <w:rsid w:val="00D776C8"/>
    <w:rsid w:val="00D77943"/>
    <w:rsid w:val="00D77A98"/>
    <w:rsid w:val="00D77AD6"/>
    <w:rsid w:val="00D77BB7"/>
    <w:rsid w:val="00D77E74"/>
    <w:rsid w:val="00D809C7"/>
    <w:rsid w:val="00D80A35"/>
    <w:rsid w:val="00D8150C"/>
    <w:rsid w:val="00D81AF9"/>
    <w:rsid w:val="00D82719"/>
    <w:rsid w:val="00D82864"/>
    <w:rsid w:val="00D82C9A"/>
    <w:rsid w:val="00D82E18"/>
    <w:rsid w:val="00D82EBB"/>
    <w:rsid w:val="00D83499"/>
    <w:rsid w:val="00D836A0"/>
    <w:rsid w:val="00D83E59"/>
    <w:rsid w:val="00D83F43"/>
    <w:rsid w:val="00D84981"/>
    <w:rsid w:val="00D84BAE"/>
    <w:rsid w:val="00D84DB9"/>
    <w:rsid w:val="00D85591"/>
    <w:rsid w:val="00D85994"/>
    <w:rsid w:val="00D85AEA"/>
    <w:rsid w:val="00D85CC6"/>
    <w:rsid w:val="00D8620C"/>
    <w:rsid w:val="00D86516"/>
    <w:rsid w:val="00D86BF7"/>
    <w:rsid w:val="00D86C6F"/>
    <w:rsid w:val="00D86C8A"/>
    <w:rsid w:val="00D872C1"/>
    <w:rsid w:val="00D87B63"/>
    <w:rsid w:val="00D90138"/>
    <w:rsid w:val="00D90312"/>
    <w:rsid w:val="00D90FF7"/>
    <w:rsid w:val="00D91184"/>
    <w:rsid w:val="00D91918"/>
    <w:rsid w:val="00D91AB4"/>
    <w:rsid w:val="00D91F49"/>
    <w:rsid w:val="00D92257"/>
    <w:rsid w:val="00D924D8"/>
    <w:rsid w:val="00D92C64"/>
    <w:rsid w:val="00D9375D"/>
    <w:rsid w:val="00D93A11"/>
    <w:rsid w:val="00D94677"/>
    <w:rsid w:val="00D9489E"/>
    <w:rsid w:val="00D950E3"/>
    <w:rsid w:val="00D95359"/>
    <w:rsid w:val="00D95689"/>
    <w:rsid w:val="00D95997"/>
    <w:rsid w:val="00D959F5"/>
    <w:rsid w:val="00D95A99"/>
    <w:rsid w:val="00D95D81"/>
    <w:rsid w:val="00D960C5"/>
    <w:rsid w:val="00D969BB"/>
    <w:rsid w:val="00D96AE6"/>
    <w:rsid w:val="00D97340"/>
    <w:rsid w:val="00D9780A"/>
    <w:rsid w:val="00D978E9"/>
    <w:rsid w:val="00D97E1C"/>
    <w:rsid w:val="00DA0773"/>
    <w:rsid w:val="00DA0AD2"/>
    <w:rsid w:val="00DA0B54"/>
    <w:rsid w:val="00DA0DFE"/>
    <w:rsid w:val="00DA0E56"/>
    <w:rsid w:val="00DA0E6A"/>
    <w:rsid w:val="00DA1180"/>
    <w:rsid w:val="00DA1B5A"/>
    <w:rsid w:val="00DA1B72"/>
    <w:rsid w:val="00DA33FC"/>
    <w:rsid w:val="00DA414B"/>
    <w:rsid w:val="00DA4A30"/>
    <w:rsid w:val="00DA4F97"/>
    <w:rsid w:val="00DA4FAC"/>
    <w:rsid w:val="00DA573B"/>
    <w:rsid w:val="00DA732F"/>
    <w:rsid w:val="00DA77C3"/>
    <w:rsid w:val="00DB00CF"/>
    <w:rsid w:val="00DB1562"/>
    <w:rsid w:val="00DB1E3D"/>
    <w:rsid w:val="00DB1F46"/>
    <w:rsid w:val="00DB274A"/>
    <w:rsid w:val="00DB28E5"/>
    <w:rsid w:val="00DB2AA1"/>
    <w:rsid w:val="00DB3500"/>
    <w:rsid w:val="00DB3C40"/>
    <w:rsid w:val="00DB4765"/>
    <w:rsid w:val="00DB6679"/>
    <w:rsid w:val="00DB7118"/>
    <w:rsid w:val="00DB7380"/>
    <w:rsid w:val="00DC02A7"/>
    <w:rsid w:val="00DC037F"/>
    <w:rsid w:val="00DC0411"/>
    <w:rsid w:val="00DC0A0C"/>
    <w:rsid w:val="00DC1182"/>
    <w:rsid w:val="00DC1501"/>
    <w:rsid w:val="00DC1C14"/>
    <w:rsid w:val="00DC2956"/>
    <w:rsid w:val="00DC2C49"/>
    <w:rsid w:val="00DC2EEA"/>
    <w:rsid w:val="00DC31A2"/>
    <w:rsid w:val="00DC3219"/>
    <w:rsid w:val="00DC3869"/>
    <w:rsid w:val="00DC3DA9"/>
    <w:rsid w:val="00DC44EE"/>
    <w:rsid w:val="00DC49DB"/>
    <w:rsid w:val="00DC5355"/>
    <w:rsid w:val="00DC5AD8"/>
    <w:rsid w:val="00DC6B4A"/>
    <w:rsid w:val="00DC729A"/>
    <w:rsid w:val="00DD0252"/>
    <w:rsid w:val="00DD03BA"/>
    <w:rsid w:val="00DD084A"/>
    <w:rsid w:val="00DD161A"/>
    <w:rsid w:val="00DD18D2"/>
    <w:rsid w:val="00DD32F4"/>
    <w:rsid w:val="00DD37AF"/>
    <w:rsid w:val="00DD3E16"/>
    <w:rsid w:val="00DD3FF1"/>
    <w:rsid w:val="00DD3FF3"/>
    <w:rsid w:val="00DD4035"/>
    <w:rsid w:val="00DD427A"/>
    <w:rsid w:val="00DD4490"/>
    <w:rsid w:val="00DD4960"/>
    <w:rsid w:val="00DD5379"/>
    <w:rsid w:val="00DD54F1"/>
    <w:rsid w:val="00DD5585"/>
    <w:rsid w:val="00DD58D4"/>
    <w:rsid w:val="00DD6186"/>
    <w:rsid w:val="00DD69A8"/>
    <w:rsid w:val="00DD7842"/>
    <w:rsid w:val="00DE0072"/>
    <w:rsid w:val="00DE0DA7"/>
    <w:rsid w:val="00DE11B1"/>
    <w:rsid w:val="00DE1695"/>
    <w:rsid w:val="00DE1728"/>
    <w:rsid w:val="00DE17B5"/>
    <w:rsid w:val="00DE266F"/>
    <w:rsid w:val="00DE2977"/>
    <w:rsid w:val="00DE2AEB"/>
    <w:rsid w:val="00DE2B8F"/>
    <w:rsid w:val="00DE2DDA"/>
    <w:rsid w:val="00DE4218"/>
    <w:rsid w:val="00DE4C77"/>
    <w:rsid w:val="00DE510B"/>
    <w:rsid w:val="00DE5636"/>
    <w:rsid w:val="00DE6526"/>
    <w:rsid w:val="00DE6B5C"/>
    <w:rsid w:val="00DE6E33"/>
    <w:rsid w:val="00DE6F3B"/>
    <w:rsid w:val="00DE728F"/>
    <w:rsid w:val="00DE7D55"/>
    <w:rsid w:val="00DF1414"/>
    <w:rsid w:val="00DF26DF"/>
    <w:rsid w:val="00DF27C8"/>
    <w:rsid w:val="00DF2817"/>
    <w:rsid w:val="00DF2866"/>
    <w:rsid w:val="00DF2EC4"/>
    <w:rsid w:val="00DF2EEE"/>
    <w:rsid w:val="00DF37D4"/>
    <w:rsid w:val="00DF41C4"/>
    <w:rsid w:val="00DF41C6"/>
    <w:rsid w:val="00DF44AE"/>
    <w:rsid w:val="00DF44C2"/>
    <w:rsid w:val="00DF543C"/>
    <w:rsid w:val="00DF5FCE"/>
    <w:rsid w:val="00DF69F2"/>
    <w:rsid w:val="00DF6A9B"/>
    <w:rsid w:val="00E00169"/>
    <w:rsid w:val="00E00239"/>
    <w:rsid w:val="00E002E7"/>
    <w:rsid w:val="00E00F54"/>
    <w:rsid w:val="00E01433"/>
    <w:rsid w:val="00E01876"/>
    <w:rsid w:val="00E018F3"/>
    <w:rsid w:val="00E01D4B"/>
    <w:rsid w:val="00E02B0A"/>
    <w:rsid w:val="00E02CD5"/>
    <w:rsid w:val="00E0305E"/>
    <w:rsid w:val="00E033A5"/>
    <w:rsid w:val="00E033AA"/>
    <w:rsid w:val="00E03662"/>
    <w:rsid w:val="00E03C55"/>
    <w:rsid w:val="00E042E1"/>
    <w:rsid w:val="00E04EB9"/>
    <w:rsid w:val="00E05465"/>
    <w:rsid w:val="00E05875"/>
    <w:rsid w:val="00E059C2"/>
    <w:rsid w:val="00E05A5B"/>
    <w:rsid w:val="00E05CE9"/>
    <w:rsid w:val="00E06D3B"/>
    <w:rsid w:val="00E07003"/>
    <w:rsid w:val="00E072DE"/>
    <w:rsid w:val="00E0746B"/>
    <w:rsid w:val="00E07626"/>
    <w:rsid w:val="00E07B57"/>
    <w:rsid w:val="00E07BF2"/>
    <w:rsid w:val="00E07E7B"/>
    <w:rsid w:val="00E1047F"/>
    <w:rsid w:val="00E11260"/>
    <w:rsid w:val="00E116E8"/>
    <w:rsid w:val="00E1184B"/>
    <w:rsid w:val="00E11C05"/>
    <w:rsid w:val="00E127E7"/>
    <w:rsid w:val="00E129BD"/>
    <w:rsid w:val="00E12C11"/>
    <w:rsid w:val="00E12EEF"/>
    <w:rsid w:val="00E13237"/>
    <w:rsid w:val="00E1403B"/>
    <w:rsid w:val="00E14A11"/>
    <w:rsid w:val="00E1512D"/>
    <w:rsid w:val="00E15194"/>
    <w:rsid w:val="00E1559F"/>
    <w:rsid w:val="00E155A8"/>
    <w:rsid w:val="00E15A55"/>
    <w:rsid w:val="00E15D82"/>
    <w:rsid w:val="00E166F0"/>
    <w:rsid w:val="00E16840"/>
    <w:rsid w:val="00E16D6A"/>
    <w:rsid w:val="00E1724E"/>
    <w:rsid w:val="00E179F3"/>
    <w:rsid w:val="00E17D15"/>
    <w:rsid w:val="00E20CB5"/>
    <w:rsid w:val="00E20E41"/>
    <w:rsid w:val="00E2128F"/>
    <w:rsid w:val="00E218B9"/>
    <w:rsid w:val="00E22A7F"/>
    <w:rsid w:val="00E22B57"/>
    <w:rsid w:val="00E231EC"/>
    <w:rsid w:val="00E23ECB"/>
    <w:rsid w:val="00E24280"/>
    <w:rsid w:val="00E246CD"/>
    <w:rsid w:val="00E24A82"/>
    <w:rsid w:val="00E24D33"/>
    <w:rsid w:val="00E24F83"/>
    <w:rsid w:val="00E24FF7"/>
    <w:rsid w:val="00E2532F"/>
    <w:rsid w:val="00E255FE"/>
    <w:rsid w:val="00E2584B"/>
    <w:rsid w:val="00E259A5"/>
    <w:rsid w:val="00E25A41"/>
    <w:rsid w:val="00E26C39"/>
    <w:rsid w:val="00E26D6D"/>
    <w:rsid w:val="00E27262"/>
    <w:rsid w:val="00E27498"/>
    <w:rsid w:val="00E2754F"/>
    <w:rsid w:val="00E275C2"/>
    <w:rsid w:val="00E30356"/>
    <w:rsid w:val="00E31143"/>
    <w:rsid w:val="00E31173"/>
    <w:rsid w:val="00E3164A"/>
    <w:rsid w:val="00E31A5F"/>
    <w:rsid w:val="00E32F3E"/>
    <w:rsid w:val="00E32F4F"/>
    <w:rsid w:val="00E33044"/>
    <w:rsid w:val="00E33273"/>
    <w:rsid w:val="00E33841"/>
    <w:rsid w:val="00E33C98"/>
    <w:rsid w:val="00E33FEC"/>
    <w:rsid w:val="00E3470C"/>
    <w:rsid w:val="00E348F1"/>
    <w:rsid w:val="00E34988"/>
    <w:rsid w:val="00E34C16"/>
    <w:rsid w:val="00E34EED"/>
    <w:rsid w:val="00E35768"/>
    <w:rsid w:val="00E359A4"/>
    <w:rsid w:val="00E36056"/>
    <w:rsid w:val="00E3636A"/>
    <w:rsid w:val="00E36688"/>
    <w:rsid w:val="00E36D39"/>
    <w:rsid w:val="00E36E6D"/>
    <w:rsid w:val="00E370C2"/>
    <w:rsid w:val="00E370C8"/>
    <w:rsid w:val="00E37C4E"/>
    <w:rsid w:val="00E37E8D"/>
    <w:rsid w:val="00E40B9C"/>
    <w:rsid w:val="00E40FD6"/>
    <w:rsid w:val="00E4156F"/>
    <w:rsid w:val="00E41D24"/>
    <w:rsid w:val="00E42251"/>
    <w:rsid w:val="00E424EE"/>
    <w:rsid w:val="00E42CBE"/>
    <w:rsid w:val="00E42D4A"/>
    <w:rsid w:val="00E4300C"/>
    <w:rsid w:val="00E43349"/>
    <w:rsid w:val="00E43782"/>
    <w:rsid w:val="00E43A20"/>
    <w:rsid w:val="00E43EF8"/>
    <w:rsid w:val="00E447F7"/>
    <w:rsid w:val="00E449C7"/>
    <w:rsid w:val="00E45256"/>
    <w:rsid w:val="00E4550E"/>
    <w:rsid w:val="00E45841"/>
    <w:rsid w:val="00E458F8"/>
    <w:rsid w:val="00E46278"/>
    <w:rsid w:val="00E46844"/>
    <w:rsid w:val="00E46884"/>
    <w:rsid w:val="00E46C32"/>
    <w:rsid w:val="00E472A4"/>
    <w:rsid w:val="00E4779C"/>
    <w:rsid w:val="00E47D18"/>
    <w:rsid w:val="00E47D62"/>
    <w:rsid w:val="00E51190"/>
    <w:rsid w:val="00E517E0"/>
    <w:rsid w:val="00E51C6F"/>
    <w:rsid w:val="00E51C8E"/>
    <w:rsid w:val="00E51F74"/>
    <w:rsid w:val="00E520F1"/>
    <w:rsid w:val="00E52AAC"/>
    <w:rsid w:val="00E533AB"/>
    <w:rsid w:val="00E53F3B"/>
    <w:rsid w:val="00E545A0"/>
    <w:rsid w:val="00E54CB6"/>
    <w:rsid w:val="00E54EA7"/>
    <w:rsid w:val="00E55956"/>
    <w:rsid w:val="00E55BA5"/>
    <w:rsid w:val="00E55DFF"/>
    <w:rsid w:val="00E5667B"/>
    <w:rsid w:val="00E56CA8"/>
    <w:rsid w:val="00E575B2"/>
    <w:rsid w:val="00E57945"/>
    <w:rsid w:val="00E6066F"/>
    <w:rsid w:val="00E6075C"/>
    <w:rsid w:val="00E6090D"/>
    <w:rsid w:val="00E60F70"/>
    <w:rsid w:val="00E61319"/>
    <w:rsid w:val="00E621E7"/>
    <w:rsid w:val="00E62C1F"/>
    <w:rsid w:val="00E63418"/>
    <w:rsid w:val="00E634BD"/>
    <w:rsid w:val="00E635E4"/>
    <w:rsid w:val="00E64012"/>
    <w:rsid w:val="00E64407"/>
    <w:rsid w:val="00E64850"/>
    <w:rsid w:val="00E64BF9"/>
    <w:rsid w:val="00E64D94"/>
    <w:rsid w:val="00E64EDE"/>
    <w:rsid w:val="00E6612C"/>
    <w:rsid w:val="00E66211"/>
    <w:rsid w:val="00E6670A"/>
    <w:rsid w:val="00E66A75"/>
    <w:rsid w:val="00E66BCE"/>
    <w:rsid w:val="00E67365"/>
    <w:rsid w:val="00E67398"/>
    <w:rsid w:val="00E67B68"/>
    <w:rsid w:val="00E70890"/>
    <w:rsid w:val="00E70C0B"/>
    <w:rsid w:val="00E70E8E"/>
    <w:rsid w:val="00E712B2"/>
    <w:rsid w:val="00E71905"/>
    <w:rsid w:val="00E719D6"/>
    <w:rsid w:val="00E71B94"/>
    <w:rsid w:val="00E72370"/>
    <w:rsid w:val="00E726EA"/>
    <w:rsid w:val="00E72DE1"/>
    <w:rsid w:val="00E73497"/>
    <w:rsid w:val="00E737EF"/>
    <w:rsid w:val="00E7398A"/>
    <w:rsid w:val="00E74F5E"/>
    <w:rsid w:val="00E751E6"/>
    <w:rsid w:val="00E7561F"/>
    <w:rsid w:val="00E764E0"/>
    <w:rsid w:val="00E76645"/>
    <w:rsid w:val="00E76E30"/>
    <w:rsid w:val="00E76F54"/>
    <w:rsid w:val="00E800DD"/>
    <w:rsid w:val="00E80A77"/>
    <w:rsid w:val="00E80F94"/>
    <w:rsid w:val="00E81077"/>
    <w:rsid w:val="00E811A7"/>
    <w:rsid w:val="00E81C81"/>
    <w:rsid w:val="00E81FC5"/>
    <w:rsid w:val="00E82707"/>
    <w:rsid w:val="00E82C9F"/>
    <w:rsid w:val="00E83916"/>
    <w:rsid w:val="00E83940"/>
    <w:rsid w:val="00E83C45"/>
    <w:rsid w:val="00E852BE"/>
    <w:rsid w:val="00E855B8"/>
    <w:rsid w:val="00E862EA"/>
    <w:rsid w:val="00E86C49"/>
    <w:rsid w:val="00E86CAE"/>
    <w:rsid w:val="00E876FF"/>
    <w:rsid w:val="00E90590"/>
    <w:rsid w:val="00E906EC"/>
    <w:rsid w:val="00E90DF9"/>
    <w:rsid w:val="00E91756"/>
    <w:rsid w:val="00E91850"/>
    <w:rsid w:val="00E91F69"/>
    <w:rsid w:val="00E91FDA"/>
    <w:rsid w:val="00E922AE"/>
    <w:rsid w:val="00E92440"/>
    <w:rsid w:val="00E92C02"/>
    <w:rsid w:val="00E93354"/>
    <w:rsid w:val="00E938A8"/>
    <w:rsid w:val="00E94689"/>
    <w:rsid w:val="00E94FAC"/>
    <w:rsid w:val="00E95C0E"/>
    <w:rsid w:val="00E95DD1"/>
    <w:rsid w:val="00E9617D"/>
    <w:rsid w:val="00E961A1"/>
    <w:rsid w:val="00E96E53"/>
    <w:rsid w:val="00E978ED"/>
    <w:rsid w:val="00E97961"/>
    <w:rsid w:val="00E97D64"/>
    <w:rsid w:val="00EA0017"/>
    <w:rsid w:val="00EA05DB"/>
    <w:rsid w:val="00EA0B1C"/>
    <w:rsid w:val="00EA1331"/>
    <w:rsid w:val="00EA142E"/>
    <w:rsid w:val="00EA1B56"/>
    <w:rsid w:val="00EA2113"/>
    <w:rsid w:val="00EA287B"/>
    <w:rsid w:val="00EA2C74"/>
    <w:rsid w:val="00EA2E77"/>
    <w:rsid w:val="00EA34C4"/>
    <w:rsid w:val="00EA3550"/>
    <w:rsid w:val="00EA4C4D"/>
    <w:rsid w:val="00EA5885"/>
    <w:rsid w:val="00EA59E5"/>
    <w:rsid w:val="00EA5A4A"/>
    <w:rsid w:val="00EA5C3F"/>
    <w:rsid w:val="00EA615E"/>
    <w:rsid w:val="00EA64F5"/>
    <w:rsid w:val="00EA68E4"/>
    <w:rsid w:val="00EA6D98"/>
    <w:rsid w:val="00EA6F53"/>
    <w:rsid w:val="00EA70A1"/>
    <w:rsid w:val="00EA7CA4"/>
    <w:rsid w:val="00EA7DC5"/>
    <w:rsid w:val="00EB0362"/>
    <w:rsid w:val="00EB044E"/>
    <w:rsid w:val="00EB067E"/>
    <w:rsid w:val="00EB0883"/>
    <w:rsid w:val="00EB101B"/>
    <w:rsid w:val="00EB1055"/>
    <w:rsid w:val="00EB1520"/>
    <w:rsid w:val="00EB240B"/>
    <w:rsid w:val="00EB2630"/>
    <w:rsid w:val="00EB329A"/>
    <w:rsid w:val="00EB3594"/>
    <w:rsid w:val="00EB3897"/>
    <w:rsid w:val="00EB3C47"/>
    <w:rsid w:val="00EB42FA"/>
    <w:rsid w:val="00EB4B51"/>
    <w:rsid w:val="00EB5217"/>
    <w:rsid w:val="00EB53B7"/>
    <w:rsid w:val="00EB688B"/>
    <w:rsid w:val="00EB6D7E"/>
    <w:rsid w:val="00EB74CB"/>
    <w:rsid w:val="00EC00D3"/>
    <w:rsid w:val="00EC073C"/>
    <w:rsid w:val="00EC0783"/>
    <w:rsid w:val="00EC0B89"/>
    <w:rsid w:val="00EC15C9"/>
    <w:rsid w:val="00EC1EB4"/>
    <w:rsid w:val="00EC1EC8"/>
    <w:rsid w:val="00EC320D"/>
    <w:rsid w:val="00EC3C5C"/>
    <w:rsid w:val="00EC3F2C"/>
    <w:rsid w:val="00EC4175"/>
    <w:rsid w:val="00EC4C92"/>
    <w:rsid w:val="00EC5143"/>
    <w:rsid w:val="00EC5189"/>
    <w:rsid w:val="00EC52EE"/>
    <w:rsid w:val="00EC530B"/>
    <w:rsid w:val="00EC5E2B"/>
    <w:rsid w:val="00EC5F82"/>
    <w:rsid w:val="00EC6997"/>
    <w:rsid w:val="00ED02ED"/>
    <w:rsid w:val="00ED03B9"/>
    <w:rsid w:val="00ED06D0"/>
    <w:rsid w:val="00ED08B0"/>
    <w:rsid w:val="00ED08EB"/>
    <w:rsid w:val="00ED0A4E"/>
    <w:rsid w:val="00ED1D6E"/>
    <w:rsid w:val="00ED27D9"/>
    <w:rsid w:val="00ED29EF"/>
    <w:rsid w:val="00ED2C12"/>
    <w:rsid w:val="00ED3752"/>
    <w:rsid w:val="00ED39C5"/>
    <w:rsid w:val="00ED3BB9"/>
    <w:rsid w:val="00ED406D"/>
    <w:rsid w:val="00ED42A1"/>
    <w:rsid w:val="00ED43F3"/>
    <w:rsid w:val="00ED48A8"/>
    <w:rsid w:val="00ED4CFE"/>
    <w:rsid w:val="00ED51CA"/>
    <w:rsid w:val="00ED52B3"/>
    <w:rsid w:val="00ED54F8"/>
    <w:rsid w:val="00ED5A36"/>
    <w:rsid w:val="00ED5C38"/>
    <w:rsid w:val="00ED6DC6"/>
    <w:rsid w:val="00ED70F3"/>
    <w:rsid w:val="00ED72F1"/>
    <w:rsid w:val="00ED7449"/>
    <w:rsid w:val="00EE0699"/>
    <w:rsid w:val="00EE0803"/>
    <w:rsid w:val="00EE0839"/>
    <w:rsid w:val="00EE1236"/>
    <w:rsid w:val="00EE1E49"/>
    <w:rsid w:val="00EE328C"/>
    <w:rsid w:val="00EE3643"/>
    <w:rsid w:val="00EE3C23"/>
    <w:rsid w:val="00EE4494"/>
    <w:rsid w:val="00EE45A7"/>
    <w:rsid w:val="00EE464D"/>
    <w:rsid w:val="00EE481F"/>
    <w:rsid w:val="00EE49AC"/>
    <w:rsid w:val="00EE5070"/>
    <w:rsid w:val="00EE54C4"/>
    <w:rsid w:val="00EE56EB"/>
    <w:rsid w:val="00EE5D19"/>
    <w:rsid w:val="00EE5D56"/>
    <w:rsid w:val="00EE6438"/>
    <w:rsid w:val="00EE73F8"/>
    <w:rsid w:val="00EE7674"/>
    <w:rsid w:val="00EE7C0D"/>
    <w:rsid w:val="00EE7E7E"/>
    <w:rsid w:val="00EE7FCB"/>
    <w:rsid w:val="00EF0200"/>
    <w:rsid w:val="00EF02C5"/>
    <w:rsid w:val="00EF0367"/>
    <w:rsid w:val="00EF0974"/>
    <w:rsid w:val="00EF0BB5"/>
    <w:rsid w:val="00EF10BF"/>
    <w:rsid w:val="00EF14A0"/>
    <w:rsid w:val="00EF1900"/>
    <w:rsid w:val="00EF1EC6"/>
    <w:rsid w:val="00EF2BF4"/>
    <w:rsid w:val="00EF31DF"/>
    <w:rsid w:val="00EF3AAE"/>
    <w:rsid w:val="00EF3C50"/>
    <w:rsid w:val="00EF46A2"/>
    <w:rsid w:val="00EF480F"/>
    <w:rsid w:val="00EF4A38"/>
    <w:rsid w:val="00EF4A87"/>
    <w:rsid w:val="00EF4CE7"/>
    <w:rsid w:val="00EF59B0"/>
    <w:rsid w:val="00EF5DC8"/>
    <w:rsid w:val="00EF70EF"/>
    <w:rsid w:val="00EF769C"/>
    <w:rsid w:val="00F00632"/>
    <w:rsid w:val="00F01A52"/>
    <w:rsid w:val="00F02050"/>
    <w:rsid w:val="00F02B59"/>
    <w:rsid w:val="00F02D79"/>
    <w:rsid w:val="00F037AA"/>
    <w:rsid w:val="00F03894"/>
    <w:rsid w:val="00F03D05"/>
    <w:rsid w:val="00F05211"/>
    <w:rsid w:val="00F05657"/>
    <w:rsid w:val="00F06796"/>
    <w:rsid w:val="00F06887"/>
    <w:rsid w:val="00F07322"/>
    <w:rsid w:val="00F07584"/>
    <w:rsid w:val="00F07913"/>
    <w:rsid w:val="00F079C0"/>
    <w:rsid w:val="00F07EB7"/>
    <w:rsid w:val="00F1017A"/>
    <w:rsid w:val="00F10201"/>
    <w:rsid w:val="00F10C9A"/>
    <w:rsid w:val="00F1145E"/>
    <w:rsid w:val="00F117A1"/>
    <w:rsid w:val="00F11A3D"/>
    <w:rsid w:val="00F12723"/>
    <w:rsid w:val="00F128B1"/>
    <w:rsid w:val="00F12E84"/>
    <w:rsid w:val="00F13316"/>
    <w:rsid w:val="00F1399E"/>
    <w:rsid w:val="00F13C43"/>
    <w:rsid w:val="00F13D3A"/>
    <w:rsid w:val="00F142B2"/>
    <w:rsid w:val="00F1473F"/>
    <w:rsid w:val="00F15005"/>
    <w:rsid w:val="00F152B8"/>
    <w:rsid w:val="00F15680"/>
    <w:rsid w:val="00F15AED"/>
    <w:rsid w:val="00F1610A"/>
    <w:rsid w:val="00F1625D"/>
    <w:rsid w:val="00F16941"/>
    <w:rsid w:val="00F16F35"/>
    <w:rsid w:val="00F1724B"/>
    <w:rsid w:val="00F1777E"/>
    <w:rsid w:val="00F17A4B"/>
    <w:rsid w:val="00F17B6F"/>
    <w:rsid w:val="00F17CD7"/>
    <w:rsid w:val="00F20547"/>
    <w:rsid w:val="00F207D6"/>
    <w:rsid w:val="00F207FF"/>
    <w:rsid w:val="00F20F00"/>
    <w:rsid w:val="00F20FD3"/>
    <w:rsid w:val="00F2194B"/>
    <w:rsid w:val="00F21BC7"/>
    <w:rsid w:val="00F21C15"/>
    <w:rsid w:val="00F21D85"/>
    <w:rsid w:val="00F21ED3"/>
    <w:rsid w:val="00F22A44"/>
    <w:rsid w:val="00F234BA"/>
    <w:rsid w:val="00F23891"/>
    <w:rsid w:val="00F238CA"/>
    <w:rsid w:val="00F23E3F"/>
    <w:rsid w:val="00F2404F"/>
    <w:rsid w:val="00F247EA"/>
    <w:rsid w:val="00F24EF4"/>
    <w:rsid w:val="00F25012"/>
    <w:rsid w:val="00F25F0A"/>
    <w:rsid w:val="00F26833"/>
    <w:rsid w:val="00F26F92"/>
    <w:rsid w:val="00F300F4"/>
    <w:rsid w:val="00F31202"/>
    <w:rsid w:val="00F31C66"/>
    <w:rsid w:val="00F31C6A"/>
    <w:rsid w:val="00F31F0C"/>
    <w:rsid w:val="00F33A42"/>
    <w:rsid w:val="00F34824"/>
    <w:rsid w:val="00F35402"/>
    <w:rsid w:val="00F3599C"/>
    <w:rsid w:val="00F363D0"/>
    <w:rsid w:val="00F36434"/>
    <w:rsid w:val="00F36837"/>
    <w:rsid w:val="00F369ED"/>
    <w:rsid w:val="00F36CBB"/>
    <w:rsid w:val="00F37EB9"/>
    <w:rsid w:val="00F409F3"/>
    <w:rsid w:val="00F40BEB"/>
    <w:rsid w:val="00F40C4F"/>
    <w:rsid w:val="00F41466"/>
    <w:rsid w:val="00F41AB2"/>
    <w:rsid w:val="00F42205"/>
    <w:rsid w:val="00F42BDE"/>
    <w:rsid w:val="00F4372A"/>
    <w:rsid w:val="00F4377D"/>
    <w:rsid w:val="00F439CD"/>
    <w:rsid w:val="00F43D38"/>
    <w:rsid w:val="00F43E68"/>
    <w:rsid w:val="00F43EB0"/>
    <w:rsid w:val="00F43F43"/>
    <w:rsid w:val="00F44042"/>
    <w:rsid w:val="00F4431C"/>
    <w:rsid w:val="00F4460B"/>
    <w:rsid w:val="00F4471D"/>
    <w:rsid w:val="00F4499B"/>
    <w:rsid w:val="00F44F56"/>
    <w:rsid w:val="00F45A56"/>
    <w:rsid w:val="00F45D7F"/>
    <w:rsid w:val="00F46C70"/>
    <w:rsid w:val="00F46EC4"/>
    <w:rsid w:val="00F47715"/>
    <w:rsid w:val="00F47CE0"/>
    <w:rsid w:val="00F47D02"/>
    <w:rsid w:val="00F47D86"/>
    <w:rsid w:val="00F50517"/>
    <w:rsid w:val="00F50544"/>
    <w:rsid w:val="00F51447"/>
    <w:rsid w:val="00F52001"/>
    <w:rsid w:val="00F52011"/>
    <w:rsid w:val="00F52296"/>
    <w:rsid w:val="00F53081"/>
    <w:rsid w:val="00F530CB"/>
    <w:rsid w:val="00F53128"/>
    <w:rsid w:val="00F534FB"/>
    <w:rsid w:val="00F53A2B"/>
    <w:rsid w:val="00F53C1A"/>
    <w:rsid w:val="00F54328"/>
    <w:rsid w:val="00F5492E"/>
    <w:rsid w:val="00F5526F"/>
    <w:rsid w:val="00F5555C"/>
    <w:rsid w:val="00F55780"/>
    <w:rsid w:val="00F55B6F"/>
    <w:rsid w:val="00F56E28"/>
    <w:rsid w:val="00F56FB4"/>
    <w:rsid w:val="00F575CD"/>
    <w:rsid w:val="00F6008E"/>
    <w:rsid w:val="00F61253"/>
    <w:rsid w:val="00F6277D"/>
    <w:rsid w:val="00F629FC"/>
    <w:rsid w:val="00F62EBD"/>
    <w:rsid w:val="00F63D2A"/>
    <w:rsid w:val="00F645AB"/>
    <w:rsid w:val="00F6466C"/>
    <w:rsid w:val="00F648B7"/>
    <w:rsid w:val="00F64960"/>
    <w:rsid w:val="00F64A7F"/>
    <w:rsid w:val="00F65C4E"/>
    <w:rsid w:val="00F668FA"/>
    <w:rsid w:val="00F670FA"/>
    <w:rsid w:val="00F6798C"/>
    <w:rsid w:val="00F679F5"/>
    <w:rsid w:val="00F67AA9"/>
    <w:rsid w:val="00F70862"/>
    <w:rsid w:val="00F70A25"/>
    <w:rsid w:val="00F7177A"/>
    <w:rsid w:val="00F72267"/>
    <w:rsid w:val="00F724B2"/>
    <w:rsid w:val="00F72611"/>
    <w:rsid w:val="00F72A22"/>
    <w:rsid w:val="00F73BD4"/>
    <w:rsid w:val="00F73EBD"/>
    <w:rsid w:val="00F741E1"/>
    <w:rsid w:val="00F7495D"/>
    <w:rsid w:val="00F74D41"/>
    <w:rsid w:val="00F753A1"/>
    <w:rsid w:val="00F75742"/>
    <w:rsid w:val="00F75B0D"/>
    <w:rsid w:val="00F75DA0"/>
    <w:rsid w:val="00F761F4"/>
    <w:rsid w:val="00F7620A"/>
    <w:rsid w:val="00F762EE"/>
    <w:rsid w:val="00F763B3"/>
    <w:rsid w:val="00F76C3B"/>
    <w:rsid w:val="00F76C50"/>
    <w:rsid w:val="00F7751B"/>
    <w:rsid w:val="00F77B1F"/>
    <w:rsid w:val="00F807F8"/>
    <w:rsid w:val="00F80A0E"/>
    <w:rsid w:val="00F80CD9"/>
    <w:rsid w:val="00F80F60"/>
    <w:rsid w:val="00F81FC1"/>
    <w:rsid w:val="00F82455"/>
    <w:rsid w:val="00F83166"/>
    <w:rsid w:val="00F83EE0"/>
    <w:rsid w:val="00F8463E"/>
    <w:rsid w:val="00F846C1"/>
    <w:rsid w:val="00F848FD"/>
    <w:rsid w:val="00F84F95"/>
    <w:rsid w:val="00F85300"/>
    <w:rsid w:val="00F853D5"/>
    <w:rsid w:val="00F855B5"/>
    <w:rsid w:val="00F85740"/>
    <w:rsid w:val="00F85BAD"/>
    <w:rsid w:val="00F85E35"/>
    <w:rsid w:val="00F8652D"/>
    <w:rsid w:val="00F867AE"/>
    <w:rsid w:val="00F86D10"/>
    <w:rsid w:val="00F8723E"/>
    <w:rsid w:val="00F87387"/>
    <w:rsid w:val="00F87450"/>
    <w:rsid w:val="00F87558"/>
    <w:rsid w:val="00F87748"/>
    <w:rsid w:val="00F87FD7"/>
    <w:rsid w:val="00F91815"/>
    <w:rsid w:val="00F91E64"/>
    <w:rsid w:val="00F92A8F"/>
    <w:rsid w:val="00F92BFB"/>
    <w:rsid w:val="00F9312D"/>
    <w:rsid w:val="00F9419B"/>
    <w:rsid w:val="00F943E3"/>
    <w:rsid w:val="00F94668"/>
    <w:rsid w:val="00F949C2"/>
    <w:rsid w:val="00F951BC"/>
    <w:rsid w:val="00F95241"/>
    <w:rsid w:val="00F95B9E"/>
    <w:rsid w:val="00F95CF3"/>
    <w:rsid w:val="00F96070"/>
    <w:rsid w:val="00F961C3"/>
    <w:rsid w:val="00F964BF"/>
    <w:rsid w:val="00F969A8"/>
    <w:rsid w:val="00F975EB"/>
    <w:rsid w:val="00FA0A0E"/>
    <w:rsid w:val="00FA1294"/>
    <w:rsid w:val="00FA18E0"/>
    <w:rsid w:val="00FA1A38"/>
    <w:rsid w:val="00FA1ED0"/>
    <w:rsid w:val="00FA21A3"/>
    <w:rsid w:val="00FA263D"/>
    <w:rsid w:val="00FA2CD6"/>
    <w:rsid w:val="00FA3379"/>
    <w:rsid w:val="00FA33CD"/>
    <w:rsid w:val="00FA3939"/>
    <w:rsid w:val="00FA470E"/>
    <w:rsid w:val="00FA4826"/>
    <w:rsid w:val="00FA53B8"/>
    <w:rsid w:val="00FA5C5B"/>
    <w:rsid w:val="00FA66CC"/>
    <w:rsid w:val="00FA6804"/>
    <w:rsid w:val="00FA6829"/>
    <w:rsid w:val="00FA6B93"/>
    <w:rsid w:val="00FA6C35"/>
    <w:rsid w:val="00FA712D"/>
    <w:rsid w:val="00FA75EA"/>
    <w:rsid w:val="00FA7F6C"/>
    <w:rsid w:val="00FB0A89"/>
    <w:rsid w:val="00FB1312"/>
    <w:rsid w:val="00FB151C"/>
    <w:rsid w:val="00FB17D9"/>
    <w:rsid w:val="00FB2006"/>
    <w:rsid w:val="00FB236D"/>
    <w:rsid w:val="00FB2594"/>
    <w:rsid w:val="00FB2666"/>
    <w:rsid w:val="00FB271E"/>
    <w:rsid w:val="00FB30EC"/>
    <w:rsid w:val="00FB35BF"/>
    <w:rsid w:val="00FB3652"/>
    <w:rsid w:val="00FB3838"/>
    <w:rsid w:val="00FB3C81"/>
    <w:rsid w:val="00FB5156"/>
    <w:rsid w:val="00FB5715"/>
    <w:rsid w:val="00FB5896"/>
    <w:rsid w:val="00FB6DBE"/>
    <w:rsid w:val="00FB7411"/>
    <w:rsid w:val="00FB75C2"/>
    <w:rsid w:val="00FC03BE"/>
    <w:rsid w:val="00FC0C96"/>
    <w:rsid w:val="00FC137B"/>
    <w:rsid w:val="00FC156E"/>
    <w:rsid w:val="00FC17BF"/>
    <w:rsid w:val="00FC1973"/>
    <w:rsid w:val="00FC224B"/>
    <w:rsid w:val="00FC251C"/>
    <w:rsid w:val="00FC3AA2"/>
    <w:rsid w:val="00FC4171"/>
    <w:rsid w:val="00FC4ABC"/>
    <w:rsid w:val="00FC4E18"/>
    <w:rsid w:val="00FC5968"/>
    <w:rsid w:val="00FC5FA3"/>
    <w:rsid w:val="00FC6226"/>
    <w:rsid w:val="00FC6546"/>
    <w:rsid w:val="00FC6F85"/>
    <w:rsid w:val="00FC71E4"/>
    <w:rsid w:val="00FC724F"/>
    <w:rsid w:val="00FC7695"/>
    <w:rsid w:val="00FC7F69"/>
    <w:rsid w:val="00FD0614"/>
    <w:rsid w:val="00FD0A8E"/>
    <w:rsid w:val="00FD0F31"/>
    <w:rsid w:val="00FD13C6"/>
    <w:rsid w:val="00FD1493"/>
    <w:rsid w:val="00FD1524"/>
    <w:rsid w:val="00FD1544"/>
    <w:rsid w:val="00FD1691"/>
    <w:rsid w:val="00FD18D5"/>
    <w:rsid w:val="00FD2780"/>
    <w:rsid w:val="00FD2876"/>
    <w:rsid w:val="00FD2B5D"/>
    <w:rsid w:val="00FD49F7"/>
    <w:rsid w:val="00FD517F"/>
    <w:rsid w:val="00FD58D7"/>
    <w:rsid w:val="00FD65B1"/>
    <w:rsid w:val="00FD6B2A"/>
    <w:rsid w:val="00FD6C82"/>
    <w:rsid w:val="00FD6CBE"/>
    <w:rsid w:val="00FD7850"/>
    <w:rsid w:val="00FE093C"/>
    <w:rsid w:val="00FE0C47"/>
    <w:rsid w:val="00FE1481"/>
    <w:rsid w:val="00FE194A"/>
    <w:rsid w:val="00FE2284"/>
    <w:rsid w:val="00FE2380"/>
    <w:rsid w:val="00FE23AC"/>
    <w:rsid w:val="00FE2652"/>
    <w:rsid w:val="00FE289C"/>
    <w:rsid w:val="00FE2947"/>
    <w:rsid w:val="00FE33EF"/>
    <w:rsid w:val="00FE3530"/>
    <w:rsid w:val="00FE4362"/>
    <w:rsid w:val="00FE43E6"/>
    <w:rsid w:val="00FE522D"/>
    <w:rsid w:val="00FE541C"/>
    <w:rsid w:val="00FE5BEF"/>
    <w:rsid w:val="00FE5CD4"/>
    <w:rsid w:val="00FE6A14"/>
    <w:rsid w:val="00FE6AFD"/>
    <w:rsid w:val="00FE6C83"/>
    <w:rsid w:val="00FE6DCD"/>
    <w:rsid w:val="00FE6EEE"/>
    <w:rsid w:val="00FE7C6B"/>
    <w:rsid w:val="00FE7D9E"/>
    <w:rsid w:val="00FF0489"/>
    <w:rsid w:val="00FF1100"/>
    <w:rsid w:val="00FF11DC"/>
    <w:rsid w:val="00FF1324"/>
    <w:rsid w:val="00FF14A3"/>
    <w:rsid w:val="00FF23C6"/>
    <w:rsid w:val="00FF26D8"/>
    <w:rsid w:val="00FF2919"/>
    <w:rsid w:val="00FF2E28"/>
    <w:rsid w:val="00FF2F43"/>
    <w:rsid w:val="00FF34AC"/>
    <w:rsid w:val="00FF3BE2"/>
    <w:rsid w:val="00FF3C06"/>
    <w:rsid w:val="00FF3C3D"/>
    <w:rsid w:val="00FF3E8D"/>
    <w:rsid w:val="00FF4249"/>
    <w:rsid w:val="00FF4808"/>
    <w:rsid w:val="00FF4883"/>
    <w:rsid w:val="00FF4F7E"/>
    <w:rsid w:val="00FF5206"/>
    <w:rsid w:val="00FF5367"/>
    <w:rsid w:val="00FF621E"/>
    <w:rsid w:val="00FF699E"/>
    <w:rsid w:val="00FF7284"/>
    <w:rsid w:val="00FF78DC"/>
    <w:rsid w:val="02AEA573"/>
    <w:rsid w:val="02C1D46F"/>
    <w:rsid w:val="048058B1"/>
    <w:rsid w:val="055D3D0C"/>
    <w:rsid w:val="08556C05"/>
    <w:rsid w:val="08E03371"/>
    <w:rsid w:val="095B99C2"/>
    <w:rsid w:val="09F5CB5D"/>
    <w:rsid w:val="0A8696BE"/>
    <w:rsid w:val="0BD1F289"/>
    <w:rsid w:val="0C3DBBA2"/>
    <w:rsid w:val="0EAFEE45"/>
    <w:rsid w:val="0F0682B9"/>
    <w:rsid w:val="10C0452A"/>
    <w:rsid w:val="11F50911"/>
    <w:rsid w:val="1246D3D7"/>
    <w:rsid w:val="1414F62E"/>
    <w:rsid w:val="14E2F481"/>
    <w:rsid w:val="1568E5B4"/>
    <w:rsid w:val="165BE0C9"/>
    <w:rsid w:val="167FE3C2"/>
    <w:rsid w:val="16B8E62F"/>
    <w:rsid w:val="188EF6ED"/>
    <w:rsid w:val="18E557E5"/>
    <w:rsid w:val="19FD67D8"/>
    <w:rsid w:val="1B0D042E"/>
    <w:rsid w:val="1CF8142A"/>
    <w:rsid w:val="1E7E73D5"/>
    <w:rsid w:val="1F6D0E5C"/>
    <w:rsid w:val="1FD4E736"/>
    <w:rsid w:val="20AC47EF"/>
    <w:rsid w:val="210D10EF"/>
    <w:rsid w:val="215C0F93"/>
    <w:rsid w:val="22D45F44"/>
    <w:rsid w:val="22ECD855"/>
    <w:rsid w:val="24B81613"/>
    <w:rsid w:val="24EB60EB"/>
    <w:rsid w:val="29BDF23F"/>
    <w:rsid w:val="29E6A723"/>
    <w:rsid w:val="2BBEF41F"/>
    <w:rsid w:val="2CEACC7C"/>
    <w:rsid w:val="2CFCFC7F"/>
    <w:rsid w:val="2D518660"/>
    <w:rsid w:val="2D5372FD"/>
    <w:rsid w:val="3057A370"/>
    <w:rsid w:val="36FE9F90"/>
    <w:rsid w:val="37534AA4"/>
    <w:rsid w:val="380D0517"/>
    <w:rsid w:val="3818AC43"/>
    <w:rsid w:val="3B60C6B3"/>
    <w:rsid w:val="3D236243"/>
    <w:rsid w:val="3E80FABC"/>
    <w:rsid w:val="3F6DC8F7"/>
    <w:rsid w:val="4272F925"/>
    <w:rsid w:val="45299397"/>
    <w:rsid w:val="486F7975"/>
    <w:rsid w:val="48E690A4"/>
    <w:rsid w:val="493002FA"/>
    <w:rsid w:val="4A827F83"/>
    <w:rsid w:val="4D123885"/>
    <w:rsid w:val="4D700FD5"/>
    <w:rsid w:val="4E53FAEF"/>
    <w:rsid w:val="4E66621F"/>
    <w:rsid w:val="50441DB9"/>
    <w:rsid w:val="50FCBFAD"/>
    <w:rsid w:val="5166F90A"/>
    <w:rsid w:val="520B6020"/>
    <w:rsid w:val="52F1E849"/>
    <w:rsid w:val="54D8DE42"/>
    <w:rsid w:val="584BC715"/>
    <w:rsid w:val="59D6461C"/>
    <w:rsid w:val="5A2BB446"/>
    <w:rsid w:val="5BC87582"/>
    <w:rsid w:val="5BF24AC1"/>
    <w:rsid w:val="5C941C3E"/>
    <w:rsid w:val="5DA877DD"/>
    <w:rsid w:val="5E90E68E"/>
    <w:rsid w:val="5EC6C88D"/>
    <w:rsid w:val="607A5ADC"/>
    <w:rsid w:val="63B8E6C2"/>
    <w:rsid w:val="64751412"/>
    <w:rsid w:val="64DADE45"/>
    <w:rsid w:val="66EC8F58"/>
    <w:rsid w:val="678C25E4"/>
    <w:rsid w:val="67BFB764"/>
    <w:rsid w:val="67F55AC6"/>
    <w:rsid w:val="6849392B"/>
    <w:rsid w:val="6910C4F2"/>
    <w:rsid w:val="6964497F"/>
    <w:rsid w:val="69AF5BFF"/>
    <w:rsid w:val="6A3E2C92"/>
    <w:rsid w:val="6A6D7873"/>
    <w:rsid w:val="6F4EEF66"/>
    <w:rsid w:val="711E7B73"/>
    <w:rsid w:val="72FFC6A0"/>
    <w:rsid w:val="74248873"/>
    <w:rsid w:val="74E5C415"/>
    <w:rsid w:val="7631A0A1"/>
    <w:rsid w:val="771F49BF"/>
    <w:rsid w:val="77E22098"/>
    <w:rsid w:val="7931949A"/>
    <w:rsid w:val="79AB3E3D"/>
    <w:rsid w:val="7AD5F10B"/>
    <w:rsid w:val="7B454558"/>
    <w:rsid w:val="7DCF4F62"/>
    <w:rsid w:val="7E01908E"/>
    <w:rsid w:val="7E2856C2"/>
    <w:rsid w:val="7E29E2F8"/>
    <w:rsid w:val="7E3314B1"/>
    <w:rsid w:val="7F1421ED"/>
    <w:rsid w:val="7F5E610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D3965"/>
  <w15:chartTrackingRefBased/>
  <w15:docId w15:val="{FB65D5E1-5282-441A-B94D-679C0E68F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DF9"/>
    <w:pPr>
      <w:spacing w:after="200" w:line="276" w:lineRule="auto"/>
    </w:pPr>
    <w:rPr>
      <w:rFonts w:ascii="Calibri" w:eastAsia="Times New Roman" w:hAnsi="Calibri" w:cs="Times New Roman"/>
      <w:kern w:val="0"/>
      <w14:ligatures w14:val="none"/>
    </w:rPr>
  </w:style>
  <w:style w:type="paragraph" w:styleId="Heading1">
    <w:name w:val="heading 1"/>
    <w:basedOn w:val="Normal"/>
    <w:next w:val="Normal"/>
    <w:link w:val="Heading1Char"/>
    <w:uiPriority w:val="9"/>
    <w:qFormat/>
    <w:rsid w:val="00E90DF9"/>
    <w:pPr>
      <w:keepNext/>
      <w:keepLines/>
      <w:spacing w:before="120" w:after="120" w:line="240" w:lineRule="auto"/>
      <w:outlineLvl w:val="0"/>
    </w:pPr>
    <w:rPr>
      <w:rFonts w:ascii="Arial" w:eastAsiaTheme="majorEastAsia" w:hAnsi="Arial"/>
      <w:b/>
      <w:bCs/>
      <w:sz w:val="28"/>
      <w:szCs w:val="28"/>
    </w:rPr>
  </w:style>
  <w:style w:type="paragraph" w:styleId="Heading2">
    <w:name w:val="heading 2"/>
    <w:basedOn w:val="Normal"/>
    <w:next w:val="Normal"/>
    <w:link w:val="Heading2Char"/>
    <w:unhideWhenUsed/>
    <w:qFormat/>
    <w:rsid w:val="00E90DF9"/>
    <w:pPr>
      <w:keepNext/>
      <w:keepLines/>
      <w:spacing w:before="120" w:after="120" w:line="240" w:lineRule="auto"/>
      <w:outlineLvl w:val="1"/>
    </w:pPr>
    <w:rPr>
      <w:rFonts w:ascii="Arial" w:eastAsiaTheme="majorEastAsia" w:hAnsi="Arial" w:cstheme="majorBidi"/>
      <w:b/>
      <w:sz w:val="24"/>
      <w:szCs w:val="26"/>
    </w:rPr>
  </w:style>
  <w:style w:type="paragraph" w:styleId="Heading3">
    <w:name w:val="heading 3"/>
    <w:basedOn w:val="Normal"/>
    <w:next w:val="Normal"/>
    <w:link w:val="Heading3Char"/>
    <w:unhideWhenUsed/>
    <w:qFormat/>
    <w:rsid w:val="00E90DF9"/>
    <w:pPr>
      <w:keepNext/>
      <w:keepLines/>
      <w:spacing w:before="240" w:after="240" w:line="240" w:lineRule="auto"/>
      <w:outlineLvl w:val="2"/>
    </w:pPr>
    <w:rPr>
      <w:rFonts w:ascii="Arial" w:eastAsiaTheme="majorEastAsia" w:hAnsi="Arial" w:cstheme="majorBidi"/>
      <w:b/>
      <w:sz w:val="24"/>
      <w:szCs w:val="24"/>
    </w:rPr>
  </w:style>
  <w:style w:type="paragraph" w:styleId="Heading4">
    <w:name w:val="heading 4"/>
    <w:basedOn w:val="Normal"/>
    <w:next w:val="Normal"/>
    <w:link w:val="Heading4Char"/>
    <w:semiHidden/>
    <w:unhideWhenUsed/>
    <w:qFormat/>
    <w:rsid w:val="00E90DF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DF9"/>
    <w:rPr>
      <w:rFonts w:ascii="Arial" w:eastAsiaTheme="majorEastAsia" w:hAnsi="Arial" w:cs="Times New Roman"/>
      <w:b/>
      <w:bCs/>
      <w:kern w:val="0"/>
      <w:sz w:val="28"/>
      <w:szCs w:val="28"/>
      <w14:ligatures w14:val="none"/>
    </w:rPr>
  </w:style>
  <w:style w:type="character" w:customStyle="1" w:styleId="Heading2Char">
    <w:name w:val="Heading 2 Char"/>
    <w:basedOn w:val="DefaultParagraphFont"/>
    <w:link w:val="Heading2"/>
    <w:rsid w:val="00E90DF9"/>
    <w:rPr>
      <w:rFonts w:ascii="Arial" w:eastAsiaTheme="majorEastAsia" w:hAnsi="Arial" w:cstheme="majorBidi"/>
      <w:b/>
      <w:kern w:val="0"/>
      <w:sz w:val="24"/>
      <w:szCs w:val="26"/>
      <w14:ligatures w14:val="none"/>
    </w:rPr>
  </w:style>
  <w:style w:type="character" w:customStyle="1" w:styleId="Heading3Char">
    <w:name w:val="Heading 3 Char"/>
    <w:basedOn w:val="DefaultParagraphFont"/>
    <w:link w:val="Heading3"/>
    <w:rsid w:val="00E90DF9"/>
    <w:rPr>
      <w:rFonts w:ascii="Arial" w:eastAsiaTheme="majorEastAsia" w:hAnsi="Arial" w:cstheme="majorBidi"/>
      <w:b/>
      <w:kern w:val="0"/>
      <w:sz w:val="24"/>
      <w:szCs w:val="24"/>
      <w14:ligatures w14:val="none"/>
    </w:rPr>
  </w:style>
  <w:style w:type="character" w:customStyle="1" w:styleId="Heading4Char">
    <w:name w:val="Heading 4 Char"/>
    <w:basedOn w:val="DefaultParagraphFont"/>
    <w:link w:val="Heading4"/>
    <w:semiHidden/>
    <w:rsid w:val="00E90DF9"/>
    <w:rPr>
      <w:rFonts w:asciiTheme="majorHAnsi" w:eastAsiaTheme="majorEastAsia" w:hAnsiTheme="majorHAnsi" w:cstheme="majorBidi"/>
      <w:i/>
      <w:iCs/>
      <w:color w:val="2F5496" w:themeColor="accent1" w:themeShade="BF"/>
      <w:kern w:val="0"/>
      <w14:ligatures w14:val="none"/>
    </w:rPr>
  </w:style>
  <w:style w:type="paragraph" w:styleId="Footer">
    <w:name w:val="footer"/>
    <w:basedOn w:val="Normal"/>
    <w:link w:val="FooterChar"/>
    <w:uiPriority w:val="99"/>
    <w:rsid w:val="00E90DF9"/>
    <w:pPr>
      <w:spacing w:before="120" w:after="60" w:line="240" w:lineRule="exact"/>
    </w:pPr>
    <w:rPr>
      <w:rFonts w:ascii="Arial" w:hAnsi="Arial"/>
      <w:sz w:val="18"/>
      <w:szCs w:val="20"/>
    </w:rPr>
  </w:style>
  <w:style w:type="character" w:customStyle="1" w:styleId="FooterChar">
    <w:name w:val="Footer Char"/>
    <w:basedOn w:val="DefaultParagraphFont"/>
    <w:link w:val="Footer"/>
    <w:uiPriority w:val="99"/>
    <w:rsid w:val="00E90DF9"/>
    <w:rPr>
      <w:rFonts w:ascii="Arial" w:eastAsia="Times New Roman" w:hAnsi="Arial" w:cs="Times New Roman"/>
      <w:kern w:val="0"/>
      <w:sz w:val="18"/>
      <w:szCs w:val="20"/>
      <w14:ligatures w14:val="none"/>
    </w:rPr>
  </w:style>
  <w:style w:type="paragraph" w:styleId="ListParagraph">
    <w:name w:val="List Paragraph"/>
    <w:aliases w:val="List Paragraph1,List Paragraph11,Recommendation,Bullet point,L,List Paragraph111,F5 List Paragraph,Dot pt,CV text,Table text,Medium Grid 1 - Accent 21,Numbered Paragraph,List Paragraph2,NFP GP Bulleted List,FooterText,numbered,列出段,列出,列"/>
    <w:basedOn w:val="Normal"/>
    <w:link w:val="ListParagraphChar"/>
    <w:uiPriority w:val="34"/>
    <w:qFormat/>
    <w:rsid w:val="00E90DF9"/>
    <w:pPr>
      <w:spacing w:after="0" w:line="240" w:lineRule="auto"/>
      <w:ind w:left="720"/>
    </w:pPr>
    <w:rPr>
      <w:rFonts w:cs="Calibri"/>
      <w:lang w:eastAsia="en-AU"/>
    </w:rPr>
  </w:style>
  <w:style w:type="paragraph" w:styleId="FootnoteText">
    <w:name w:val="footnote text"/>
    <w:basedOn w:val="Normal"/>
    <w:link w:val="FootnoteTextChar"/>
    <w:uiPriority w:val="99"/>
    <w:rsid w:val="00E90DF9"/>
    <w:pPr>
      <w:widowControl w:val="0"/>
      <w:spacing w:after="60" w:line="240" w:lineRule="auto"/>
    </w:pPr>
    <w:rPr>
      <w:rFonts w:ascii="Times New Roman" w:hAnsi="Times New Roman"/>
      <w:sz w:val="20"/>
      <w:szCs w:val="20"/>
      <w:lang w:val="en-GB"/>
    </w:rPr>
  </w:style>
  <w:style w:type="character" w:customStyle="1" w:styleId="FootnoteTextChar">
    <w:name w:val="Footnote Text Char"/>
    <w:basedOn w:val="DefaultParagraphFont"/>
    <w:link w:val="FootnoteText"/>
    <w:uiPriority w:val="99"/>
    <w:rsid w:val="00E90DF9"/>
    <w:rPr>
      <w:rFonts w:ascii="Times New Roman" w:eastAsia="Times New Roman" w:hAnsi="Times New Roman" w:cs="Times New Roman"/>
      <w:kern w:val="0"/>
      <w:sz w:val="20"/>
      <w:szCs w:val="20"/>
      <w:lang w:val="en-GB"/>
      <w14:ligatures w14:val="none"/>
    </w:rPr>
  </w:style>
  <w:style w:type="character" w:styleId="FootnoteReference">
    <w:name w:val="footnote reference"/>
    <w:basedOn w:val="DefaultParagraphFont"/>
    <w:uiPriority w:val="99"/>
    <w:rsid w:val="00E90DF9"/>
    <w:rPr>
      <w:rFonts w:cs="Times New Roman"/>
      <w:vertAlign w:val="superscript"/>
    </w:rPr>
  </w:style>
  <w:style w:type="character" w:customStyle="1" w:styleId="ListParagraphChar">
    <w:name w:val="List Paragraph Char"/>
    <w:aliases w:val="List Paragraph1 Char,List Paragraph11 Char,Recommendation Char,Bullet point Char,L Char,List Paragraph111 Char,F5 List Paragraph Char,Dot pt Char,CV text Char,Table text Char,Medium Grid 1 - Accent 21 Char,Numbered Paragraph Char"/>
    <w:basedOn w:val="DefaultParagraphFont"/>
    <w:link w:val="ListParagraph"/>
    <w:uiPriority w:val="34"/>
    <w:qFormat/>
    <w:locked/>
    <w:rsid w:val="00E90DF9"/>
    <w:rPr>
      <w:rFonts w:ascii="Calibri" w:eastAsia="Times New Roman" w:hAnsi="Calibri" w:cs="Calibri"/>
      <w:kern w:val="0"/>
      <w:lang w:eastAsia="en-AU"/>
      <w14:ligatures w14:val="none"/>
    </w:rPr>
  </w:style>
  <w:style w:type="paragraph" w:styleId="Header">
    <w:name w:val="header"/>
    <w:basedOn w:val="Normal"/>
    <w:link w:val="HeaderChar"/>
    <w:unhideWhenUsed/>
    <w:rsid w:val="004061DE"/>
    <w:pPr>
      <w:tabs>
        <w:tab w:val="center" w:pos="4513"/>
        <w:tab w:val="right" w:pos="9026"/>
      </w:tabs>
      <w:spacing w:after="0" w:line="240" w:lineRule="auto"/>
    </w:pPr>
  </w:style>
  <w:style w:type="character" w:customStyle="1" w:styleId="HeaderChar">
    <w:name w:val="Header Char"/>
    <w:basedOn w:val="DefaultParagraphFont"/>
    <w:link w:val="Header"/>
    <w:rsid w:val="004061DE"/>
    <w:rPr>
      <w:rFonts w:ascii="Calibri" w:eastAsia="Times New Roman" w:hAnsi="Calibri" w:cs="Times New Roman"/>
      <w:kern w:val="0"/>
      <w14:ligatures w14:val="none"/>
    </w:rPr>
  </w:style>
  <w:style w:type="character" w:styleId="Hyperlink">
    <w:name w:val="Hyperlink"/>
    <w:basedOn w:val="DefaultParagraphFont"/>
    <w:unhideWhenUsed/>
    <w:rsid w:val="003F715A"/>
    <w:rPr>
      <w:color w:val="0563C1" w:themeColor="hyperlink"/>
      <w:u w:val="single"/>
    </w:rPr>
  </w:style>
  <w:style w:type="character" w:styleId="UnresolvedMention">
    <w:name w:val="Unresolved Mention"/>
    <w:basedOn w:val="DefaultParagraphFont"/>
    <w:uiPriority w:val="99"/>
    <w:semiHidden/>
    <w:unhideWhenUsed/>
    <w:rsid w:val="003F715A"/>
    <w:rPr>
      <w:color w:val="605E5C"/>
      <w:shd w:val="clear" w:color="auto" w:fill="E1DFDD"/>
    </w:rPr>
  </w:style>
  <w:style w:type="character" w:styleId="FollowedHyperlink">
    <w:name w:val="FollowedHyperlink"/>
    <w:basedOn w:val="DefaultParagraphFont"/>
    <w:uiPriority w:val="99"/>
    <w:semiHidden/>
    <w:unhideWhenUsed/>
    <w:rsid w:val="002F5ECE"/>
    <w:rPr>
      <w:color w:val="954F72" w:themeColor="followedHyperlink"/>
      <w:u w:val="single"/>
    </w:rPr>
  </w:style>
  <w:style w:type="character" w:styleId="CommentReference">
    <w:name w:val="annotation reference"/>
    <w:basedOn w:val="DefaultParagraphFont"/>
    <w:uiPriority w:val="99"/>
    <w:semiHidden/>
    <w:unhideWhenUsed/>
    <w:rsid w:val="002F5ECE"/>
    <w:rPr>
      <w:sz w:val="16"/>
      <w:szCs w:val="16"/>
    </w:rPr>
  </w:style>
  <w:style w:type="paragraph" w:styleId="CommentText">
    <w:name w:val="annotation text"/>
    <w:basedOn w:val="Normal"/>
    <w:link w:val="CommentTextChar"/>
    <w:uiPriority w:val="99"/>
    <w:unhideWhenUsed/>
    <w:rsid w:val="002F5ECE"/>
    <w:pPr>
      <w:spacing w:line="240" w:lineRule="auto"/>
    </w:pPr>
    <w:rPr>
      <w:sz w:val="20"/>
      <w:szCs w:val="20"/>
    </w:rPr>
  </w:style>
  <w:style w:type="character" w:customStyle="1" w:styleId="CommentTextChar">
    <w:name w:val="Comment Text Char"/>
    <w:basedOn w:val="DefaultParagraphFont"/>
    <w:link w:val="CommentText"/>
    <w:uiPriority w:val="99"/>
    <w:rsid w:val="002F5ECE"/>
    <w:rPr>
      <w:rFonts w:ascii="Calibri" w:eastAsia="Times New Roman"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F5ECE"/>
    <w:rPr>
      <w:b/>
      <w:bCs/>
    </w:rPr>
  </w:style>
  <w:style w:type="character" w:customStyle="1" w:styleId="CommentSubjectChar">
    <w:name w:val="Comment Subject Char"/>
    <w:basedOn w:val="CommentTextChar"/>
    <w:link w:val="CommentSubject"/>
    <w:uiPriority w:val="99"/>
    <w:semiHidden/>
    <w:rsid w:val="002F5ECE"/>
    <w:rPr>
      <w:rFonts w:ascii="Calibri" w:eastAsia="Times New Roman" w:hAnsi="Calibri" w:cs="Times New Roman"/>
      <w:b/>
      <w:bCs/>
      <w:kern w:val="0"/>
      <w:sz w:val="20"/>
      <w:szCs w:val="20"/>
      <w14:ligatures w14:val="none"/>
    </w:rPr>
  </w:style>
  <w:style w:type="paragraph" w:styleId="Revision">
    <w:name w:val="Revision"/>
    <w:hidden/>
    <w:uiPriority w:val="99"/>
    <w:semiHidden/>
    <w:rsid w:val="0027085F"/>
    <w:pPr>
      <w:spacing w:after="0" w:line="240" w:lineRule="auto"/>
    </w:pPr>
    <w:rPr>
      <w:rFonts w:ascii="Calibri" w:eastAsia="Times New Roman" w:hAnsi="Calibri" w:cs="Times New Roman"/>
      <w:kern w:val="0"/>
      <w14:ligatures w14:val="none"/>
    </w:rPr>
  </w:style>
  <w:style w:type="table" w:styleId="TableGrid">
    <w:name w:val="Table Grid"/>
    <w:basedOn w:val="TableNormal"/>
    <w:uiPriority w:val="39"/>
    <w:rsid w:val="0023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text">
    <w:name w:val="Paragraph text"/>
    <w:basedOn w:val="Normal"/>
    <w:link w:val="ParagraphtextChar"/>
    <w:qFormat/>
    <w:rsid w:val="004E7B3E"/>
    <w:pPr>
      <w:spacing w:after="160" w:line="240" w:lineRule="auto"/>
    </w:pPr>
    <w:rPr>
      <w:rFonts w:eastAsia="Calibri"/>
      <w:color w:val="000000" w:themeColor="text1"/>
      <w:sz w:val="24"/>
    </w:rPr>
  </w:style>
  <w:style w:type="character" w:customStyle="1" w:styleId="ParagraphtextChar">
    <w:name w:val="Paragraph text Char"/>
    <w:basedOn w:val="DefaultParagraphFont"/>
    <w:link w:val="Paragraphtext"/>
    <w:rsid w:val="004E7B3E"/>
    <w:rPr>
      <w:rFonts w:ascii="Calibri" w:eastAsia="Calibri" w:hAnsi="Calibri" w:cs="Times New Roman"/>
      <w:color w:val="000000" w:themeColor="text1"/>
      <w:kern w:val="0"/>
      <w:sz w:val="24"/>
      <w14:ligatures w14:val="none"/>
    </w:rPr>
  </w:style>
  <w:style w:type="table" w:customStyle="1" w:styleId="GridTable1Light-Accent11">
    <w:name w:val="Grid Table 1 Light - Accent 11"/>
    <w:basedOn w:val="TableNormal"/>
    <w:next w:val="GridTable1Light-Accent1"/>
    <w:uiPriority w:val="46"/>
    <w:rsid w:val="004E7B3E"/>
    <w:pPr>
      <w:spacing w:after="0" w:line="240" w:lineRule="auto"/>
    </w:pPr>
    <w:rPr>
      <w:rFonts w:ascii="Calibri" w:eastAsia="Times New Roman" w:hAnsi="Calibri" w:cs="Times New Roman"/>
      <w:kern w:val="0"/>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E7B3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9F1169"/>
    <w:rPr>
      <w:color w:val="2B579A"/>
      <w:shd w:val="clear" w:color="auto" w:fill="E1DFDD"/>
    </w:rPr>
  </w:style>
  <w:style w:type="paragraph" w:customStyle="1" w:styleId="Numberedlist">
    <w:name w:val="Numbered list"/>
    <w:basedOn w:val="Normal"/>
    <w:rsid w:val="00697F9D"/>
    <w:pPr>
      <w:numPr>
        <w:numId w:val="20"/>
      </w:numPr>
      <w:spacing w:before="100" w:after="120" w:line="280" w:lineRule="atLeast"/>
      <w:ind w:right="-45"/>
    </w:pPr>
    <w:rPr>
      <w:rFonts w:asciiTheme="minorHAnsi" w:eastAsiaTheme="minorHAnsi" w:hAnsiTheme="minorHAnsi" w:cstheme="minorBidi"/>
      <w:sz w:val="24"/>
      <w:szCs w:val="24"/>
    </w:rPr>
  </w:style>
  <w:style w:type="character" w:customStyle="1" w:styleId="Calibri12">
    <w:name w:val="Calibri 12"/>
    <w:uiPriority w:val="1"/>
    <w:qFormat/>
    <w:rsid w:val="00697F9D"/>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0089">
      <w:bodyDiv w:val="1"/>
      <w:marLeft w:val="0"/>
      <w:marRight w:val="0"/>
      <w:marTop w:val="0"/>
      <w:marBottom w:val="0"/>
      <w:divBdr>
        <w:top w:val="none" w:sz="0" w:space="0" w:color="auto"/>
        <w:left w:val="none" w:sz="0" w:space="0" w:color="auto"/>
        <w:bottom w:val="none" w:sz="0" w:space="0" w:color="auto"/>
        <w:right w:val="none" w:sz="0" w:space="0" w:color="auto"/>
      </w:divBdr>
    </w:div>
    <w:div w:id="75707016">
      <w:bodyDiv w:val="1"/>
      <w:marLeft w:val="0"/>
      <w:marRight w:val="0"/>
      <w:marTop w:val="0"/>
      <w:marBottom w:val="0"/>
      <w:divBdr>
        <w:top w:val="none" w:sz="0" w:space="0" w:color="auto"/>
        <w:left w:val="none" w:sz="0" w:space="0" w:color="auto"/>
        <w:bottom w:val="none" w:sz="0" w:space="0" w:color="auto"/>
        <w:right w:val="none" w:sz="0" w:space="0" w:color="auto"/>
      </w:divBdr>
    </w:div>
    <w:div w:id="97453436">
      <w:bodyDiv w:val="1"/>
      <w:marLeft w:val="0"/>
      <w:marRight w:val="0"/>
      <w:marTop w:val="0"/>
      <w:marBottom w:val="0"/>
      <w:divBdr>
        <w:top w:val="none" w:sz="0" w:space="0" w:color="auto"/>
        <w:left w:val="none" w:sz="0" w:space="0" w:color="auto"/>
        <w:bottom w:val="none" w:sz="0" w:space="0" w:color="auto"/>
        <w:right w:val="none" w:sz="0" w:space="0" w:color="auto"/>
      </w:divBdr>
    </w:div>
    <w:div w:id="105976004">
      <w:bodyDiv w:val="1"/>
      <w:marLeft w:val="0"/>
      <w:marRight w:val="0"/>
      <w:marTop w:val="0"/>
      <w:marBottom w:val="0"/>
      <w:divBdr>
        <w:top w:val="none" w:sz="0" w:space="0" w:color="auto"/>
        <w:left w:val="none" w:sz="0" w:space="0" w:color="auto"/>
        <w:bottom w:val="none" w:sz="0" w:space="0" w:color="auto"/>
        <w:right w:val="none" w:sz="0" w:space="0" w:color="auto"/>
      </w:divBdr>
    </w:div>
    <w:div w:id="170459688">
      <w:bodyDiv w:val="1"/>
      <w:marLeft w:val="0"/>
      <w:marRight w:val="0"/>
      <w:marTop w:val="0"/>
      <w:marBottom w:val="0"/>
      <w:divBdr>
        <w:top w:val="none" w:sz="0" w:space="0" w:color="auto"/>
        <w:left w:val="none" w:sz="0" w:space="0" w:color="auto"/>
        <w:bottom w:val="none" w:sz="0" w:space="0" w:color="auto"/>
        <w:right w:val="none" w:sz="0" w:space="0" w:color="auto"/>
      </w:divBdr>
    </w:div>
    <w:div w:id="225995560">
      <w:bodyDiv w:val="1"/>
      <w:marLeft w:val="0"/>
      <w:marRight w:val="0"/>
      <w:marTop w:val="0"/>
      <w:marBottom w:val="0"/>
      <w:divBdr>
        <w:top w:val="none" w:sz="0" w:space="0" w:color="auto"/>
        <w:left w:val="none" w:sz="0" w:space="0" w:color="auto"/>
        <w:bottom w:val="none" w:sz="0" w:space="0" w:color="auto"/>
        <w:right w:val="none" w:sz="0" w:space="0" w:color="auto"/>
      </w:divBdr>
    </w:div>
    <w:div w:id="426192693">
      <w:bodyDiv w:val="1"/>
      <w:marLeft w:val="0"/>
      <w:marRight w:val="0"/>
      <w:marTop w:val="0"/>
      <w:marBottom w:val="0"/>
      <w:divBdr>
        <w:top w:val="none" w:sz="0" w:space="0" w:color="auto"/>
        <w:left w:val="none" w:sz="0" w:space="0" w:color="auto"/>
        <w:bottom w:val="none" w:sz="0" w:space="0" w:color="auto"/>
        <w:right w:val="none" w:sz="0" w:space="0" w:color="auto"/>
      </w:divBdr>
    </w:div>
    <w:div w:id="464354285">
      <w:bodyDiv w:val="1"/>
      <w:marLeft w:val="0"/>
      <w:marRight w:val="0"/>
      <w:marTop w:val="0"/>
      <w:marBottom w:val="0"/>
      <w:divBdr>
        <w:top w:val="none" w:sz="0" w:space="0" w:color="auto"/>
        <w:left w:val="none" w:sz="0" w:space="0" w:color="auto"/>
        <w:bottom w:val="none" w:sz="0" w:space="0" w:color="auto"/>
        <w:right w:val="none" w:sz="0" w:space="0" w:color="auto"/>
      </w:divBdr>
    </w:div>
    <w:div w:id="491677607">
      <w:bodyDiv w:val="1"/>
      <w:marLeft w:val="0"/>
      <w:marRight w:val="0"/>
      <w:marTop w:val="0"/>
      <w:marBottom w:val="0"/>
      <w:divBdr>
        <w:top w:val="none" w:sz="0" w:space="0" w:color="auto"/>
        <w:left w:val="none" w:sz="0" w:space="0" w:color="auto"/>
        <w:bottom w:val="none" w:sz="0" w:space="0" w:color="auto"/>
        <w:right w:val="none" w:sz="0" w:space="0" w:color="auto"/>
      </w:divBdr>
    </w:div>
    <w:div w:id="514004348">
      <w:bodyDiv w:val="1"/>
      <w:marLeft w:val="0"/>
      <w:marRight w:val="0"/>
      <w:marTop w:val="0"/>
      <w:marBottom w:val="0"/>
      <w:divBdr>
        <w:top w:val="none" w:sz="0" w:space="0" w:color="auto"/>
        <w:left w:val="none" w:sz="0" w:space="0" w:color="auto"/>
        <w:bottom w:val="none" w:sz="0" w:space="0" w:color="auto"/>
        <w:right w:val="none" w:sz="0" w:space="0" w:color="auto"/>
      </w:divBdr>
    </w:div>
    <w:div w:id="544022254">
      <w:bodyDiv w:val="1"/>
      <w:marLeft w:val="0"/>
      <w:marRight w:val="0"/>
      <w:marTop w:val="0"/>
      <w:marBottom w:val="0"/>
      <w:divBdr>
        <w:top w:val="none" w:sz="0" w:space="0" w:color="auto"/>
        <w:left w:val="none" w:sz="0" w:space="0" w:color="auto"/>
        <w:bottom w:val="none" w:sz="0" w:space="0" w:color="auto"/>
        <w:right w:val="none" w:sz="0" w:space="0" w:color="auto"/>
      </w:divBdr>
    </w:div>
    <w:div w:id="650911586">
      <w:bodyDiv w:val="1"/>
      <w:marLeft w:val="0"/>
      <w:marRight w:val="0"/>
      <w:marTop w:val="0"/>
      <w:marBottom w:val="0"/>
      <w:divBdr>
        <w:top w:val="none" w:sz="0" w:space="0" w:color="auto"/>
        <w:left w:val="none" w:sz="0" w:space="0" w:color="auto"/>
        <w:bottom w:val="none" w:sz="0" w:space="0" w:color="auto"/>
        <w:right w:val="none" w:sz="0" w:space="0" w:color="auto"/>
      </w:divBdr>
    </w:div>
    <w:div w:id="861090365">
      <w:bodyDiv w:val="1"/>
      <w:marLeft w:val="0"/>
      <w:marRight w:val="0"/>
      <w:marTop w:val="0"/>
      <w:marBottom w:val="0"/>
      <w:divBdr>
        <w:top w:val="none" w:sz="0" w:space="0" w:color="auto"/>
        <w:left w:val="none" w:sz="0" w:space="0" w:color="auto"/>
        <w:bottom w:val="none" w:sz="0" w:space="0" w:color="auto"/>
        <w:right w:val="none" w:sz="0" w:space="0" w:color="auto"/>
      </w:divBdr>
    </w:div>
    <w:div w:id="944655859">
      <w:bodyDiv w:val="1"/>
      <w:marLeft w:val="0"/>
      <w:marRight w:val="0"/>
      <w:marTop w:val="0"/>
      <w:marBottom w:val="0"/>
      <w:divBdr>
        <w:top w:val="none" w:sz="0" w:space="0" w:color="auto"/>
        <w:left w:val="none" w:sz="0" w:space="0" w:color="auto"/>
        <w:bottom w:val="none" w:sz="0" w:space="0" w:color="auto"/>
        <w:right w:val="none" w:sz="0" w:space="0" w:color="auto"/>
      </w:divBdr>
    </w:div>
    <w:div w:id="959728854">
      <w:bodyDiv w:val="1"/>
      <w:marLeft w:val="0"/>
      <w:marRight w:val="0"/>
      <w:marTop w:val="0"/>
      <w:marBottom w:val="0"/>
      <w:divBdr>
        <w:top w:val="none" w:sz="0" w:space="0" w:color="auto"/>
        <w:left w:val="none" w:sz="0" w:space="0" w:color="auto"/>
        <w:bottom w:val="none" w:sz="0" w:space="0" w:color="auto"/>
        <w:right w:val="none" w:sz="0" w:space="0" w:color="auto"/>
      </w:divBdr>
    </w:div>
    <w:div w:id="992216813">
      <w:bodyDiv w:val="1"/>
      <w:marLeft w:val="0"/>
      <w:marRight w:val="0"/>
      <w:marTop w:val="0"/>
      <w:marBottom w:val="0"/>
      <w:divBdr>
        <w:top w:val="none" w:sz="0" w:space="0" w:color="auto"/>
        <w:left w:val="none" w:sz="0" w:space="0" w:color="auto"/>
        <w:bottom w:val="none" w:sz="0" w:space="0" w:color="auto"/>
        <w:right w:val="none" w:sz="0" w:space="0" w:color="auto"/>
      </w:divBdr>
    </w:div>
    <w:div w:id="1003126108">
      <w:bodyDiv w:val="1"/>
      <w:marLeft w:val="0"/>
      <w:marRight w:val="0"/>
      <w:marTop w:val="0"/>
      <w:marBottom w:val="0"/>
      <w:divBdr>
        <w:top w:val="none" w:sz="0" w:space="0" w:color="auto"/>
        <w:left w:val="none" w:sz="0" w:space="0" w:color="auto"/>
        <w:bottom w:val="none" w:sz="0" w:space="0" w:color="auto"/>
        <w:right w:val="none" w:sz="0" w:space="0" w:color="auto"/>
      </w:divBdr>
    </w:div>
    <w:div w:id="1097600133">
      <w:bodyDiv w:val="1"/>
      <w:marLeft w:val="0"/>
      <w:marRight w:val="0"/>
      <w:marTop w:val="0"/>
      <w:marBottom w:val="0"/>
      <w:divBdr>
        <w:top w:val="none" w:sz="0" w:space="0" w:color="auto"/>
        <w:left w:val="none" w:sz="0" w:space="0" w:color="auto"/>
        <w:bottom w:val="none" w:sz="0" w:space="0" w:color="auto"/>
        <w:right w:val="none" w:sz="0" w:space="0" w:color="auto"/>
      </w:divBdr>
    </w:div>
    <w:div w:id="1122266480">
      <w:bodyDiv w:val="1"/>
      <w:marLeft w:val="0"/>
      <w:marRight w:val="0"/>
      <w:marTop w:val="0"/>
      <w:marBottom w:val="0"/>
      <w:divBdr>
        <w:top w:val="none" w:sz="0" w:space="0" w:color="auto"/>
        <w:left w:val="none" w:sz="0" w:space="0" w:color="auto"/>
        <w:bottom w:val="none" w:sz="0" w:space="0" w:color="auto"/>
        <w:right w:val="none" w:sz="0" w:space="0" w:color="auto"/>
      </w:divBdr>
    </w:div>
    <w:div w:id="1124424481">
      <w:bodyDiv w:val="1"/>
      <w:marLeft w:val="0"/>
      <w:marRight w:val="0"/>
      <w:marTop w:val="0"/>
      <w:marBottom w:val="0"/>
      <w:divBdr>
        <w:top w:val="none" w:sz="0" w:space="0" w:color="auto"/>
        <w:left w:val="none" w:sz="0" w:space="0" w:color="auto"/>
        <w:bottom w:val="none" w:sz="0" w:space="0" w:color="auto"/>
        <w:right w:val="none" w:sz="0" w:space="0" w:color="auto"/>
      </w:divBdr>
    </w:div>
    <w:div w:id="1136334375">
      <w:bodyDiv w:val="1"/>
      <w:marLeft w:val="0"/>
      <w:marRight w:val="0"/>
      <w:marTop w:val="0"/>
      <w:marBottom w:val="0"/>
      <w:divBdr>
        <w:top w:val="none" w:sz="0" w:space="0" w:color="auto"/>
        <w:left w:val="none" w:sz="0" w:space="0" w:color="auto"/>
        <w:bottom w:val="none" w:sz="0" w:space="0" w:color="auto"/>
        <w:right w:val="none" w:sz="0" w:space="0" w:color="auto"/>
      </w:divBdr>
    </w:div>
    <w:div w:id="1197740514">
      <w:bodyDiv w:val="1"/>
      <w:marLeft w:val="0"/>
      <w:marRight w:val="0"/>
      <w:marTop w:val="0"/>
      <w:marBottom w:val="0"/>
      <w:divBdr>
        <w:top w:val="none" w:sz="0" w:space="0" w:color="auto"/>
        <w:left w:val="none" w:sz="0" w:space="0" w:color="auto"/>
        <w:bottom w:val="none" w:sz="0" w:space="0" w:color="auto"/>
        <w:right w:val="none" w:sz="0" w:space="0" w:color="auto"/>
      </w:divBdr>
    </w:div>
    <w:div w:id="1304654555">
      <w:bodyDiv w:val="1"/>
      <w:marLeft w:val="0"/>
      <w:marRight w:val="0"/>
      <w:marTop w:val="0"/>
      <w:marBottom w:val="0"/>
      <w:divBdr>
        <w:top w:val="none" w:sz="0" w:space="0" w:color="auto"/>
        <w:left w:val="none" w:sz="0" w:space="0" w:color="auto"/>
        <w:bottom w:val="none" w:sz="0" w:space="0" w:color="auto"/>
        <w:right w:val="none" w:sz="0" w:space="0" w:color="auto"/>
      </w:divBdr>
    </w:div>
    <w:div w:id="1311447727">
      <w:bodyDiv w:val="1"/>
      <w:marLeft w:val="0"/>
      <w:marRight w:val="0"/>
      <w:marTop w:val="0"/>
      <w:marBottom w:val="0"/>
      <w:divBdr>
        <w:top w:val="none" w:sz="0" w:space="0" w:color="auto"/>
        <w:left w:val="none" w:sz="0" w:space="0" w:color="auto"/>
        <w:bottom w:val="none" w:sz="0" w:space="0" w:color="auto"/>
        <w:right w:val="none" w:sz="0" w:space="0" w:color="auto"/>
      </w:divBdr>
    </w:div>
    <w:div w:id="1369718259">
      <w:bodyDiv w:val="1"/>
      <w:marLeft w:val="0"/>
      <w:marRight w:val="0"/>
      <w:marTop w:val="0"/>
      <w:marBottom w:val="0"/>
      <w:divBdr>
        <w:top w:val="none" w:sz="0" w:space="0" w:color="auto"/>
        <w:left w:val="none" w:sz="0" w:space="0" w:color="auto"/>
        <w:bottom w:val="none" w:sz="0" w:space="0" w:color="auto"/>
        <w:right w:val="none" w:sz="0" w:space="0" w:color="auto"/>
      </w:divBdr>
    </w:div>
    <w:div w:id="1390348328">
      <w:bodyDiv w:val="1"/>
      <w:marLeft w:val="0"/>
      <w:marRight w:val="0"/>
      <w:marTop w:val="0"/>
      <w:marBottom w:val="0"/>
      <w:divBdr>
        <w:top w:val="none" w:sz="0" w:space="0" w:color="auto"/>
        <w:left w:val="none" w:sz="0" w:space="0" w:color="auto"/>
        <w:bottom w:val="none" w:sz="0" w:space="0" w:color="auto"/>
        <w:right w:val="none" w:sz="0" w:space="0" w:color="auto"/>
      </w:divBdr>
    </w:div>
    <w:div w:id="1520045965">
      <w:bodyDiv w:val="1"/>
      <w:marLeft w:val="0"/>
      <w:marRight w:val="0"/>
      <w:marTop w:val="0"/>
      <w:marBottom w:val="0"/>
      <w:divBdr>
        <w:top w:val="none" w:sz="0" w:space="0" w:color="auto"/>
        <w:left w:val="none" w:sz="0" w:space="0" w:color="auto"/>
        <w:bottom w:val="none" w:sz="0" w:space="0" w:color="auto"/>
        <w:right w:val="none" w:sz="0" w:space="0" w:color="auto"/>
      </w:divBdr>
    </w:div>
    <w:div w:id="1557931788">
      <w:bodyDiv w:val="1"/>
      <w:marLeft w:val="0"/>
      <w:marRight w:val="0"/>
      <w:marTop w:val="0"/>
      <w:marBottom w:val="0"/>
      <w:divBdr>
        <w:top w:val="none" w:sz="0" w:space="0" w:color="auto"/>
        <w:left w:val="none" w:sz="0" w:space="0" w:color="auto"/>
        <w:bottom w:val="none" w:sz="0" w:space="0" w:color="auto"/>
        <w:right w:val="none" w:sz="0" w:space="0" w:color="auto"/>
      </w:divBdr>
    </w:div>
    <w:div w:id="1636447074">
      <w:bodyDiv w:val="1"/>
      <w:marLeft w:val="0"/>
      <w:marRight w:val="0"/>
      <w:marTop w:val="0"/>
      <w:marBottom w:val="0"/>
      <w:divBdr>
        <w:top w:val="none" w:sz="0" w:space="0" w:color="auto"/>
        <w:left w:val="none" w:sz="0" w:space="0" w:color="auto"/>
        <w:bottom w:val="none" w:sz="0" w:space="0" w:color="auto"/>
        <w:right w:val="none" w:sz="0" w:space="0" w:color="auto"/>
      </w:divBdr>
    </w:div>
    <w:div w:id="1687710509">
      <w:bodyDiv w:val="1"/>
      <w:marLeft w:val="0"/>
      <w:marRight w:val="0"/>
      <w:marTop w:val="0"/>
      <w:marBottom w:val="0"/>
      <w:divBdr>
        <w:top w:val="none" w:sz="0" w:space="0" w:color="auto"/>
        <w:left w:val="none" w:sz="0" w:space="0" w:color="auto"/>
        <w:bottom w:val="none" w:sz="0" w:space="0" w:color="auto"/>
        <w:right w:val="none" w:sz="0" w:space="0" w:color="auto"/>
      </w:divBdr>
    </w:div>
    <w:div w:id="1702433023">
      <w:bodyDiv w:val="1"/>
      <w:marLeft w:val="0"/>
      <w:marRight w:val="0"/>
      <w:marTop w:val="0"/>
      <w:marBottom w:val="0"/>
      <w:divBdr>
        <w:top w:val="none" w:sz="0" w:space="0" w:color="auto"/>
        <w:left w:val="none" w:sz="0" w:space="0" w:color="auto"/>
        <w:bottom w:val="none" w:sz="0" w:space="0" w:color="auto"/>
        <w:right w:val="none" w:sz="0" w:space="0" w:color="auto"/>
      </w:divBdr>
    </w:div>
    <w:div w:id="1726026336">
      <w:bodyDiv w:val="1"/>
      <w:marLeft w:val="0"/>
      <w:marRight w:val="0"/>
      <w:marTop w:val="0"/>
      <w:marBottom w:val="0"/>
      <w:divBdr>
        <w:top w:val="none" w:sz="0" w:space="0" w:color="auto"/>
        <w:left w:val="none" w:sz="0" w:space="0" w:color="auto"/>
        <w:bottom w:val="none" w:sz="0" w:space="0" w:color="auto"/>
        <w:right w:val="none" w:sz="0" w:space="0" w:color="auto"/>
      </w:divBdr>
    </w:div>
    <w:div w:id="2063865142">
      <w:bodyDiv w:val="1"/>
      <w:marLeft w:val="0"/>
      <w:marRight w:val="0"/>
      <w:marTop w:val="0"/>
      <w:marBottom w:val="0"/>
      <w:divBdr>
        <w:top w:val="none" w:sz="0" w:space="0" w:color="auto"/>
        <w:left w:val="none" w:sz="0" w:space="0" w:color="auto"/>
        <w:bottom w:val="none" w:sz="0" w:space="0" w:color="auto"/>
        <w:right w:val="none" w:sz="0" w:space="0" w:color="auto"/>
      </w:divBdr>
    </w:div>
    <w:div w:id="2077238002">
      <w:bodyDiv w:val="1"/>
      <w:marLeft w:val="0"/>
      <w:marRight w:val="0"/>
      <w:marTop w:val="0"/>
      <w:marBottom w:val="0"/>
      <w:divBdr>
        <w:top w:val="none" w:sz="0" w:space="0" w:color="auto"/>
        <w:left w:val="none" w:sz="0" w:space="0" w:color="auto"/>
        <w:bottom w:val="none" w:sz="0" w:space="0" w:color="auto"/>
        <w:right w:val="none" w:sz="0" w:space="0" w:color="auto"/>
      </w:divBdr>
    </w:div>
    <w:div w:id="2103186818">
      <w:bodyDiv w:val="1"/>
      <w:marLeft w:val="0"/>
      <w:marRight w:val="0"/>
      <w:marTop w:val="0"/>
      <w:marBottom w:val="0"/>
      <w:divBdr>
        <w:top w:val="none" w:sz="0" w:space="0" w:color="auto"/>
        <w:left w:val="none" w:sz="0" w:space="0" w:color="auto"/>
        <w:bottom w:val="none" w:sz="0" w:space="0" w:color="auto"/>
        <w:right w:val="none" w:sz="0" w:space="0" w:color="auto"/>
      </w:divBdr>
    </w:div>
    <w:div w:id="210653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gamblingandracing.act.gov.au/__data/assets/pdf_file/0012/2861796/2024-ACT-Gambling-Survey.pdf" TargetMode="External"/><Relationship Id="rId7" Type="http://schemas.openxmlformats.org/officeDocument/2006/relationships/hyperlink" Target="https://www.ag.gov.au/sites/default/files/2023-09/government-response-privacy-act-review-report.PDF" TargetMode="External"/><Relationship Id="rId2" Type="http://schemas.openxmlformats.org/officeDocument/2006/relationships/hyperlink" Target="https://www.gamblingandracing.act.gov.au/__data/assets/pdf_file/0012/2861796/2024-ACT-Gambling-Survey.pdf" TargetMode="External"/><Relationship Id="rId1" Type="http://schemas.openxmlformats.org/officeDocument/2006/relationships/hyperlink" Target="https://www.gamblingandracing.act.gov.au/__data/assets/pdf_file/0012/2861796/2024-ACT-Gambling-Survey.pdf" TargetMode="External"/><Relationship Id="rId6" Type="http://schemas.openxmlformats.org/officeDocument/2006/relationships/hyperlink" Target="https://www.refworld.org/docid/5e5e75e04.html" TargetMode="External"/><Relationship Id="rId5" Type="http://schemas.openxmlformats.org/officeDocument/2006/relationships/hyperlink" Target="https://www.act.gov.au/__data/assets/pdf_file/0008/3076883/Final-Panel-Report-Independent-Inquiry-into-ACT-Clubs.pdf" TargetMode="External"/><Relationship Id="rId4" Type="http://schemas.openxmlformats.org/officeDocument/2006/relationships/hyperlink" Target="https://www.gamblingandracing.act.gov.au/__data/assets/pdf_file/0012/2861796/2024-ACT-Gambling-Surve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EBDED24240B840BB2846A57977424F" ma:contentTypeVersion="8" ma:contentTypeDescription="Create a new document." ma:contentTypeScope="" ma:versionID="e8d224be90ce4cb95919cf4809d422d3">
  <xsd:schema xmlns:xsd="http://www.w3.org/2001/XMLSchema" xmlns:xs="http://www.w3.org/2001/XMLSchema" xmlns:p="http://schemas.microsoft.com/office/2006/metadata/properties" xmlns:ns2="2fb00d3c-f002-4e71-8347-046146873c12" xmlns:ns3="87e312f9-e608-434d-bb8d-9d8bee94c35e" targetNamespace="http://schemas.microsoft.com/office/2006/metadata/properties" ma:root="true" ma:fieldsID="8def1f225fa7b63238e939c8ca37bf43" ns2:_="" ns3:_="">
    <xsd:import namespace="2fb00d3c-f002-4e71-8347-046146873c12"/>
    <xsd:import namespace="87e312f9-e608-434d-bb8d-9d8bee94c3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00d3c-f002-4e71-8347-046146873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e312f9-e608-434d-bb8d-9d8bee94c3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8EEF31-7D0B-48E1-A276-CBF84AE61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00d3c-f002-4e71-8347-046146873c12"/>
    <ds:schemaRef ds:uri="87e312f9-e608-434d-bb8d-9d8bee94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51A34D-4AD1-4ABF-91F6-290896CDED7C}">
  <ds:schemaRefs>
    <ds:schemaRef ds:uri="http://schemas.microsoft.com/sharepoint/v3/contenttype/forms"/>
  </ds:schemaRefs>
</ds:datastoreItem>
</file>

<file path=customXml/itemProps3.xml><?xml version="1.0" encoding="utf-8"?>
<ds:datastoreItem xmlns:ds="http://schemas.openxmlformats.org/officeDocument/2006/customXml" ds:itemID="{4E354351-64C3-4C26-B6E8-83F76921D397}">
  <ds:schemaRefs>
    <ds:schemaRef ds:uri="http://schemas.openxmlformats.org/officeDocument/2006/bibliography"/>
  </ds:schemaRefs>
</ds:datastoreItem>
</file>

<file path=customXml/itemProps4.xml><?xml version="1.0" encoding="utf-8"?>
<ds:datastoreItem xmlns:ds="http://schemas.openxmlformats.org/officeDocument/2006/customXml" ds:itemID="{8E1B7879-FF2C-4778-9E42-586F52E0DC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13780</Words>
  <Characters>74556</Characters>
  <Application>Microsoft Office Word</Application>
  <DocSecurity>0</DocSecurity>
  <Lines>1553</Lines>
  <Paragraphs>562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87774</CharactersWithSpaces>
  <SharedDoc>false</SharedDoc>
  <HLinks>
    <vt:vector size="42" baseType="variant">
      <vt:variant>
        <vt:i4>2818084</vt:i4>
      </vt:variant>
      <vt:variant>
        <vt:i4>18</vt:i4>
      </vt:variant>
      <vt:variant>
        <vt:i4>0</vt:i4>
      </vt:variant>
      <vt:variant>
        <vt:i4>5</vt:i4>
      </vt:variant>
      <vt:variant>
        <vt:lpwstr>https://www.ag.gov.au/sites/default/files/2023-09/government-response-privacy-act-review-report.PDF</vt:lpwstr>
      </vt:variant>
      <vt:variant>
        <vt:lpwstr/>
      </vt:variant>
      <vt:variant>
        <vt:i4>4456530</vt:i4>
      </vt:variant>
      <vt:variant>
        <vt:i4>15</vt:i4>
      </vt:variant>
      <vt:variant>
        <vt:i4>0</vt:i4>
      </vt:variant>
      <vt:variant>
        <vt:i4>5</vt:i4>
      </vt:variant>
      <vt:variant>
        <vt:lpwstr>https://www.refworld.org/docid/5e5e75e04.html</vt:lpwstr>
      </vt:variant>
      <vt:variant>
        <vt:lpwstr/>
      </vt:variant>
      <vt:variant>
        <vt:i4>2162775</vt:i4>
      </vt:variant>
      <vt:variant>
        <vt:i4>12</vt:i4>
      </vt:variant>
      <vt:variant>
        <vt:i4>0</vt:i4>
      </vt:variant>
      <vt:variant>
        <vt:i4>5</vt:i4>
      </vt:variant>
      <vt:variant>
        <vt:lpwstr>https://www.act.gov.au/__data/assets/pdf_file/0008/3076883/Final-Panel-Report-Independent-Inquiry-into-ACT-Clubs.pdf</vt:lpwstr>
      </vt:variant>
      <vt:variant>
        <vt:lpwstr/>
      </vt:variant>
      <vt:variant>
        <vt:i4>7471174</vt:i4>
      </vt:variant>
      <vt:variant>
        <vt:i4>9</vt:i4>
      </vt:variant>
      <vt:variant>
        <vt:i4>0</vt:i4>
      </vt:variant>
      <vt:variant>
        <vt:i4>5</vt:i4>
      </vt:variant>
      <vt:variant>
        <vt:lpwstr>https://www.gamblingandracing.act.gov.au/__data/assets/pdf_file/0012/2861796/2024-ACT-Gambling-Survey.pdf</vt:lpwstr>
      </vt:variant>
      <vt:variant>
        <vt:lpwstr/>
      </vt:variant>
      <vt:variant>
        <vt:i4>7471174</vt:i4>
      </vt:variant>
      <vt:variant>
        <vt:i4>6</vt:i4>
      </vt:variant>
      <vt:variant>
        <vt:i4>0</vt:i4>
      </vt:variant>
      <vt:variant>
        <vt:i4>5</vt:i4>
      </vt:variant>
      <vt:variant>
        <vt:lpwstr>https://www.gamblingandracing.act.gov.au/__data/assets/pdf_file/0012/2861796/2024-ACT-Gambling-Survey.pdf</vt:lpwstr>
      </vt:variant>
      <vt:variant>
        <vt:lpwstr/>
      </vt:variant>
      <vt:variant>
        <vt:i4>7471174</vt:i4>
      </vt:variant>
      <vt:variant>
        <vt:i4>3</vt:i4>
      </vt:variant>
      <vt:variant>
        <vt:i4>0</vt:i4>
      </vt:variant>
      <vt:variant>
        <vt:i4>5</vt:i4>
      </vt:variant>
      <vt:variant>
        <vt:lpwstr>https://www.gamblingandracing.act.gov.au/__data/assets/pdf_file/0012/2861796/2024-ACT-Gambling-Survey.pdf</vt:lpwstr>
      </vt:variant>
      <vt:variant>
        <vt:lpwstr/>
      </vt:variant>
      <vt:variant>
        <vt:i4>7471174</vt:i4>
      </vt:variant>
      <vt:variant>
        <vt:i4>0</vt:i4>
      </vt:variant>
      <vt:variant>
        <vt:i4>0</vt:i4>
      </vt:variant>
      <vt:variant>
        <vt:i4>5</vt:i4>
      </vt:variant>
      <vt:variant>
        <vt:lpwstr>https://www.gamblingandracing.act.gov.au/__data/assets/pdf_file/0012/2861796/2024-ACT-Gambling-Survey.pdf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5</cp:revision>
  <dcterms:created xsi:type="dcterms:W3CDTF">2026-09-16T03:04:00Z</dcterms:created>
  <dcterms:modified xsi:type="dcterms:W3CDTF">2026-09-16T03:04:00Z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0x0101004DEBDED24240B840BB2846A57977424F</vt:lpwstr>
  </property>
  <property fmtid="{D5CDD505-2E9C-101B-9397-08002B2CF9AE}" pid="3" name="MSIP_Label_69af8531-eb46-4968-8cb3-105d2f5ea87e_Enabled">
    <vt:lpwstr>true</vt:lpwstr>
  </property>
  <property fmtid="{D5CDD505-2E9C-101B-9397-08002B2CF9AE}" pid="4" name="MSIP_Label_69af8531-eb46-4968-8cb3-105d2f5ea87e_SetDate">
    <vt:lpwstr>2024-11-14T22:43:05Z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afbfd6bc-6100-4152-8de1-284222bffaef</vt:lpwstr>
  </property>
  <property fmtid="{D5CDD505-2E9C-101B-9397-08002B2CF9AE}" pid="9" name="MSIP_Label_69af8531-eb46-4968-8cb3-105d2f5ea87e_ContentBits">
    <vt:lpwstr>0</vt:lpwstr>
  </property>
  <property fmtid="{D5CDD505-2E9C-101B-9397-08002B2CF9AE}" pid="10" name="MediaServiceImageTags">
    <vt:lpwstr/>
  </property>
</Properties>
</file>