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3A917" w14:textId="6A603077" w:rsidR="00515AF8" w:rsidRDefault="0072750F">
      <w:pPr>
        <w:spacing w:before="184"/>
        <w:ind w:left="1929" w:right="1771"/>
        <w:jc w:val="center"/>
        <w:rPr>
          <w:b/>
          <w:sz w:val="28"/>
        </w:rPr>
      </w:pPr>
      <w:r>
        <w:rPr>
          <w:b/>
          <w:sz w:val="28"/>
        </w:rPr>
        <w:t>202</w:t>
      </w:r>
      <w:r w:rsidR="001020BD">
        <w:rPr>
          <w:b/>
          <w:sz w:val="28"/>
        </w:rPr>
        <w:t>6</w:t>
      </w:r>
    </w:p>
    <w:p w14:paraId="056A8956" w14:textId="77777777" w:rsidR="00515AF8" w:rsidRDefault="00515AF8">
      <w:pPr>
        <w:pStyle w:val="BodyText"/>
        <w:rPr>
          <w:b/>
          <w:sz w:val="28"/>
        </w:rPr>
      </w:pPr>
    </w:p>
    <w:p w14:paraId="632361A3" w14:textId="77777777" w:rsidR="00515AF8" w:rsidRDefault="00515AF8">
      <w:pPr>
        <w:pStyle w:val="BodyText"/>
        <w:rPr>
          <w:b/>
          <w:sz w:val="28"/>
        </w:rPr>
      </w:pPr>
    </w:p>
    <w:p w14:paraId="5F65894C" w14:textId="77777777" w:rsidR="00515AF8" w:rsidRDefault="00515AF8">
      <w:pPr>
        <w:pStyle w:val="BodyText"/>
        <w:rPr>
          <w:b/>
          <w:sz w:val="28"/>
        </w:rPr>
      </w:pPr>
    </w:p>
    <w:p w14:paraId="555115B4" w14:textId="77777777" w:rsidR="00515AF8" w:rsidRDefault="004604C4">
      <w:pPr>
        <w:ind w:left="1929" w:right="1769"/>
        <w:jc w:val="center"/>
        <w:rPr>
          <w:b/>
          <w:sz w:val="28"/>
        </w:rPr>
      </w:pPr>
      <w:r>
        <w:rPr>
          <w:b/>
          <w:sz w:val="28"/>
        </w:rPr>
        <w:t>THE</w:t>
      </w:r>
      <w:r>
        <w:rPr>
          <w:b/>
          <w:spacing w:val="-10"/>
          <w:sz w:val="28"/>
        </w:rPr>
        <w:t xml:space="preserve"> </w:t>
      </w:r>
      <w:r>
        <w:rPr>
          <w:b/>
          <w:sz w:val="28"/>
        </w:rPr>
        <w:t>LEGISLATIVE</w:t>
      </w:r>
      <w:r>
        <w:rPr>
          <w:b/>
          <w:spacing w:val="-9"/>
          <w:sz w:val="28"/>
        </w:rPr>
        <w:t xml:space="preserve"> </w:t>
      </w:r>
      <w:r>
        <w:rPr>
          <w:b/>
          <w:sz w:val="28"/>
        </w:rPr>
        <w:t>ASSEMBLY</w:t>
      </w:r>
      <w:r>
        <w:rPr>
          <w:b/>
          <w:spacing w:val="-9"/>
          <w:sz w:val="28"/>
        </w:rPr>
        <w:t xml:space="preserve"> </w:t>
      </w:r>
      <w:r>
        <w:rPr>
          <w:b/>
          <w:sz w:val="28"/>
        </w:rPr>
        <w:t>FOR</w:t>
      </w:r>
      <w:r>
        <w:rPr>
          <w:b/>
          <w:spacing w:val="-10"/>
          <w:sz w:val="28"/>
        </w:rPr>
        <w:t xml:space="preserve"> </w:t>
      </w:r>
      <w:r>
        <w:rPr>
          <w:b/>
          <w:sz w:val="28"/>
        </w:rPr>
        <w:t>THE AUSTRALIAN CAPITAL TERRITORY</w:t>
      </w:r>
    </w:p>
    <w:p w14:paraId="22BA8637" w14:textId="77777777" w:rsidR="00515AF8" w:rsidRDefault="00515AF8">
      <w:pPr>
        <w:pStyle w:val="BodyText"/>
        <w:rPr>
          <w:b/>
          <w:sz w:val="28"/>
        </w:rPr>
      </w:pPr>
    </w:p>
    <w:p w14:paraId="68BBAE11" w14:textId="77777777" w:rsidR="00515AF8" w:rsidRDefault="00515AF8">
      <w:pPr>
        <w:pStyle w:val="BodyText"/>
        <w:rPr>
          <w:b/>
          <w:sz w:val="28"/>
        </w:rPr>
      </w:pPr>
    </w:p>
    <w:p w14:paraId="0311A3F6" w14:textId="77777777" w:rsidR="00515AF8" w:rsidRDefault="00515AF8">
      <w:pPr>
        <w:pStyle w:val="BodyText"/>
        <w:rPr>
          <w:b/>
          <w:sz w:val="28"/>
        </w:rPr>
      </w:pPr>
    </w:p>
    <w:p w14:paraId="56CBC96A" w14:textId="77777777" w:rsidR="00515AF8" w:rsidRDefault="00515AF8">
      <w:pPr>
        <w:pStyle w:val="BodyText"/>
        <w:rPr>
          <w:b/>
          <w:sz w:val="28"/>
        </w:rPr>
      </w:pPr>
    </w:p>
    <w:p w14:paraId="62FAD86D" w14:textId="77777777" w:rsidR="00515AF8" w:rsidRDefault="00515AF8">
      <w:pPr>
        <w:pStyle w:val="BodyText"/>
        <w:rPr>
          <w:b/>
          <w:sz w:val="28"/>
        </w:rPr>
      </w:pPr>
    </w:p>
    <w:p w14:paraId="4C4DB42D" w14:textId="77777777" w:rsidR="00515AF8" w:rsidRDefault="00515AF8">
      <w:pPr>
        <w:pStyle w:val="BodyText"/>
        <w:spacing w:before="341"/>
        <w:rPr>
          <w:b/>
          <w:sz w:val="28"/>
        </w:rPr>
      </w:pPr>
    </w:p>
    <w:p w14:paraId="5C05EF5F" w14:textId="07303E2B" w:rsidR="00515AF8" w:rsidRDefault="004604C4">
      <w:pPr>
        <w:ind w:left="155"/>
        <w:jc w:val="center"/>
        <w:rPr>
          <w:b/>
          <w:sz w:val="28"/>
        </w:rPr>
      </w:pPr>
      <w:r>
        <w:rPr>
          <w:b/>
          <w:sz w:val="28"/>
        </w:rPr>
        <w:t>CRIMES</w:t>
      </w:r>
      <w:r>
        <w:rPr>
          <w:b/>
          <w:spacing w:val="-16"/>
          <w:sz w:val="28"/>
        </w:rPr>
        <w:t xml:space="preserve"> </w:t>
      </w:r>
      <w:r>
        <w:rPr>
          <w:b/>
          <w:sz w:val="28"/>
        </w:rPr>
        <w:t>(ANTI-CONSORTING)</w:t>
      </w:r>
      <w:r>
        <w:rPr>
          <w:b/>
          <w:spacing w:val="-15"/>
          <w:sz w:val="28"/>
        </w:rPr>
        <w:t xml:space="preserve"> </w:t>
      </w:r>
      <w:r>
        <w:rPr>
          <w:b/>
          <w:sz w:val="28"/>
        </w:rPr>
        <w:t>AMENDMENT</w:t>
      </w:r>
      <w:r>
        <w:rPr>
          <w:b/>
          <w:spacing w:val="-16"/>
          <w:sz w:val="28"/>
        </w:rPr>
        <w:t xml:space="preserve"> </w:t>
      </w:r>
      <w:r>
        <w:rPr>
          <w:b/>
          <w:sz w:val="28"/>
        </w:rPr>
        <w:t>BILL</w:t>
      </w:r>
      <w:r>
        <w:rPr>
          <w:b/>
          <w:spacing w:val="-15"/>
          <w:sz w:val="28"/>
        </w:rPr>
        <w:t xml:space="preserve"> </w:t>
      </w:r>
      <w:r>
        <w:rPr>
          <w:b/>
          <w:spacing w:val="-4"/>
          <w:sz w:val="28"/>
        </w:rPr>
        <w:t>20</w:t>
      </w:r>
      <w:r w:rsidR="00D63F33">
        <w:rPr>
          <w:b/>
          <w:spacing w:val="-4"/>
          <w:sz w:val="28"/>
        </w:rPr>
        <w:t>2</w:t>
      </w:r>
      <w:r w:rsidR="001020BD">
        <w:rPr>
          <w:b/>
          <w:spacing w:val="-4"/>
          <w:sz w:val="28"/>
        </w:rPr>
        <w:t>6</w:t>
      </w:r>
    </w:p>
    <w:p w14:paraId="6ABD0539" w14:textId="77777777" w:rsidR="00515AF8" w:rsidRDefault="00515AF8">
      <w:pPr>
        <w:pStyle w:val="BodyText"/>
        <w:rPr>
          <w:b/>
          <w:sz w:val="28"/>
        </w:rPr>
      </w:pPr>
    </w:p>
    <w:p w14:paraId="707E4341" w14:textId="77777777" w:rsidR="00515AF8" w:rsidRDefault="00515AF8">
      <w:pPr>
        <w:pStyle w:val="BodyText"/>
        <w:rPr>
          <w:b/>
          <w:sz w:val="28"/>
        </w:rPr>
      </w:pPr>
    </w:p>
    <w:p w14:paraId="36E715DE" w14:textId="77777777" w:rsidR="00515AF8" w:rsidRDefault="00515AF8">
      <w:pPr>
        <w:pStyle w:val="BodyText"/>
        <w:spacing w:before="1"/>
        <w:rPr>
          <w:b/>
          <w:sz w:val="28"/>
        </w:rPr>
      </w:pPr>
    </w:p>
    <w:p w14:paraId="5A3EA5DC" w14:textId="77777777" w:rsidR="00515AF8" w:rsidRDefault="004604C4">
      <w:pPr>
        <w:ind w:left="1929" w:right="1772"/>
        <w:jc w:val="center"/>
        <w:rPr>
          <w:b/>
          <w:sz w:val="28"/>
        </w:rPr>
      </w:pPr>
      <w:r>
        <w:rPr>
          <w:b/>
          <w:spacing w:val="-2"/>
          <w:sz w:val="28"/>
        </w:rPr>
        <w:t>EXPLANATORY STATEMENT</w:t>
      </w:r>
    </w:p>
    <w:p w14:paraId="306DDC50" w14:textId="77777777" w:rsidR="00515AF8" w:rsidRDefault="00515AF8">
      <w:pPr>
        <w:pStyle w:val="BodyText"/>
        <w:rPr>
          <w:b/>
          <w:sz w:val="20"/>
        </w:rPr>
      </w:pPr>
    </w:p>
    <w:p w14:paraId="01A9B86A" w14:textId="77777777" w:rsidR="00515AF8" w:rsidRDefault="00515AF8">
      <w:pPr>
        <w:pStyle w:val="BodyText"/>
        <w:rPr>
          <w:b/>
          <w:sz w:val="20"/>
        </w:rPr>
      </w:pPr>
    </w:p>
    <w:p w14:paraId="67147BB2" w14:textId="77777777" w:rsidR="00515AF8" w:rsidRDefault="00515AF8">
      <w:pPr>
        <w:pStyle w:val="BodyText"/>
        <w:rPr>
          <w:b/>
          <w:sz w:val="20"/>
        </w:rPr>
      </w:pPr>
    </w:p>
    <w:p w14:paraId="17DA368E" w14:textId="77777777" w:rsidR="00515AF8" w:rsidRDefault="00515AF8">
      <w:pPr>
        <w:pStyle w:val="BodyText"/>
        <w:rPr>
          <w:b/>
          <w:sz w:val="20"/>
        </w:rPr>
      </w:pPr>
    </w:p>
    <w:p w14:paraId="296BB131" w14:textId="77777777" w:rsidR="00515AF8" w:rsidRDefault="00515AF8">
      <w:pPr>
        <w:pStyle w:val="BodyText"/>
        <w:rPr>
          <w:b/>
          <w:sz w:val="20"/>
        </w:rPr>
      </w:pPr>
    </w:p>
    <w:p w14:paraId="237962D8" w14:textId="77777777" w:rsidR="00515AF8" w:rsidRDefault="00515AF8">
      <w:pPr>
        <w:pStyle w:val="BodyText"/>
        <w:rPr>
          <w:b/>
          <w:sz w:val="20"/>
        </w:rPr>
      </w:pPr>
    </w:p>
    <w:p w14:paraId="02D1BB3C" w14:textId="77777777" w:rsidR="00515AF8" w:rsidRDefault="00515AF8">
      <w:pPr>
        <w:pStyle w:val="BodyText"/>
        <w:rPr>
          <w:b/>
          <w:sz w:val="20"/>
        </w:rPr>
      </w:pPr>
    </w:p>
    <w:p w14:paraId="43089A34" w14:textId="77777777" w:rsidR="00515AF8" w:rsidRDefault="00515AF8">
      <w:pPr>
        <w:pStyle w:val="BodyText"/>
        <w:rPr>
          <w:b/>
          <w:sz w:val="20"/>
        </w:rPr>
      </w:pPr>
    </w:p>
    <w:p w14:paraId="3C109994" w14:textId="77777777" w:rsidR="00515AF8" w:rsidRDefault="00515AF8">
      <w:pPr>
        <w:pStyle w:val="BodyText"/>
        <w:rPr>
          <w:b/>
          <w:sz w:val="20"/>
        </w:rPr>
      </w:pPr>
    </w:p>
    <w:p w14:paraId="63E0A7B1" w14:textId="77777777" w:rsidR="00515AF8" w:rsidRDefault="00515AF8">
      <w:pPr>
        <w:pStyle w:val="BodyText"/>
        <w:rPr>
          <w:b/>
          <w:sz w:val="20"/>
        </w:rPr>
      </w:pPr>
    </w:p>
    <w:p w14:paraId="3C8E24D7" w14:textId="77777777" w:rsidR="00515AF8" w:rsidRDefault="00515AF8">
      <w:pPr>
        <w:pStyle w:val="BodyText"/>
        <w:rPr>
          <w:b/>
          <w:sz w:val="20"/>
        </w:rPr>
      </w:pPr>
    </w:p>
    <w:p w14:paraId="34282964" w14:textId="77777777" w:rsidR="00515AF8" w:rsidRDefault="00515AF8">
      <w:pPr>
        <w:pStyle w:val="BodyText"/>
        <w:rPr>
          <w:b/>
          <w:sz w:val="20"/>
        </w:rPr>
      </w:pPr>
    </w:p>
    <w:p w14:paraId="03C8C0A4" w14:textId="77777777" w:rsidR="00515AF8" w:rsidRDefault="00515AF8">
      <w:pPr>
        <w:pStyle w:val="BodyText"/>
        <w:rPr>
          <w:b/>
          <w:sz w:val="20"/>
        </w:rPr>
      </w:pPr>
    </w:p>
    <w:p w14:paraId="479308DA" w14:textId="77777777" w:rsidR="00515AF8" w:rsidRDefault="00515AF8">
      <w:pPr>
        <w:pStyle w:val="BodyText"/>
        <w:rPr>
          <w:b/>
          <w:sz w:val="20"/>
        </w:rPr>
      </w:pPr>
    </w:p>
    <w:p w14:paraId="41AFAA29" w14:textId="77777777" w:rsidR="00163055" w:rsidRDefault="00163055">
      <w:pPr>
        <w:pStyle w:val="BodyText"/>
        <w:rPr>
          <w:b/>
          <w:sz w:val="20"/>
        </w:rPr>
      </w:pPr>
    </w:p>
    <w:p w14:paraId="6EC772A7" w14:textId="77777777" w:rsidR="00515AF8" w:rsidRDefault="00515AF8">
      <w:pPr>
        <w:pStyle w:val="BodyText"/>
        <w:rPr>
          <w:b/>
          <w:sz w:val="20"/>
        </w:rPr>
      </w:pPr>
    </w:p>
    <w:p w14:paraId="74865A3D" w14:textId="77777777" w:rsidR="00515AF8" w:rsidRDefault="00515AF8">
      <w:pPr>
        <w:pStyle w:val="BodyText"/>
        <w:rPr>
          <w:b/>
          <w:sz w:val="20"/>
        </w:rPr>
      </w:pPr>
    </w:p>
    <w:p w14:paraId="7AE90BFB" w14:textId="77777777" w:rsidR="009C27E7" w:rsidRDefault="009C27E7" w:rsidP="00163055">
      <w:pPr>
        <w:spacing w:before="160"/>
        <w:rPr>
          <w:color w:val="272727"/>
          <w:spacing w:val="-5"/>
          <w:sz w:val="28"/>
        </w:rPr>
      </w:pPr>
      <w:r>
        <w:rPr>
          <w:color w:val="272727"/>
          <w:spacing w:val="-2"/>
          <w:sz w:val="28"/>
        </w:rPr>
        <w:t>Presented</w:t>
      </w:r>
      <w:r>
        <w:rPr>
          <w:color w:val="272727"/>
          <w:spacing w:val="1"/>
          <w:sz w:val="28"/>
        </w:rPr>
        <w:t xml:space="preserve"> </w:t>
      </w:r>
      <w:r>
        <w:rPr>
          <w:color w:val="272727"/>
          <w:spacing w:val="-5"/>
          <w:sz w:val="28"/>
        </w:rPr>
        <w:t>by</w:t>
      </w:r>
    </w:p>
    <w:p w14:paraId="72CD23F9" w14:textId="77777777" w:rsidR="009C27E7" w:rsidRDefault="009C27E7" w:rsidP="009C27E7">
      <w:pPr>
        <w:ind w:left="720" w:right="118"/>
        <w:jc w:val="right"/>
        <w:rPr>
          <w:b/>
          <w:sz w:val="28"/>
        </w:rPr>
      </w:pPr>
      <w:r>
        <w:rPr>
          <w:b/>
          <w:sz w:val="28"/>
        </w:rPr>
        <w:t>Mark Parton MLA</w:t>
      </w:r>
    </w:p>
    <w:p w14:paraId="6C87E1AE" w14:textId="33E9BD15" w:rsidR="009C27E7" w:rsidRPr="009C27E7" w:rsidRDefault="009C27E7" w:rsidP="009C27E7">
      <w:pPr>
        <w:ind w:left="720" w:right="118"/>
        <w:jc w:val="right"/>
        <w:rPr>
          <w:b/>
          <w:sz w:val="28"/>
        </w:rPr>
      </w:pPr>
      <w:r>
        <w:rPr>
          <w:b/>
          <w:spacing w:val="-2"/>
          <w:sz w:val="28"/>
        </w:rPr>
        <w:t>Leader of the Opposition</w:t>
      </w:r>
    </w:p>
    <w:p w14:paraId="6140D3D0" w14:textId="77777777" w:rsidR="00515AF8" w:rsidRDefault="00515AF8">
      <w:pPr>
        <w:pStyle w:val="BodyText"/>
        <w:spacing w:before="109"/>
        <w:rPr>
          <w:b/>
          <w:sz w:val="20"/>
        </w:rPr>
      </w:pPr>
    </w:p>
    <w:p w14:paraId="0F0AC3EF" w14:textId="77777777" w:rsidR="00515AF8" w:rsidRDefault="00515AF8">
      <w:pPr>
        <w:rPr>
          <w:sz w:val="20"/>
        </w:rPr>
        <w:sectPr w:rsidR="00515AF8" w:rsidSect="00EA1591">
          <w:headerReference w:type="even" r:id="rId8"/>
          <w:headerReference w:type="default" r:id="rId9"/>
          <w:footerReference w:type="even" r:id="rId10"/>
          <w:footerReference w:type="default" r:id="rId11"/>
          <w:headerReference w:type="first" r:id="rId12"/>
          <w:footerReference w:type="first" r:id="rId13"/>
          <w:type w:val="continuous"/>
          <w:pgSz w:w="11910" w:h="16840" w:code="9"/>
          <w:pgMar w:top="1758" w:right="1440" w:bottom="1440" w:left="1440" w:header="720" w:footer="720" w:gutter="0"/>
          <w:pgNumType w:start="1"/>
          <w:cols w:space="720"/>
        </w:sectPr>
      </w:pPr>
    </w:p>
    <w:p w14:paraId="434F04CD" w14:textId="107061C9" w:rsidR="00515AF8" w:rsidRDefault="004604C4" w:rsidP="00633015">
      <w:pPr>
        <w:pStyle w:val="Heading1"/>
        <w:spacing w:before="32"/>
        <w:ind w:left="0"/>
      </w:pPr>
      <w:r>
        <w:lastRenderedPageBreak/>
        <w:t>CRIMES</w:t>
      </w:r>
      <w:r>
        <w:rPr>
          <w:spacing w:val="-2"/>
        </w:rPr>
        <w:t xml:space="preserve"> </w:t>
      </w:r>
      <w:r>
        <w:t>(ANTI-CONSORTING)</w:t>
      </w:r>
      <w:r>
        <w:rPr>
          <w:spacing w:val="-2"/>
        </w:rPr>
        <w:t xml:space="preserve"> </w:t>
      </w:r>
      <w:r>
        <w:t>AMENDMENT</w:t>
      </w:r>
      <w:r>
        <w:rPr>
          <w:spacing w:val="-2"/>
        </w:rPr>
        <w:t xml:space="preserve"> </w:t>
      </w:r>
      <w:r>
        <w:t>BILL</w:t>
      </w:r>
      <w:r>
        <w:rPr>
          <w:spacing w:val="-1"/>
        </w:rPr>
        <w:t xml:space="preserve"> </w:t>
      </w:r>
      <w:r>
        <w:rPr>
          <w:spacing w:val="-4"/>
        </w:rPr>
        <w:t>20</w:t>
      </w:r>
      <w:r w:rsidR="0072750F">
        <w:rPr>
          <w:spacing w:val="-4"/>
        </w:rPr>
        <w:t>2</w:t>
      </w:r>
      <w:r w:rsidR="004C56B4">
        <w:rPr>
          <w:spacing w:val="-4"/>
        </w:rPr>
        <w:t>6</w:t>
      </w:r>
    </w:p>
    <w:p w14:paraId="4977F275" w14:textId="77777777" w:rsidR="00515AF8" w:rsidRDefault="00515AF8" w:rsidP="00633015">
      <w:pPr>
        <w:pStyle w:val="BodyText"/>
        <w:rPr>
          <w:b/>
        </w:rPr>
      </w:pPr>
    </w:p>
    <w:p w14:paraId="4086F4A9" w14:textId="130114D4" w:rsidR="00515AF8" w:rsidRDefault="004604C4" w:rsidP="00633015">
      <w:pPr>
        <w:pStyle w:val="BodyText"/>
      </w:pPr>
      <w:r>
        <w:t>This explanatory statement relates to the Crimes (Anti-Consorting) Amendment Bill 20</w:t>
      </w:r>
      <w:r w:rsidR="0072750F">
        <w:t>2</w:t>
      </w:r>
      <w:r w:rsidR="004C56B4">
        <w:t>6</w:t>
      </w:r>
      <w:r>
        <w:t xml:space="preserve"> (the Bill) as presented to the Legislative Assembly.</w:t>
      </w:r>
      <w:r>
        <w:rPr>
          <w:spacing w:val="40"/>
        </w:rPr>
        <w:t xml:space="preserve"> </w:t>
      </w:r>
      <w:r>
        <w:t>It has been prepared to assist the reader of the Bill to understand the policy rationale and the scope of the amendments and to help inform debate.</w:t>
      </w:r>
      <w:r>
        <w:rPr>
          <w:spacing w:val="27"/>
        </w:rPr>
        <w:t xml:space="preserve"> </w:t>
      </w:r>
      <w:r>
        <w:t>It</w:t>
      </w:r>
      <w:r>
        <w:rPr>
          <w:spacing w:val="-11"/>
        </w:rPr>
        <w:t xml:space="preserve"> </w:t>
      </w:r>
      <w:r>
        <w:t>does</w:t>
      </w:r>
      <w:r>
        <w:rPr>
          <w:spacing w:val="-13"/>
        </w:rPr>
        <w:t xml:space="preserve"> </w:t>
      </w:r>
      <w:r>
        <w:t>not</w:t>
      </w:r>
      <w:r>
        <w:rPr>
          <w:spacing w:val="-11"/>
        </w:rPr>
        <w:t xml:space="preserve"> </w:t>
      </w:r>
      <w:r>
        <w:t>form</w:t>
      </w:r>
      <w:r>
        <w:rPr>
          <w:spacing w:val="-12"/>
        </w:rPr>
        <w:t xml:space="preserve"> </w:t>
      </w:r>
      <w:r>
        <w:t>part</w:t>
      </w:r>
      <w:r>
        <w:rPr>
          <w:spacing w:val="-11"/>
        </w:rPr>
        <w:t xml:space="preserve"> </w:t>
      </w:r>
      <w:r>
        <w:t>of</w:t>
      </w:r>
      <w:r>
        <w:rPr>
          <w:spacing w:val="-12"/>
        </w:rPr>
        <w:t xml:space="preserve"> </w:t>
      </w:r>
      <w:r>
        <w:t>the</w:t>
      </w:r>
      <w:r>
        <w:rPr>
          <w:spacing w:val="-11"/>
        </w:rPr>
        <w:t xml:space="preserve"> </w:t>
      </w:r>
      <w:r>
        <w:t>Bill</w:t>
      </w:r>
      <w:r>
        <w:rPr>
          <w:spacing w:val="-12"/>
        </w:rPr>
        <w:t xml:space="preserve"> </w:t>
      </w:r>
      <w:r>
        <w:t>and</w:t>
      </w:r>
      <w:r>
        <w:rPr>
          <w:spacing w:val="-12"/>
        </w:rPr>
        <w:t xml:space="preserve"> </w:t>
      </w:r>
      <w:r>
        <w:t>has</w:t>
      </w:r>
      <w:r>
        <w:rPr>
          <w:spacing w:val="-12"/>
        </w:rPr>
        <w:t xml:space="preserve"> </w:t>
      </w:r>
      <w:r>
        <w:t>not</w:t>
      </w:r>
      <w:r>
        <w:rPr>
          <w:spacing w:val="-12"/>
        </w:rPr>
        <w:t xml:space="preserve"> </w:t>
      </w:r>
      <w:r>
        <w:t>been</w:t>
      </w:r>
      <w:r>
        <w:rPr>
          <w:spacing w:val="-12"/>
        </w:rPr>
        <w:t xml:space="preserve"> </w:t>
      </w:r>
      <w:r>
        <w:t>endorsed</w:t>
      </w:r>
      <w:r>
        <w:rPr>
          <w:spacing w:val="-13"/>
        </w:rPr>
        <w:t xml:space="preserve"> </w:t>
      </w:r>
      <w:r>
        <w:t>by</w:t>
      </w:r>
      <w:r>
        <w:rPr>
          <w:spacing w:val="-11"/>
        </w:rPr>
        <w:t xml:space="preserve"> </w:t>
      </w:r>
      <w:r>
        <w:t>the</w:t>
      </w:r>
      <w:r>
        <w:rPr>
          <w:spacing w:val="-12"/>
        </w:rPr>
        <w:t xml:space="preserve"> </w:t>
      </w:r>
      <w:r>
        <w:t>Legislative</w:t>
      </w:r>
      <w:r>
        <w:rPr>
          <w:spacing w:val="-11"/>
        </w:rPr>
        <w:t xml:space="preserve"> </w:t>
      </w:r>
      <w:r>
        <w:rPr>
          <w:spacing w:val="-2"/>
        </w:rPr>
        <w:t>Assembly.</w:t>
      </w:r>
    </w:p>
    <w:p w14:paraId="7B5CB539" w14:textId="73A88055" w:rsidR="00515AF8" w:rsidRDefault="004604C4" w:rsidP="004C56B4">
      <w:pPr>
        <w:pStyle w:val="BodyText"/>
        <w:spacing w:after="240"/>
      </w:pPr>
      <w:r>
        <w:t>The Statement must be read in conjunction with the Bill. It is not, and is not meant to be, a comprehensive description of the Bill. What is said about a provision is not to be taken as an authoritative guide to the meaning of a provision, this being a task for the courts.</w:t>
      </w:r>
    </w:p>
    <w:p w14:paraId="2F844138" w14:textId="77777777" w:rsidR="00515AF8" w:rsidRDefault="004604C4" w:rsidP="00633015">
      <w:pPr>
        <w:pStyle w:val="Heading1"/>
        <w:ind w:left="0"/>
      </w:pPr>
      <w:r>
        <w:rPr>
          <w:spacing w:val="-2"/>
        </w:rPr>
        <w:t>Background</w:t>
      </w:r>
    </w:p>
    <w:p w14:paraId="7FC6C633" w14:textId="77777777" w:rsidR="00515AF8" w:rsidRDefault="004604C4" w:rsidP="004C56B4">
      <w:pPr>
        <w:pStyle w:val="BodyText"/>
        <w:spacing w:before="120" w:after="240"/>
      </w:pPr>
      <w:r>
        <w:t>In</w:t>
      </w:r>
      <w:r>
        <w:rPr>
          <w:spacing w:val="35"/>
        </w:rPr>
        <w:t xml:space="preserve"> </w:t>
      </w:r>
      <w:r>
        <w:t>2009,</w:t>
      </w:r>
      <w:r>
        <w:rPr>
          <w:spacing w:val="36"/>
        </w:rPr>
        <w:t xml:space="preserve"> </w:t>
      </w:r>
      <w:r>
        <w:t>NSW</w:t>
      </w:r>
      <w:r>
        <w:rPr>
          <w:spacing w:val="35"/>
        </w:rPr>
        <w:t xml:space="preserve"> </w:t>
      </w:r>
      <w:r>
        <w:t>started</w:t>
      </w:r>
      <w:r>
        <w:rPr>
          <w:spacing w:val="35"/>
        </w:rPr>
        <w:t xml:space="preserve"> </w:t>
      </w:r>
      <w:r>
        <w:t>a</w:t>
      </w:r>
      <w:r>
        <w:rPr>
          <w:spacing w:val="35"/>
        </w:rPr>
        <w:t xml:space="preserve"> </w:t>
      </w:r>
      <w:r>
        <w:t>process</w:t>
      </w:r>
      <w:r>
        <w:rPr>
          <w:spacing w:val="35"/>
        </w:rPr>
        <w:t xml:space="preserve"> </w:t>
      </w:r>
      <w:r>
        <w:t>of</w:t>
      </w:r>
      <w:r>
        <w:rPr>
          <w:spacing w:val="36"/>
        </w:rPr>
        <w:t xml:space="preserve"> </w:t>
      </w:r>
      <w:r>
        <w:t>introducing</w:t>
      </w:r>
      <w:r>
        <w:rPr>
          <w:spacing w:val="35"/>
        </w:rPr>
        <w:t xml:space="preserve"> </w:t>
      </w:r>
      <w:r>
        <w:t>anti-consorting</w:t>
      </w:r>
      <w:r>
        <w:rPr>
          <w:spacing w:val="35"/>
        </w:rPr>
        <w:t xml:space="preserve"> </w:t>
      </w:r>
      <w:r>
        <w:t>legislation</w:t>
      </w:r>
      <w:r>
        <w:rPr>
          <w:spacing w:val="35"/>
        </w:rPr>
        <w:t xml:space="preserve"> </w:t>
      </w:r>
      <w:r>
        <w:t>aimed</w:t>
      </w:r>
      <w:r>
        <w:rPr>
          <w:spacing w:val="37"/>
        </w:rPr>
        <w:t xml:space="preserve"> </w:t>
      </w:r>
      <w:r>
        <w:t>at</w:t>
      </w:r>
      <w:r>
        <w:rPr>
          <w:spacing w:val="35"/>
        </w:rPr>
        <w:t xml:space="preserve"> </w:t>
      </w:r>
      <w:r>
        <w:t>Outlaw Motorcycle Gang (OMCG) activity.</w:t>
      </w:r>
    </w:p>
    <w:p w14:paraId="4ED5868A" w14:textId="0CDCE37B" w:rsidR="00515AF8" w:rsidRDefault="004604C4" w:rsidP="004C56B4">
      <w:pPr>
        <w:pStyle w:val="BodyText"/>
        <w:spacing w:after="240"/>
      </w:pPr>
      <w:r>
        <w:t>At</w:t>
      </w:r>
      <w:r>
        <w:rPr>
          <w:spacing w:val="-9"/>
        </w:rPr>
        <w:t xml:space="preserve"> </w:t>
      </w:r>
      <w:r>
        <w:t>that</w:t>
      </w:r>
      <w:r>
        <w:rPr>
          <w:spacing w:val="-9"/>
        </w:rPr>
        <w:t xml:space="preserve"> </w:t>
      </w:r>
      <w:r>
        <w:t>time,</w:t>
      </w:r>
      <w:r>
        <w:rPr>
          <w:spacing w:val="-10"/>
        </w:rPr>
        <w:t xml:space="preserve"> </w:t>
      </w:r>
      <w:r w:rsidR="00E16FAE">
        <w:t>the Canberra Liberals</w:t>
      </w:r>
      <w:r>
        <w:rPr>
          <w:spacing w:val="-10"/>
        </w:rPr>
        <w:t xml:space="preserve"> </w:t>
      </w:r>
      <w:r>
        <w:t>warned</w:t>
      </w:r>
      <w:r>
        <w:rPr>
          <w:spacing w:val="-10"/>
        </w:rPr>
        <w:t xml:space="preserve"> </w:t>
      </w:r>
      <w:r>
        <w:t>that,</w:t>
      </w:r>
      <w:r>
        <w:rPr>
          <w:spacing w:val="-9"/>
        </w:rPr>
        <w:t xml:space="preserve"> </w:t>
      </w:r>
      <w:r>
        <w:t>without</w:t>
      </w:r>
      <w:r>
        <w:rPr>
          <w:spacing w:val="-11"/>
        </w:rPr>
        <w:t xml:space="preserve"> </w:t>
      </w:r>
      <w:r>
        <w:t>similar</w:t>
      </w:r>
      <w:r>
        <w:rPr>
          <w:spacing w:val="-9"/>
        </w:rPr>
        <w:t xml:space="preserve"> </w:t>
      </w:r>
      <w:r>
        <w:t xml:space="preserve">legislation in the ACT, the disparity would create </w:t>
      </w:r>
      <w:r w:rsidR="0072750F">
        <w:t>a situation</w:t>
      </w:r>
      <w:r>
        <w:t xml:space="preserve"> which would attract OMCG members and see an increase in associated criminal activity.</w:t>
      </w:r>
    </w:p>
    <w:p w14:paraId="75DE6D87" w14:textId="22502182" w:rsidR="00515AF8" w:rsidRDefault="004604C4" w:rsidP="004C56B4">
      <w:pPr>
        <w:pStyle w:val="BodyText"/>
        <w:spacing w:after="240"/>
        <w:ind w:right="49"/>
      </w:pPr>
      <w:r>
        <w:t>That</w:t>
      </w:r>
      <w:r>
        <w:rPr>
          <w:spacing w:val="-13"/>
        </w:rPr>
        <w:t xml:space="preserve"> </w:t>
      </w:r>
      <w:r>
        <w:t>is</w:t>
      </w:r>
      <w:r>
        <w:rPr>
          <w:spacing w:val="-12"/>
        </w:rPr>
        <w:t xml:space="preserve"> </w:t>
      </w:r>
      <w:r>
        <w:t>precisely</w:t>
      </w:r>
      <w:r>
        <w:rPr>
          <w:spacing w:val="-12"/>
        </w:rPr>
        <w:t xml:space="preserve"> </w:t>
      </w:r>
      <w:r>
        <w:t>what</w:t>
      </w:r>
      <w:r>
        <w:rPr>
          <w:spacing w:val="-12"/>
        </w:rPr>
        <w:t xml:space="preserve"> </w:t>
      </w:r>
      <w:r>
        <w:t>has</w:t>
      </w:r>
      <w:r>
        <w:rPr>
          <w:spacing w:val="-12"/>
        </w:rPr>
        <w:t xml:space="preserve"> </w:t>
      </w:r>
      <w:r>
        <w:t>occurred.</w:t>
      </w:r>
      <w:r>
        <w:rPr>
          <w:spacing w:val="-12"/>
        </w:rPr>
        <w:t xml:space="preserve"> </w:t>
      </w:r>
      <w:r>
        <w:t>Where</w:t>
      </w:r>
      <w:r>
        <w:rPr>
          <w:spacing w:val="-11"/>
        </w:rPr>
        <w:t xml:space="preserve"> </w:t>
      </w:r>
      <w:r>
        <w:t>there</w:t>
      </w:r>
      <w:r>
        <w:rPr>
          <w:spacing w:val="-12"/>
        </w:rPr>
        <w:t xml:space="preserve"> </w:t>
      </w:r>
      <w:r>
        <w:t>was</w:t>
      </w:r>
      <w:r>
        <w:rPr>
          <w:spacing w:val="-12"/>
        </w:rPr>
        <w:t xml:space="preserve"> </w:t>
      </w:r>
      <w:r>
        <w:t>once</w:t>
      </w:r>
      <w:r>
        <w:rPr>
          <w:spacing w:val="-12"/>
        </w:rPr>
        <w:t xml:space="preserve"> </w:t>
      </w:r>
      <w:r>
        <w:t>a</w:t>
      </w:r>
      <w:r>
        <w:rPr>
          <w:spacing w:val="-11"/>
        </w:rPr>
        <w:t xml:space="preserve"> </w:t>
      </w:r>
      <w:r>
        <w:t>single</w:t>
      </w:r>
      <w:r>
        <w:rPr>
          <w:spacing w:val="-12"/>
        </w:rPr>
        <w:t xml:space="preserve"> </w:t>
      </w:r>
      <w:r>
        <w:t>OMCG</w:t>
      </w:r>
      <w:r>
        <w:rPr>
          <w:spacing w:val="-13"/>
        </w:rPr>
        <w:t xml:space="preserve"> </w:t>
      </w:r>
      <w:r>
        <w:t>operating</w:t>
      </w:r>
      <w:r>
        <w:rPr>
          <w:spacing w:val="-11"/>
        </w:rPr>
        <w:t xml:space="preserve"> </w:t>
      </w:r>
      <w:r>
        <w:t>in</w:t>
      </w:r>
      <w:r>
        <w:rPr>
          <w:spacing w:val="-12"/>
        </w:rPr>
        <w:t xml:space="preserve"> </w:t>
      </w:r>
      <w:r>
        <w:t>the</w:t>
      </w:r>
      <w:r>
        <w:rPr>
          <w:spacing w:val="-12"/>
        </w:rPr>
        <w:t xml:space="preserve"> </w:t>
      </w:r>
      <w:r>
        <w:t xml:space="preserve">ACT, there are now at least </w:t>
      </w:r>
      <w:r w:rsidR="001020BD">
        <w:t>five</w:t>
      </w:r>
      <w:r>
        <w:t xml:space="preserve">, </w:t>
      </w:r>
      <w:r w:rsidR="00E16FAE">
        <w:t xml:space="preserve">with the </w:t>
      </w:r>
      <w:r w:rsidR="00B336D1">
        <w:t xml:space="preserve">then </w:t>
      </w:r>
      <w:r w:rsidR="00E16FAE">
        <w:t xml:space="preserve">ACT Chief Police Officer </w:t>
      </w:r>
      <w:r w:rsidR="00B336D1">
        <w:t xml:space="preserve">(CPO) </w:t>
      </w:r>
      <w:r w:rsidR="00E16FAE">
        <w:t>raising concerns about their presence in annual report hearings in 2023</w:t>
      </w:r>
      <w:r w:rsidR="001020BD">
        <w:t>, and the current ACT CPO again raising concerns in 2026</w:t>
      </w:r>
      <w:r w:rsidR="004C56B4">
        <w:t>.</w:t>
      </w:r>
    </w:p>
    <w:p w14:paraId="3B66A391" w14:textId="404BB164" w:rsidR="00DE0C4A" w:rsidRDefault="00DE0C4A" w:rsidP="004C56B4">
      <w:pPr>
        <w:pStyle w:val="BodyText"/>
        <w:spacing w:after="240"/>
        <w:ind w:right="49"/>
      </w:pPr>
      <w:r w:rsidRPr="00DE0C4A">
        <w:t xml:space="preserve">In recent months, ACT police have expressed concern about the tendency of OMCGs to adapt their strategies to avoid breaching changing laws, noting that OMCG members are increasingly meeting in public areas, without wearing their OMCG </w:t>
      </w:r>
      <w:proofErr w:type="spellStart"/>
      <w:r w:rsidRPr="00DE0C4A">
        <w:t>colours</w:t>
      </w:r>
      <w:proofErr w:type="spellEnd"/>
      <w:r w:rsidRPr="00DE0C4A">
        <w:t>.</w:t>
      </w:r>
    </w:p>
    <w:p w14:paraId="38E73624" w14:textId="7FA6F20F" w:rsidR="00E16FAE" w:rsidRDefault="00E16FAE" w:rsidP="004C56B4">
      <w:pPr>
        <w:pStyle w:val="BodyText"/>
        <w:spacing w:after="240"/>
        <w:ind w:right="77"/>
      </w:pPr>
      <w:r w:rsidRPr="00E16FAE">
        <w:t xml:space="preserve">OMCGs have been assessed as the largest and most </w:t>
      </w:r>
      <w:r w:rsidR="002B75F7" w:rsidRPr="00E16FAE">
        <w:t>serious, organised</w:t>
      </w:r>
      <w:r w:rsidRPr="00E16FAE">
        <w:t xml:space="preserve"> crime element impacting the country, with access to onshore and offshore networks, and they play a major role in the trafficking and storage of illicit drugs and firearms.</w:t>
      </w:r>
    </w:p>
    <w:p w14:paraId="569BBF12" w14:textId="7BC2311A" w:rsidR="00E16FAE" w:rsidRDefault="00E16FAE" w:rsidP="004C56B4">
      <w:pPr>
        <w:pStyle w:val="BodyText"/>
        <w:spacing w:after="240"/>
      </w:pPr>
      <w:r>
        <w:t xml:space="preserve">The </w:t>
      </w:r>
      <w:r w:rsidR="001020BD">
        <w:t>five</w:t>
      </w:r>
      <w:r>
        <w:t xml:space="preserve"> OMCGs currently in the ACT are </w:t>
      </w:r>
      <w:r w:rsidRPr="00E16FAE">
        <w:t>the</w:t>
      </w:r>
      <w:r w:rsidR="001020BD">
        <w:t xml:space="preserve"> Bandidos, the</w:t>
      </w:r>
      <w:r w:rsidRPr="00E16FAE">
        <w:t xml:space="preserve"> Comancheros, the Rebels, the Finks and Hell’s Angels</w:t>
      </w:r>
      <w:r>
        <w:t>.</w:t>
      </w:r>
    </w:p>
    <w:p w14:paraId="0B68049D" w14:textId="3AF8C6BA" w:rsidR="00E16FAE" w:rsidRDefault="00AF50D6" w:rsidP="004C56B4">
      <w:pPr>
        <w:pStyle w:val="BodyText"/>
        <w:spacing w:after="240"/>
      </w:pPr>
      <w:r>
        <w:t xml:space="preserve">ACT Policing have indicated </w:t>
      </w:r>
      <w:r w:rsidR="002B75F7">
        <w:t>that gangs</w:t>
      </w:r>
      <w:r w:rsidR="00E16FAE">
        <w:t xml:space="preserve"> tend to attract people who ha</w:t>
      </w:r>
      <w:r>
        <w:t>ve</w:t>
      </w:r>
      <w:r w:rsidR="00E16FAE">
        <w:t xml:space="preserve"> a high propensity to violence and that Australia had generally seen an increase in offending involving OMCGs</w:t>
      </w:r>
      <w:r w:rsidR="00C211CC">
        <w:t>.</w:t>
      </w:r>
    </w:p>
    <w:p w14:paraId="23723ADF" w14:textId="5661AFAB" w:rsidR="00B336D1" w:rsidRDefault="00865AD6" w:rsidP="004C56B4">
      <w:pPr>
        <w:pStyle w:val="BodyText"/>
        <w:spacing w:before="120" w:after="240"/>
        <w:ind w:right="105"/>
      </w:pPr>
      <w:r>
        <w:t>Preventing violence associated with the presence of outlaw motorcycle gangs has be</w:t>
      </w:r>
      <w:r w:rsidR="001715DB">
        <w:t>e</w:t>
      </w:r>
      <w:r>
        <w:t xml:space="preserve">n a major focus for ACT policing in recent years. In 2023, </w:t>
      </w:r>
      <w:r w:rsidR="002B75F7">
        <w:t>the</w:t>
      </w:r>
      <w:r>
        <w:t xml:space="preserve"> </w:t>
      </w:r>
      <w:r w:rsidR="002B75F7">
        <w:t xml:space="preserve">then </w:t>
      </w:r>
      <w:r>
        <w:t>CPO</w:t>
      </w:r>
      <w:r w:rsidR="006F6AB9">
        <w:t xml:space="preserve"> explained that the ACT was attractive to organi</w:t>
      </w:r>
      <w:r w:rsidR="00AF50D6">
        <w:t>s</w:t>
      </w:r>
      <w:r w:rsidR="006F6AB9">
        <w:t>ed criminal syndicates because of its proximity to Sydney and Melbourne, as well as its difference</w:t>
      </w:r>
      <w:r>
        <w:t xml:space="preserve"> in</w:t>
      </w:r>
      <w:r w:rsidR="006F6AB9">
        <w:t xml:space="preserve"> OMCG and drug laws.</w:t>
      </w:r>
    </w:p>
    <w:p w14:paraId="56544C14" w14:textId="45E6D64D" w:rsidR="008474FB" w:rsidRDefault="008474FB" w:rsidP="004C56B4">
      <w:pPr>
        <w:pStyle w:val="BodyText"/>
        <w:spacing w:before="120" w:after="120"/>
        <w:rPr>
          <w:lang w:val="en-AU"/>
        </w:rPr>
      </w:pPr>
      <w:r w:rsidRPr="008474FB">
        <w:rPr>
          <w:lang w:val="en-AU"/>
        </w:rPr>
        <w:t>In</w:t>
      </w:r>
      <w:r>
        <w:rPr>
          <w:lang w:val="en-AU"/>
        </w:rPr>
        <w:t xml:space="preserve"> September</w:t>
      </w:r>
      <w:r w:rsidRPr="008474FB">
        <w:rPr>
          <w:lang w:val="en-AU"/>
        </w:rPr>
        <w:t xml:space="preserve"> 2026, the CPO </w:t>
      </w:r>
      <w:r w:rsidR="00D3306A">
        <w:rPr>
          <w:lang w:val="en-AU"/>
        </w:rPr>
        <w:t xml:space="preserve">further </w:t>
      </w:r>
      <w:r w:rsidRPr="008474FB">
        <w:rPr>
          <w:lang w:val="en-AU"/>
        </w:rPr>
        <w:t xml:space="preserve">indicated </w:t>
      </w:r>
      <w:r w:rsidR="00AF50D6">
        <w:rPr>
          <w:lang w:val="en-AU"/>
        </w:rPr>
        <w:t xml:space="preserve">express </w:t>
      </w:r>
      <w:r w:rsidRPr="008474FB">
        <w:rPr>
          <w:lang w:val="en-AU"/>
        </w:rPr>
        <w:t>support for anti-consorting legislation in the ACT</w:t>
      </w:r>
      <w:r>
        <w:rPr>
          <w:lang w:val="en-AU"/>
        </w:rPr>
        <w:t xml:space="preserve">, stating: </w:t>
      </w:r>
    </w:p>
    <w:p w14:paraId="15A1C298" w14:textId="77777777" w:rsidR="004C56B4" w:rsidRDefault="00865AD6" w:rsidP="004C56B4">
      <w:pPr>
        <w:pStyle w:val="BodyText"/>
        <w:spacing w:after="120"/>
        <w:rPr>
          <w:i/>
          <w:iCs/>
          <w:lang w:val="en-AU"/>
        </w:rPr>
      </w:pPr>
      <w:r w:rsidRPr="00B12330">
        <w:rPr>
          <w:i/>
          <w:iCs/>
          <w:lang w:val="en-AU"/>
        </w:rPr>
        <w:t>“We support that legislation.</w:t>
      </w:r>
      <w:r w:rsidR="00D3306A" w:rsidRPr="00B12330">
        <w:rPr>
          <w:i/>
          <w:iCs/>
          <w:lang w:val="en-AU"/>
        </w:rPr>
        <w:t>”</w:t>
      </w:r>
    </w:p>
    <w:p w14:paraId="428AE134" w14:textId="79B303D4" w:rsidR="00865AD6" w:rsidRPr="00B12330" w:rsidRDefault="00D3306A" w:rsidP="004C56B4">
      <w:pPr>
        <w:pStyle w:val="BodyText"/>
        <w:spacing w:before="120"/>
        <w:rPr>
          <w:i/>
          <w:iCs/>
          <w:lang w:val="en-AU"/>
        </w:rPr>
      </w:pPr>
      <w:r w:rsidRPr="00B12330">
        <w:rPr>
          <w:i/>
          <w:iCs/>
          <w:lang w:val="en-AU"/>
        </w:rPr>
        <w:t>“</w:t>
      </w:r>
      <w:r w:rsidR="00865AD6" w:rsidRPr="00B12330">
        <w:rPr>
          <w:i/>
          <w:iCs/>
          <w:lang w:val="en-AU"/>
        </w:rPr>
        <w:t>We’ve seen the benefits of it in other jurisdictions where it has an ability to disrupt associations, or certainly overt associations, and the ability for these people to gather.”</w:t>
      </w:r>
    </w:p>
    <w:p w14:paraId="78FF0DD0" w14:textId="09B9B636" w:rsidR="00B336D1" w:rsidRDefault="00B336D1" w:rsidP="00633015">
      <w:pPr>
        <w:pStyle w:val="BodyText"/>
        <w:spacing w:before="1"/>
      </w:pPr>
    </w:p>
    <w:p w14:paraId="6F40E0E4" w14:textId="2492B1C0" w:rsidR="00515AF8" w:rsidRDefault="004604C4" w:rsidP="004C56B4">
      <w:pPr>
        <w:pStyle w:val="BodyText"/>
        <w:spacing w:after="240"/>
      </w:pPr>
      <w:r>
        <w:t xml:space="preserve">Canberra remains an oasis for OMCG activity due to the differences in the laws between the two </w:t>
      </w:r>
      <w:r>
        <w:rPr>
          <w:spacing w:val="-2"/>
        </w:rPr>
        <w:t>jurisdictions.</w:t>
      </w:r>
    </w:p>
    <w:p w14:paraId="3F90F16D" w14:textId="770AF41C" w:rsidR="00B336D1" w:rsidRDefault="004604C4" w:rsidP="004C56B4">
      <w:pPr>
        <w:pStyle w:val="Heading1"/>
        <w:spacing w:after="120"/>
        <w:ind w:left="0"/>
      </w:pPr>
      <w:r>
        <w:t>Overview</w:t>
      </w:r>
      <w:r>
        <w:rPr>
          <w:spacing w:val="-4"/>
        </w:rPr>
        <w:t xml:space="preserve"> </w:t>
      </w:r>
      <w:r>
        <w:t>of</w:t>
      </w:r>
      <w:r>
        <w:rPr>
          <w:spacing w:val="-4"/>
        </w:rPr>
        <w:t xml:space="preserve"> </w:t>
      </w:r>
      <w:r>
        <w:t>the</w:t>
      </w:r>
      <w:r>
        <w:rPr>
          <w:spacing w:val="-4"/>
        </w:rPr>
        <w:t xml:space="preserve"> </w:t>
      </w:r>
      <w:r>
        <w:rPr>
          <w:spacing w:val="-2"/>
        </w:rPr>
        <w:t>legislation</w:t>
      </w:r>
    </w:p>
    <w:p w14:paraId="1E1BF8ED" w14:textId="2AB9DBBB" w:rsidR="00515AF8" w:rsidRDefault="004604C4" w:rsidP="004C56B4">
      <w:pPr>
        <w:pStyle w:val="BodyText"/>
        <w:spacing w:after="240"/>
      </w:pPr>
      <w:r>
        <w:t xml:space="preserve">The </w:t>
      </w:r>
      <w:r>
        <w:rPr>
          <w:i/>
        </w:rPr>
        <w:t>Crimes (Anti-Consorting) Amendment Bill 20</w:t>
      </w:r>
      <w:r w:rsidR="0072750F">
        <w:rPr>
          <w:i/>
        </w:rPr>
        <w:t>2</w:t>
      </w:r>
      <w:r w:rsidR="00D3306A">
        <w:rPr>
          <w:i/>
        </w:rPr>
        <w:t>6</w:t>
      </w:r>
      <w:r>
        <w:rPr>
          <w:i/>
        </w:rPr>
        <w:t xml:space="preserve"> </w:t>
      </w:r>
      <w:r>
        <w:t xml:space="preserve">(the Bill) responds to community concerns </w:t>
      </w:r>
      <w:r w:rsidR="00845632">
        <w:t>and seeks to prevent certain ‘habitual’ consorting between defined persons.</w:t>
      </w:r>
    </w:p>
    <w:p w14:paraId="7A510960" w14:textId="77777777" w:rsidR="003E0882" w:rsidRDefault="00845632" w:rsidP="004C56B4">
      <w:pPr>
        <w:pStyle w:val="BodyText"/>
        <w:spacing w:after="120"/>
        <w:rPr>
          <w:spacing w:val="-7"/>
        </w:rPr>
      </w:pPr>
      <w:r>
        <w:t xml:space="preserve">The amendments </w:t>
      </w:r>
      <w:r w:rsidR="004604C4">
        <w:t>will</w:t>
      </w:r>
      <w:r w:rsidR="003E0882">
        <w:t>:</w:t>
      </w:r>
      <w:r w:rsidR="004604C4">
        <w:rPr>
          <w:spacing w:val="-7"/>
        </w:rPr>
        <w:t xml:space="preserve"> </w:t>
      </w:r>
    </w:p>
    <w:p w14:paraId="2F712225" w14:textId="372F6BA0" w:rsidR="003E0882" w:rsidRDefault="003E0882" w:rsidP="004C56B4">
      <w:pPr>
        <w:pStyle w:val="BodyText"/>
        <w:numPr>
          <w:ilvl w:val="0"/>
          <w:numId w:val="1"/>
        </w:numPr>
        <w:ind w:left="426"/>
      </w:pPr>
      <w:r>
        <w:t>O</w:t>
      </w:r>
      <w:r w:rsidR="004604C4">
        <w:t>nly</w:t>
      </w:r>
      <w:r w:rsidR="004604C4">
        <w:rPr>
          <w:spacing w:val="-6"/>
        </w:rPr>
        <w:t xml:space="preserve"> </w:t>
      </w:r>
      <w:r w:rsidR="004604C4">
        <w:t xml:space="preserve">affect consorting with persons already convicted of criminal </w:t>
      </w:r>
      <w:r w:rsidR="0072750F">
        <w:t>behavior</w:t>
      </w:r>
      <w:r>
        <w:t>;</w:t>
      </w:r>
    </w:p>
    <w:p w14:paraId="7F9D6C00" w14:textId="0351ECF5" w:rsidR="003E0882" w:rsidRDefault="003E0882" w:rsidP="004C56B4">
      <w:pPr>
        <w:pStyle w:val="BodyText"/>
        <w:numPr>
          <w:ilvl w:val="0"/>
          <w:numId w:val="1"/>
        </w:numPr>
        <w:ind w:left="426"/>
      </w:pPr>
      <w:r>
        <w:t>O</w:t>
      </w:r>
      <w:r w:rsidR="004604C4">
        <w:t>nly apply once an official warning has been issued</w:t>
      </w:r>
      <w:r>
        <w:t>;</w:t>
      </w:r>
      <w:r w:rsidR="004604C4">
        <w:t xml:space="preserve"> </w:t>
      </w:r>
    </w:p>
    <w:p w14:paraId="399D3FD3" w14:textId="796BF03D" w:rsidR="003E0882" w:rsidRDefault="003E0882" w:rsidP="004C56B4">
      <w:pPr>
        <w:pStyle w:val="BodyText"/>
        <w:numPr>
          <w:ilvl w:val="0"/>
          <w:numId w:val="1"/>
        </w:numPr>
        <w:ind w:left="426"/>
      </w:pPr>
      <w:r>
        <w:t>O</w:t>
      </w:r>
      <w:r w:rsidR="004604C4">
        <w:t>nly apply outside</w:t>
      </w:r>
      <w:r w:rsidR="004035EE">
        <w:t xml:space="preserve"> of</w:t>
      </w:r>
      <w:r w:rsidR="004604C4">
        <w:t xml:space="preserve"> legitimate </w:t>
      </w:r>
      <w:proofErr w:type="spellStart"/>
      <w:r w:rsidR="004604C4">
        <w:t>purposes</w:t>
      </w:r>
      <w:r>
        <w:t>;</w:t>
      </w:r>
      <w:r w:rsidR="004604C4">
        <w:t>and</w:t>
      </w:r>
      <w:proofErr w:type="spellEnd"/>
      <w:r w:rsidR="004604C4">
        <w:t xml:space="preserve"> </w:t>
      </w:r>
    </w:p>
    <w:p w14:paraId="108430E7" w14:textId="3CEC4A2C" w:rsidR="00515AF8" w:rsidRDefault="003E0882" w:rsidP="004C56B4">
      <w:pPr>
        <w:pStyle w:val="BodyText"/>
        <w:numPr>
          <w:ilvl w:val="0"/>
          <w:numId w:val="1"/>
        </w:numPr>
        <w:spacing w:after="240"/>
        <w:ind w:left="426"/>
      </w:pPr>
      <w:r>
        <w:t>O</w:t>
      </w:r>
      <w:r w:rsidR="004604C4">
        <w:t>nly</w:t>
      </w:r>
      <w:r>
        <w:t xml:space="preserve"> apply</w:t>
      </w:r>
      <w:r w:rsidR="004604C4">
        <w:t xml:space="preserve"> for a limited time.</w:t>
      </w:r>
    </w:p>
    <w:p w14:paraId="62DF1697" w14:textId="4FE6571F" w:rsidR="00515AF8" w:rsidRDefault="004604C4" w:rsidP="004C56B4">
      <w:pPr>
        <w:pStyle w:val="BodyText"/>
        <w:spacing w:after="240"/>
      </w:pPr>
      <w:r>
        <w:t>Once an official warning is received, it will be an offence to consort, by any means, with the convicted offender. The intention is to prevent and de-escalate the acts of violence and retribution currently being seen in the community, and to ensure the community can enjoy peace and freedom from violence and intimidating conduct.</w:t>
      </w:r>
    </w:p>
    <w:p w14:paraId="0BF72CD5" w14:textId="0877AEBE" w:rsidR="004C56B4" w:rsidRDefault="00845632" w:rsidP="004C56B4">
      <w:pPr>
        <w:pStyle w:val="Heading1"/>
        <w:spacing w:after="240"/>
        <w:ind w:left="0"/>
        <w:rPr>
          <w:b w:val="0"/>
          <w:bCs w:val="0"/>
        </w:rPr>
      </w:pPr>
      <w:r w:rsidRPr="004C56B4">
        <w:rPr>
          <w:b w:val="0"/>
          <w:bCs w:val="0"/>
        </w:rPr>
        <w:t>The</w:t>
      </w:r>
      <w:r w:rsidRPr="004C56B4">
        <w:rPr>
          <w:b w:val="0"/>
          <w:bCs w:val="0"/>
          <w:spacing w:val="-5"/>
        </w:rPr>
        <w:t xml:space="preserve"> </w:t>
      </w:r>
      <w:r w:rsidRPr="004C56B4">
        <w:rPr>
          <w:b w:val="0"/>
          <w:bCs w:val="0"/>
        </w:rPr>
        <w:t>Bill</w:t>
      </w:r>
      <w:r w:rsidRPr="004C56B4">
        <w:rPr>
          <w:b w:val="0"/>
          <w:bCs w:val="0"/>
          <w:spacing w:val="-5"/>
        </w:rPr>
        <w:t xml:space="preserve"> </w:t>
      </w:r>
      <w:r w:rsidRPr="004C56B4">
        <w:rPr>
          <w:b w:val="0"/>
          <w:bCs w:val="0"/>
        </w:rPr>
        <w:t>seeks</w:t>
      </w:r>
      <w:r w:rsidRPr="004C56B4">
        <w:rPr>
          <w:b w:val="0"/>
          <w:bCs w:val="0"/>
          <w:spacing w:val="-6"/>
        </w:rPr>
        <w:t xml:space="preserve"> </w:t>
      </w:r>
      <w:r w:rsidRPr="004C56B4">
        <w:rPr>
          <w:b w:val="0"/>
          <w:bCs w:val="0"/>
        </w:rPr>
        <w:t>to</w:t>
      </w:r>
      <w:r w:rsidRPr="004C56B4">
        <w:rPr>
          <w:b w:val="0"/>
          <w:bCs w:val="0"/>
          <w:spacing w:val="-6"/>
        </w:rPr>
        <w:t xml:space="preserve"> </w:t>
      </w:r>
      <w:r w:rsidRPr="004C56B4">
        <w:rPr>
          <w:b w:val="0"/>
          <w:bCs w:val="0"/>
        </w:rPr>
        <w:t>protect</w:t>
      </w:r>
      <w:r w:rsidRPr="004C56B4">
        <w:rPr>
          <w:b w:val="0"/>
          <w:bCs w:val="0"/>
          <w:spacing w:val="-6"/>
        </w:rPr>
        <w:t xml:space="preserve"> </w:t>
      </w:r>
      <w:r w:rsidRPr="004C56B4">
        <w:rPr>
          <w:b w:val="0"/>
          <w:bCs w:val="0"/>
        </w:rPr>
        <w:t>the</w:t>
      </w:r>
      <w:r w:rsidRPr="004C56B4">
        <w:rPr>
          <w:b w:val="0"/>
          <w:bCs w:val="0"/>
          <w:spacing w:val="-5"/>
        </w:rPr>
        <w:t xml:space="preserve"> </w:t>
      </w:r>
      <w:r w:rsidRPr="004C56B4">
        <w:rPr>
          <w:b w:val="0"/>
          <w:bCs w:val="0"/>
        </w:rPr>
        <w:t>public’s</w:t>
      </w:r>
      <w:r w:rsidRPr="004C56B4">
        <w:rPr>
          <w:b w:val="0"/>
          <w:bCs w:val="0"/>
          <w:spacing w:val="-6"/>
        </w:rPr>
        <w:t xml:space="preserve"> </w:t>
      </w:r>
      <w:r w:rsidRPr="004C56B4">
        <w:rPr>
          <w:b w:val="0"/>
          <w:bCs w:val="0"/>
        </w:rPr>
        <w:t>right</w:t>
      </w:r>
      <w:r w:rsidR="004035EE" w:rsidRPr="004C56B4">
        <w:rPr>
          <w:b w:val="0"/>
          <w:bCs w:val="0"/>
        </w:rPr>
        <w:t>s</w:t>
      </w:r>
      <w:r w:rsidRPr="004C56B4">
        <w:rPr>
          <w:b w:val="0"/>
          <w:bCs w:val="0"/>
        </w:rPr>
        <w:t>,</w:t>
      </w:r>
      <w:r w:rsidRPr="004C56B4">
        <w:rPr>
          <w:b w:val="0"/>
          <w:bCs w:val="0"/>
          <w:spacing w:val="-5"/>
        </w:rPr>
        <w:t xml:space="preserve"> </w:t>
      </w:r>
      <w:r w:rsidRPr="004C56B4">
        <w:rPr>
          <w:b w:val="0"/>
          <w:bCs w:val="0"/>
        </w:rPr>
        <w:t>particularly</w:t>
      </w:r>
      <w:r w:rsidRPr="004C56B4">
        <w:rPr>
          <w:b w:val="0"/>
          <w:bCs w:val="0"/>
          <w:spacing w:val="-4"/>
        </w:rPr>
        <w:t xml:space="preserve"> </w:t>
      </w:r>
      <w:r w:rsidRPr="004C56B4">
        <w:rPr>
          <w:b w:val="0"/>
          <w:bCs w:val="0"/>
        </w:rPr>
        <w:t>the</w:t>
      </w:r>
      <w:r w:rsidRPr="004C56B4">
        <w:rPr>
          <w:b w:val="0"/>
          <w:bCs w:val="0"/>
          <w:spacing w:val="-5"/>
        </w:rPr>
        <w:t xml:space="preserve"> </w:t>
      </w:r>
      <w:r w:rsidRPr="004C56B4">
        <w:rPr>
          <w:b w:val="0"/>
          <w:bCs w:val="0"/>
        </w:rPr>
        <w:t>right</w:t>
      </w:r>
      <w:r w:rsidRPr="004C56B4">
        <w:rPr>
          <w:b w:val="0"/>
          <w:bCs w:val="0"/>
          <w:spacing w:val="-5"/>
        </w:rPr>
        <w:t xml:space="preserve"> </w:t>
      </w:r>
      <w:r w:rsidRPr="004C56B4">
        <w:rPr>
          <w:b w:val="0"/>
          <w:bCs w:val="0"/>
        </w:rPr>
        <w:t>to</w:t>
      </w:r>
      <w:r w:rsidRPr="004C56B4">
        <w:rPr>
          <w:b w:val="0"/>
          <w:bCs w:val="0"/>
          <w:spacing w:val="-6"/>
        </w:rPr>
        <w:t xml:space="preserve"> </w:t>
      </w:r>
      <w:r w:rsidRPr="004C56B4">
        <w:rPr>
          <w:b w:val="0"/>
          <w:bCs w:val="0"/>
        </w:rPr>
        <w:t>life</w:t>
      </w:r>
      <w:r w:rsidR="000E7BEA">
        <w:rPr>
          <w:b w:val="0"/>
          <w:bCs w:val="0"/>
        </w:rPr>
        <w:t>, liberty</w:t>
      </w:r>
      <w:r w:rsidRPr="004C56B4">
        <w:rPr>
          <w:b w:val="0"/>
          <w:bCs w:val="0"/>
          <w:spacing w:val="-5"/>
        </w:rPr>
        <w:t xml:space="preserve"> </w:t>
      </w:r>
      <w:r w:rsidRPr="004C56B4">
        <w:rPr>
          <w:b w:val="0"/>
          <w:bCs w:val="0"/>
        </w:rPr>
        <w:t>and</w:t>
      </w:r>
      <w:r w:rsidRPr="004C56B4">
        <w:rPr>
          <w:b w:val="0"/>
          <w:bCs w:val="0"/>
          <w:spacing w:val="-5"/>
        </w:rPr>
        <w:t xml:space="preserve"> </w:t>
      </w:r>
      <w:r w:rsidRPr="004C56B4">
        <w:rPr>
          <w:b w:val="0"/>
          <w:bCs w:val="0"/>
        </w:rPr>
        <w:t>security</w:t>
      </w:r>
      <w:r w:rsidRPr="004C56B4">
        <w:rPr>
          <w:b w:val="0"/>
          <w:bCs w:val="0"/>
          <w:spacing w:val="-5"/>
        </w:rPr>
        <w:t xml:space="preserve"> </w:t>
      </w:r>
      <w:r w:rsidRPr="004C56B4">
        <w:rPr>
          <w:b w:val="0"/>
          <w:bCs w:val="0"/>
        </w:rPr>
        <w:t>of</w:t>
      </w:r>
      <w:r w:rsidRPr="004C56B4">
        <w:rPr>
          <w:b w:val="0"/>
          <w:bCs w:val="0"/>
          <w:spacing w:val="-6"/>
        </w:rPr>
        <w:t xml:space="preserve"> </w:t>
      </w:r>
      <w:r w:rsidRPr="004C56B4">
        <w:rPr>
          <w:b w:val="0"/>
          <w:bCs w:val="0"/>
        </w:rPr>
        <w:t>person.  It has strict limitations and specific exclusions</w:t>
      </w:r>
      <w:r w:rsidR="004C56B4">
        <w:rPr>
          <w:b w:val="0"/>
          <w:bCs w:val="0"/>
        </w:rPr>
        <w:t xml:space="preserve">. </w:t>
      </w:r>
    </w:p>
    <w:p w14:paraId="0C83FA8A" w14:textId="176800E6" w:rsidR="00515AF8" w:rsidRPr="004C56B4" w:rsidRDefault="004604C4" w:rsidP="00AC5D8A">
      <w:pPr>
        <w:pStyle w:val="Heading1"/>
        <w:spacing w:after="120"/>
        <w:ind w:left="0"/>
      </w:pPr>
      <w:r w:rsidRPr="004C56B4">
        <w:t>Human</w:t>
      </w:r>
      <w:r w:rsidRPr="004C56B4">
        <w:rPr>
          <w:spacing w:val="-2"/>
        </w:rPr>
        <w:t xml:space="preserve"> rights</w:t>
      </w:r>
    </w:p>
    <w:p w14:paraId="5486D70A" w14:textId="783D6B1A" w:rsidR="00DF7D2F" w:rsidRPr="004C56B4" w:rsidRDefault="00DF7D2F" w:rsidP="004C56B4">
      <w:pPr>
        <w:pStyle w:val="BodyText"/>
        <w:spacing w:after="240"/>
        <w:rPr>
          <w:bCs/>
        </w:rPr>
      </w:pPr>
      <w:r>
        <w:rPr>
          <w:bCs/>
        </w:rPr>
        <w:t>The Bill’s consistency with the Human Rights Act 2004 (ACT) is considered</w:t>
      </w:r>
      <w:r w:rsidR="00AC5D8A">
        <w:rPr>
          <w:bCs/>
        </w:rPr>
        <w:t xml:space="preserve"> in detail </w:t>
      </w:r>
      <w:r>
        <w:rPr>
          <w:bCs/>
        </w:rPr>
        <w:t>below.</w:t>
      </w:r>
    </w:p>
    <w:p w14:paraId="2866A54C" w14:textId="6742AFD1" w:rsidR="002328D0" w:rsidRDefault="002634BD" w:rsidP="004C56B4">
      <w:pPr>
        <w:pStyle w:val="BodyText"/>
        <w:spacing w:after="240"/>
      </w:pPr>
      <w:r>
        <w:t xml:space="preserve">The Bill takes steps to preserve </w:t>
      </w:r>
      <w:r w:rsidR="002328D0">
        <w:t>fundamental</w:t>
      </w:r>
      <w:r>
        <w:t xml:space="preserve"> human rights which are foundational to the ability of members of the community to live peacefully and safely participate in community life. The</w:t>
      </w:r>
      <w:r w:rsidR="002328D0">
        <w:t xml:space="preserve"> measures contemplated by the Bill preserve the r</w:t>
      </w:r>
      <w:r>
        <w:t>ight to life (</w:t>
      </w:r>
      <w:r w:rsidR="00DF7D2F">
        <w:t>S</w:t>
      </w:r>
      <w:r>
        <w:t>ection 9)</w:t>
      </w:r>
      <w:r w:rsidR="002328D0">
        <w:t>, the</w:t>
      </w:r>
      <w:r w:rsidR="003856EE">
        <w:t xml:space="preserve"> right to</w:t>
      </w:r>
      <w:r w:rsidR="002328D0">
        <w:t xml:space="preserve"> p</w:t>
      </w:r>
      <w:r>
        <w:t>rotection from torture and cruel, inhuman or degrading treatment (</w:t>
      </w:r>
      <w:r w:rsidR="00DF7D2F">
        <w:t>S</w:t>
      </w:r>
      <w:r>
        <w:t>ection 10)</w:t>
      </w:r>
      <w:r w:rsidR="003856EE">
        <w:t xml:space="preserve"> and the right to liberty and security of person (</w:t>
      </w:r>
      <w:r w:rsidR="00DF7D2F">
        <w:t>S</w:t>
      </w:r>
      <w:r w:rsidR="003856EE">
        <w:t>ection 18).</w:t>
      </w:r>
    </w:p>
    <w:p w14:paraId="2F33FC6B" w14:textId="045FCA02" w:rsidR="00DF7D2F" w:rsidRDefault="002328D0" w:rsidP="004C56B4">
      <w:pPr>
        <w:pStyle w:val="BodyText"/>
        <w:spacing w:after="240"/>
      </w:pPr>
      <w:r>
        <w:t xml:space="preserve">The Bill also imposes narrow limitations on </w:t>
      </w:r>
      <w:r w:rsidR="00DF7D2F">
        <w:t>other</w:t>
      </w:r>
      <w:r>
        <w:t xml:space="preserve"> rights</w:t>
      </w:r>
      <w:r w:rsidR="00DF7D2F">
        <w:t xml:space="preserve">, </w:t>
      </w:r>
      <w:r>
        <w:t>discussed further below</w:t>
      </w:r>
      <w:r w:rsidR="00AC5D8A">
        <w:t xml:space="preserve"> in detail</w:t>
      </w:r>
      <w:r>
        <w:t xml:space="preserve">. </w:t>
      </w:r>
      <w:r w:rsidR="00DF7D2F">
        <w:t>T</w:t>
      </w:r>
      <w:r w:rsidRPr="002328D0">
        <w:t>hese limitations are</w:t>
      </w:r>
      <w:r>
        <w:t xml:space="preserve"> narrow in scope</w:t>
      </w:r>
      <w:r w:rsidR="00DF7D2F">
        <w:t xml:space="preserve"> and are </w:t>
      </w:r>
      <w:r w:rsidRPr="002328D0">
        <w:t>reasonable and demonstrably justified</w:t>
      </w:r>
      <w:r w:rsidR="00AC5D8A">
        <w:t>,</w:t>
      </w:r>
      <w:r w:rsidR="00A95D36">
        <w:t xml:space="preserve"> </w:t>
      </w:r>
      <w:r w:rsidRPr="002328D0">
        <w:t>consistent with the requirements of section 28 of the HRA.</w:t>
      </w:r>
      <w:r>
        <w:t xml:space="preserve"> </w:t>
      </w:r>
    </w:p>
    <w:p w14:paraId="384A298E" w14:textId="6E9EFA35" w:rsidR="00DF7D2F" w:rsidRDefault="002B0F2F" w:rsidP="00DF7D2F">
      <w:pPr>
        <w:pStyle w:val="BodyText"/>
        <w:rPr>
          <w:iCs/>
        </w:rPr>
      </w:pPr>
      <w:r w:rsidRPr="002B0F2F">
        <w:rPr>
          <w:iCs/>
        </w:rPr>
        <w:t>The Bill is designed to protect members of the community in a manner that limits rights of some individuals to the minimum extent possible to achieve its purpose.</w:t>
      </w:r>
    </w:p>
    <w:p w14:paraId="1028FF9C" w14:textId="69D56379" w:rsidR="00DF7D2F" w:rsidRDefault="009F416E" w:rsidP="004C56B4">
      <w:pPr>
        <w:pStyle w:val="BodyText"/>
        <w:spacing w:before="120" w:after="240"/>
      </w:pPr>
      <w:r>
        <w:t>The human rights limitations largely</w:t>
      </w:r>
      <w:r w:rsidR="00AC5D8A">
        <w:t xml:space="preserve"> </w:t>
      </w:r>
      <w:r>
        <w:t>arise from the Bill providing</w:t>
      </w:r>
      <w:r w:rsidR="00DF7D2F">
        <w:t xml:space="preserve"> that, once warned, certain people will be unable to ‘habitually consort’ with identified criminal individuals.</w:t>
      </w:r>
      <w:r w:rsidR="002B0F2F" w:rsidRPr="002B0F2F">
        <w:t xml:space="preserve"> </w:t>
      </w:r>
      <w:r w:rsidR="002B0F2F">
        <w:t>The Bill only limits behaviour that amounts to</w:t>
      </w:r>
      <w:r w:rsidR="00AC5D8A">
        <w:t xml:space="preserve"> habitual consorting</w:t>
      </w:r>
      <w:r w:rsidR="002B0F2F">
        <w:t>, which is actively and repeatedly seeking out convicted criminal offenders of whom one has been warned to avoid.</w:t>
      </w:r>
    </w:p>
    <w:p w14:paraId="6FB60146" w14:textId="77B847D4" w:rsidR="00DF7D2F" w:rsidRDefault="00DF7D2F" w:rsidP="004C56B4">
      <w:pPr>
        <w:pStyle w:val="BodyText"/>
        <w:spacing w:after="240"/>
      </w:pPr>
      <w:r>
        <w:t>The extent of the limitation</w:t>
      </w:r>
      <w:r w:rsidR="009F416E">
        <w:t>s</w:t>
      </w:r>
      <w:r>
        <w:t xml:space="preserve"> created by the Bill </w:t>
      </w:r>
      <w:r w:rsidR="009F416E">
        <w:t>are</w:t>
      </w:r>
      <w:r>
        <w:t xml:space="preserve"> narrow, </w:t>
      </w:r>
      <w:r w:rsidR="009F416E">
        <w:t>because this measure</w:t>
      </w:r>
      <w:r>
        <w:t xml:space="preserve"> relates to specific people, who must have an existing criminal record, and other identified persons who are given an official warning</w:t>
      </w:r>
      <w:r>
        <w:rPr>
          <w:spacing w:val="-14"/>
        </w:rPr>
        <w:t xml:space="preserve"> </w:t>
      </w:r>
      <w:r>
        <w:t>before</w:t>
      </w:r>
      <w:r>
        <w:rPr>
          <w:spacing w:val="-14"/>
        </w:rPr>
        <w:t xml:space="preserve"> </w:t>
      </w:r>
      <w:r>
        <w:t>any</w:t>
      </w:r>
      <w:r>
        <w:rPr>
          <w:spacing w:val="-13"/>
        </w:rPr>
        <w:t xml:space="preserve"> </w:t>
      </w:r>
      <w:r>
        <w:t>offence</w:t>
      </w:r>
      <w:r>
        <w:rPr>
          <w:spacing w:val="-14"/>
        </w:rPr>
        <w:t xml:space="preserve"> </w:t>
      </w:r>
      <w:r>
        <w:t>is</w:t>
      </w:r>
      <w:r>
        <w:rPr>
          <w:spacing w:val="-13"/>
        </w:rPr>
        <w:t xml:space="preserve"> </w:t>
      </w:r>
      <w:r>
        <w:t>committed.</w:t>
      </w:r>
      <w:r>
        <w:rPr>
          <w:spacing w:val="-14"/>
        </w:rPr>
        <w:t xml:space="preserve"> </w:t>
      </w:r>
      <w:r>
        <w:t>It</w:t>
      </w:r>
      <w:r>
        <w:rPr>
          <w:spacing w:val="-13"/>
        </w:rPr>
        <w:t xml:space="preserve"> </w:t>
      </w:r>
      <w:r>
        <w:t>does</w:t>
      </w:r>
      <w:r>
        <w:rPr>
          <w:spacing w:val="-14"/>
        </w:rPr>
        <w:t xml:space="preserve"> </w:t>
      </w:r>
      <w:r>
        <w:t>not</w:t>
      </w:r>
      <w:r>
        <w:rPr>
          <w:spacing w:val="-14"/>
        </w:rPr>
        <w:t xml:space="preserve"> </w:t>
      </w:r>
      <w:r>
        <w:t>interfere</w:t>
      </w:r>
      <w:r>
        <w:rPr>
          <w:spacing w:val="-13"/>
        </w:rPr>
        <w:t xml:space="preserve"> </w:t>
      </w:r>
      <w:r>
        <w:t>with</w:t>
      </w:r>
      <w:r>
        <w:rPr>
          <w:spacing w:val="-14"/>
        </w:rPr>
        <w:t xml:space="preserve"> </w:t>
      </w:r>
      <w:r>
        <w:t>a</w:t>
      </w:r>
      <w:r>
        <w:rPr>
          <w:spacing w:val="-13"/>
        </w:rPr>
        <w:t xml:space="preserve"> </w:t>
      </w:r>
      <w:r>
        <w:t>person’s</w:t>
      </w:r>
      <w:r>
        <w:rPr>
          <w:spacing w:val="-14"/>
        </w:rPr>
        <w:t xml:space="preserve"> </w:t>
      </w:r>
      <w:r>
        <w:t>right</w:t>
      </w:r>
      <w:r>
        <w:rPr>
          <w:spacing w:val="-13"/>
        </w:rPr>
        <w:t xml:space="preserve"> </w:t>
      </w:r>
      <w:r>
        <w:t>to</w:t>
      </w:r>
      <w:r>
        <w:rPr>
          <w:spacing w:val="-14"/>
        </w:rPr>
        <w:t xml:space="preserve"> </w:t>
      </w:r>
      <w:r>
        <w:t>associate with any other people for any other reasons.</w:t>
      </w:r>
    </w:p>
    <w:p w14:paraId="42CB2B6E" w14:textId="6B38A900" w:rsidR="00DF7D2F" w:rsidRDefault="00DF7D2F" w:rsidP="004C56B4">
      <w:pPr>
        <w:pStyle w:val="BodyText"/>
        <w:spacing w:after="240"/>
      </w:pPr>
      <w:r>
        <w:lastRenderedPageBreak/>
        <w:t>The Bill does not apply to young persons under the age of 14, and there is an automatic time limit</w:t>
      </w:r>
      <w:r w:rsidR="009F416E">
        <w:t xml:space="preserve"> on official warnings</w:t>
      </w:r>
      <w:r>
        <w:t xml:space="preserve">. There is also a </w:t>
      </w:r>
      <w:r w:rsidR="00AC5D8A">
        <w:t xml:space="preserve">wide </w:t>
      </w:r>
      <w:r>
        <w:t>list of exceptions</w:t>
      </w:r>
      <w:r w:rsidR="00AC5D8A">
        <w:t>.</w:t>
      </w:r>
      <w:r>
        <w:t xml:space="preserve"> </w:t>
      </w:r>
    </w:p>
    <w:p w14:paraId="074DEAD7" w14:textId="21EF3C3C" w:rsidR="00DF7D2F" w:rsidRDefault="00DF7D2F" w:rsidP="004C56B4">
      <w:pPr>
        <w:pStyle w:val="BodyText"/>
        <w:spacing w:after="240"/>
      </w:pPr>
      <w:r>
        <w:t>As</w:t>
      </w:r>
      <w:r>
        <w:rPr>
          <w:spacing w:val="-2"/>
        </w:rPr>
        <w:t xml:space="preserve"> </w:t>
      </w:r>
      <w:r>
        <w:t>defined</w:t>
      </w:r>
      <w:r>
        <w:rPr>
          <w:spacing w:val="-2"/>
        </w:rPr>
        <w:t xml:space="preserve"> </w:t>
      </w:r>
      <w:r>
        <w:t>in</w:t>
      </w:r>
      <w:r>
        <w:rPr>
          <w:spacing w:val="-2"/>
        </w:rPr>
        <w:t xml:space="preserve"> </w:t>
      </w:r>
      <w:r>
        <w:t>the</w:t>
      </w:r>
      <w:r>
        <w:rPr>
          <w:spacing w:val="-1"/>
        </w:rPr>
        <w:t xml:space="preserve"> </w:t>
      </w:r>
      <w:r w:rsidR="00C01BA5">
        <w:t>Bill</w:t>
      </w:r>
      <w:r>
        <w:t>,</w:t>
      </w:r>
      <w:r>
        <w:rPr>
          <w:spacing w:val="-3"/>
        </w:rPr>
        <w:t xml:space="preserve"> </w:t>
      </w:r>
      <w:r>
        <w:t>this</w:t>
      </w:r>
      <w:r>
        <w:rPr>
          <w:spacing w:val="-2"/>
        </w:rPr>
        <w:t xml:space="preserve"> </w:t>
      </w:r>
      <w:r>
        <w:t>will</w:t>
      </w:r>
      <w:r>
        <w:rPr>
          <w:spacing w:val="-2"/>
        </w:rPr>
        <w:t xml:space="preserve"> </w:t>
      </w:r>
      <w:r>
        <w:t>mean</w:t>
      </w:r>
      <w:r>
        <w:rPr>
          <w:spacing w:val="-4"/>
        </w:rPr>
        <w:t xml:space="preserve"> </w:t>
      </w:r>
      <w:r>
        <w:t>a</w:t>
      </w:r>
      <w:r>
        <w:rPr>
          <w:spacing w:val="-2"/>
        </w:rPr>
        <w:t xml:space="preserve"> </w:t>
      </w:r>
      <w:r>
        <w:t>person</w:t>
      </w:r>
      <w:r>
        <w:rPr>
          <w:spacing w:val="-2"/>
        </w:rPr>
        <w:t xml:space="preserve"> </w:t>
      </w:r>
      <w:r>
        <w:t>must</w:t>
      </w:r>
      <w:r>
        <w:rPr>
          <w:spacing w:val="-2"/>
        </w:rPr>
        <w:t xml:space="preserve"> </w:t>
      </w:r>
      <w:r>
        <w:t>meet</w:t>
      </w:r>
      <w:r>
        <w:rPr>
          <w:spacing w:val="-2"/>
        </w:rPr>
        <w:t xml:space="preserve"> </w:t>
      </w:r>
      <w:r>
        <w:t>with</w:t>
      </w:r>
      <w:r>
        <w:rPr>
          <w:spacing w:val="-2"/>
        </w:rPr>
        <w:t xml:space="preserve"> </w:t>
      </w:r>
      <w:r>
        <w:t>at</w:t>
      </w:r>
      <w:r>
        <w:rPr>
          <w:spacing w:val="-2"/>
        </w:rPr>
        <w:t xml:space="preserve"> </w:t>
      </w:r>
      <w:r>
        <w:t>least</w:t>
      </w:r>
      <w:r>
        <w:rPr>
          <w:spacing w:val="-2"/>
        </w:rPr>
        <w:t xml:space="preserve"> </w:t>
      </w:r>
      <w:r>
        <w:t>two identified</w:t>
      </w:r>
      <w:r>
        <w:rPr>
          <w:spacing w:val="-3"/>
        </w:rPr>
        <w:t xml:space="preserve"> </w:t>
      </w:r>
      <w:r>
        <w:t xml:space="preserve">convicted criminals (whether together or separately), on at least two different occasions, after being given an official warning in relation to each of those offenders, and  in a way that has not been listed as a legitimate form of </w:t>
      </w:r>
      <w:r>
        <w:rPr>
          <w:spacing w:val="-2"/>
        </w:rPr>
        <w:t>contact.</w:t>
      </w:r>
    </w:p>
    <w:p w14:paraId="5336DF58" w14:textId="77777777" w:rsidR="00DF7D2F" w:rsidRDefault="00DF7D2F" w:rsidP="004C56B4">
      <w:pPr>
        <w:pStyle w:val="BodyText"/>
        <w:spacing w:after="120"/>
      </w:pPr>
      <w:r>
        <w:t>The list of exceptions is extensive, and includes consorting that occurs in the following situations, where it is reasonable in the circumstances:</w:t>
      </w:r>
    </w:p>
    <w:p w14:paraId="7B23175F" w14:textId="77777777" w:rsidR="00DF7D2F" w:rsidRDefault="00DF7D2F" w:rsidP="004C56B4">
      <w:pPr>
        <w:pStyle w:val="BodyText"/>
        <w:numPr>
          <w:ilvl w:val="0"/>
          <w:numId w:val="4"/>
        </w:numPr>
        <w:spacing w:after="120"/>
        <w:ind w:left="567" w:hanging="567"/>
      </w:pPr>
      <w:r>
        <w:t>With family members;</w:t>
      </w:r>
    </w:p>
    <w:p w14:paraId="0C4480A4" w14:textId="77777777" w:rsidR="00DF7D2F" w:rsidRDefault="00DF7D2F" w:rsidP="004C56B4">
      <w:pPr>
        <w:pStyle w:val="BodyText"/>
        <w:numPr>
          <w:ilvl w:val="0"/>
          <w:numId w:val="4"/>
        </w:numPr>
        <w:spacing w:after="120"/>
        <w:ind w:left="567" w:hanging="567"/>
      </w:pPr>
      <w:r>
        <w:t>In the course of lawful employment or the lawful operation of a business;</w:t>
      </w:r>
    </w:p>
    <w:p w14:paraId="3B07C10F" w14:textId="77777777" w:rsidR="00DF7D2F" w:rsidRDefault="00DF7D2F" w:rsidP="004C56B4">
      <w:pPr>
        <w:pStyle w:val="BodyText"/>
        <w:numPr>
          <w:ilvl w:val="0"/>
          <w:numId w:val="4"/>
        </w:numPr>
        <w:spacing w:after="120"/>
        <w:ind w:left="567" w:hanging="567"/>
      </w:pPr>
      <w:r>
        <w:t>In the course of training or education;</w:t>
      </w:r>
    </w:p>
    <w:p w14:paraId="3386401B" w14:textId="77777777" w:rsidR="00DF7D2F" w:rsidRDefault="00DF7D2F" w:rsidP="004C56B4">
      <w:pPr>
        <w:pStyle w:val="BodyText"/>
        <w:numPr>
          <w:ilvl w:val="0"/>
          <w:numId w:val="4"/>
        </w:numPr>
        <w:spacing w:after="120"/>
        <w:ind w:left="567" w:hanging="567"/>
      </w:pPr>
      <w:r>
        <w:t>In the course of providing a health service or welfare service;</w:t>
      </w:r>
    </w:p>
    <w:p w14:paraId="4056159D" w14:textId="77777777" w:rsidR="00DF7D2F" w:rsidRDefault="00DF7D2F" w:rsidP="004C56B4">
      <w:pPr>
        <w:pStyle w:val="BodyText"/>
        <w:numPr>
          <w:ilvl w:val="0"/>
          <w:numId w:val="4"/>
        </w:numPr>
        <w:spacing w:before="100" w:beforeAutospacing="1" w:after="120"/>
        <w:ind w:left="567" w:hanging="567"/>
      </w:pPr>
      <w:r>
        <w:t>In the course of providing legal advice;</w:t>
      </w:r>
    </w:p>
    <w:p w14:paraId="4187FEA7" w14:textId="77777777" w:rsidR="00DF7D2F" w:rsidRDefault="00DF7D2F" w:rsidP="004C56B4">
      <w:pPr>
        <w:pStyle w:val="BodyText"/>
        <w:numPr>
          <w:ilvl w:val="0"/>
          <w:numId w:val="4"/>
        </w:numPr>
        <w:spacing w:after="120"/>
        <w:ind w:left="567" w:hanging="567"/>
      </w:pPr>
      <w:r>
        <w:t>In lawful custody;</w:t>
      </w:r>
    </w:p>
    <w:p w14:paraId="1941259C" w14:textId="77777777" w:rsidR="00DF7D2F" w:rsidRDefault="00DF7D2F" w:rsidP="00DF7D2F">
      <w:pPr>
        <w:pStyle w:val="BodyText"/>
        <w:numPr>
          <w:ilvl w:val="0"/>
          <w:numId w:val="4"/>
        </w:numPr>
        <w:spacing w:after="240"/>
        <w:ind w:left="567" w:hanging="567"/>
      </w:pPr>
      <w:r>
        <w:t>In the course of complying with an order of the sentence administration board or a direction or recommendation of a corrections officer.</w:t>
      </w:r>
    </w:p>
    <w:p w14:paraId="56E3A4F8" w14:textId="4EEFAA73" w:rsidR="002B0F2F" w:rsidRDefault="001C47D9" w:rsidP="004C56B4">
      <w:pPr>
        <w:pStyle w:val="BodyText"/>
        <w:spacing w:after="240"/>
      </w:pPr>
      <w:r>
        <w:t>For</w:t>
      </w:r>
      <w:r w:rsidR="002B0F2F">
        <w:t xml:space="preserve"> the exception to apply, the contact needs to be, in the view of the court ‘reasonable in the circumstances.’</w:t>
      </w:r>
    </w:p>
    <w:p w14:paraId="5E512D03" w14:textId="77777777" w:rsidR="004C56B4" w:rsidRDefault="00DF7D2F" w:rsidP="004C56B4">
      <w:pPr>
        <w:pStyle w:val="BodyText"/>
        <w:spacing w:after="240"/>
      </w:pPr>
      <w:r>
        <w:t>“Health service” and “welfare service” have each been defined broadly to include a wide range of situations relating to accessing important services, including inter alia, services relating to housing, rental assistance, financial assistance, rehabilitation, counselling and drug and alcohol services.</w:t>
      </w:r>
    </w:p>
    <w:p w14:paraId="681AC9C7" w14:textId="521D9554" w:rsidR="00DF7D2F" w:rsidRDefault="002B0F2F" w:rsidP="004C56B4">
      <w:pPr>
        <w:pStyle w:val="BodyText"/>
        <w:spacing w:after="240"/>
      </w:pPr>
      <w:r>
        <w:t xml:space="preserve">The Bill also </w:t>
      </w:r>
      <w:r w:rsidR="001C47D9">
        <w:t>carefully considers</w:t>
      </w:r>
      <w:r>
        <w:t xml:space="preserve"> circumstances related to Aboriginal and Torres Strait Islander people.</w:t>
      </w:r>
    </w:p>
    <w:p w14:paraId="4FC0FD01" w14:textId="291D90E9" w:rsidR="00DF7D2F" w:rsidRDefault="00DF7D2F" w:rsidP="00555977">
      <w:pPr>
        <w:pStyle w:val="BodyText"/>
        <w:spacing w:before="100" w:beforeAutospacing="1" w:after="240"/>
      </w:pPr>
      <w:r>
        <w:t>In</w:t>
      </w:r>
      <w:r>
        <w:rPr>
          <w:spacing w:val="-6"/>
        </w:rPr>
        <w:t xml:space="preserve"> </w:t>
      </w:r>
      <w:r>
        <w:t>addition,</w:t>
      </w:r>
      <w:r>
        <w:rPr>
          <w:spacing w:val="-2"/>
        </w:rPr>
        <w:t xml:space="preserve"> </w:t>
      </w:r>
      <w:r>
        <w:t>the new provision</w:t>
      </w:r>
      <w:r w:rsidR="001C47D9">
        <w:t>s</w:t>
      </w:r>
      <w:r>
        <w:rPr>
          <w:spacing w:val="-2"/>
        </w:rPr>
        <w:t xml:space="preserve"> </w:t>
      </w:r>
      <w:r>
        <w:t>will</w:t>
      </w:r>
      <w:r>
        <w:rPr>
          <w:spacing w:val="-2"/>
        </w:rPr>
        <w:t xml:space="preserve"> </w:t>
      </w:r>
      <w:r>
        <w:t>be</w:t>
      </w:r>
      <w:r>
        <w:rPr>
          <w:spacing w:val="-3"/>
        </w:rPr>
        <w:t xml:space="preserve"> </w:t>
      </w:r>
      <w:r>
        <w:t>subject</w:t>
      </w:r>
      <w:r>
        <w:rPr>
          <w:spacing w:val="-2"/>
        </w:rPr>
        <w:t xml:space="preserve"> </w:t>
      </w:r>
      <w:r w:rsidR="001C47D9">
        <w:t>to</w:t>
      </w:r>
      <w:r w:rsidR="001C47D9">
        <w:rPr>
          <w:spacing w:val="-3"/>
        </w:rPr>
        <w:t xml:space="preserve"> a</w:t>
      </w:r>
      <w:r>
        <w:rPr>
          <w:spacing w:val="-3"/>
        </w:rPr>
        <w:t xml:space="preserve"> review by the ACT </w:t>
      </w:r>
      <w:r>
        <w:t>Ombudsman as soon as practicable after two years of the new provisions taking effect</w:t>
      </w:r>
      <w:r>
        <w:rPr>
          <w:spacing w:val="-3"/>
        </w:rPr>
        <w:t>.</w:t>
      </w:r>
    </w:p>
    <w:p w14:paraId="1532D9C4" w14:textId="2EFC290C" w:rsidR="002B0F2F" w:rsidRDefault="002B0F2F" w:rsidP="004C56B4">
      <w:pPr>
        <w:pStyle w:val="BodyText"/>
        <w:spacing w:after="240"/>
      </w:pPr>
      <w:r>
        <w:t>The framing of the Bill recognises that NSW, a jurisdiction which completely surrounds the</w:t>
      </w:r>
      <w:r>
        <w:rPr>
          <w:spacing w:val="-4"/>
        </w:rPr>
        <w:t xml:space="preserve"> </w:t>
      </w:r>
      <w:r>
        <w:t>ACT,</w:t>
      </w:r>
      <w:r>
        <w:rPr>
          <w:spacing w:val="-2"/>
        </w:rPr>
        <w:t xml:space="preserve"> </w:t>
      </w:r>
      <w:r>
        <w:t>has very similar</w:t>
      </w:r>
      <w:r>
        <w:rPr>
          <w:spacing w:val="-2"/>
        </w:rPr>
        <w:t xml:space="preserve"> </w:t>
      </w:r>
      <w:r>
        <w:t>laws</w:t>
      </w:r>
      <w:r>
        <w:rPr>
          <w:spacing w:val="-3"/>
        </w:rPr>
        <w:t xml:space="preserve"> </w:t>
      </w:r>
      <w:r>
        <w:t>in</w:t>
      </w:r>
      <w:r>
        <w:rPr>
          <w:spacing w:val="-3"/>
        </w:rPr>
        <w:t xml:space="preserve"> </w:t>
      </w:r>
      <w:r>
        <w:t>place</w:t>
      </w:r>
      <w:r>
        <w:rPr>
          <w:spacing w:val="-1"/>
        </w:rPr>
        <w:t xml:space="preserve"> </w:t>
      </w:r>
      <w:r>
        <w:t>which</w:t>
      </w:r>
      <w:r>
        <w:rPr>
          <w:spacing w:val="-1"/>
        </w:rPr>
        <w:t xml:space="preserve"> </w:t>
      </w:r>
      <w:r>
        <w:t>were</w:t>
      </w:r>
      <w:r>
        <w:rPr>
          <w:spacing w:val="-2"/>
        </w:rPr>
        <w:t xml:space="preserve"> </w:t>
      </w:r>
      <w:r>
        <w:t>re-affirmed</w:t>
      </w:r>
      <w:r>
        <w:rPr>
          <w:spacing w:val="-4"/>
        </w:rPr>
        <w:t xml:space="preserve"> </w:t>
      </w:r>
      <w:r>
        <w:t>with</w:t>
      </w:r>
      <w:r>
        <w:rPr>
          <w:spacing w:val="-3"/>
        </w:rPr>
        <w:t xml:space="preserve"> </w:t>
      </w:r>
      <w:r>
        <w:t>multipartisan</w:t>
      </w:r>
      <w:r>
        <w:rPr>
          <w:spacing w:val="-2"/>
        </w:rPr>
        <w:t xml:space="preserve"> </w:t>
      </w:r>
      <w:r>
        <w:t>support</w:t>
      </w:r>
      <w:r>
        <w:rPr>
          <w:spacing w:val="-2"/>
        </w:rPr>
        <w:t xml:space="preserve"> </w:t>
      </w:r>
      <w:r>
        <w:t>late</w:t>
      </w:r>
      <w:r>
        <w:rPr>
          <w:spacing w:val="-2"/>
        </w:rPr>
        <w:t xml:space="preserve"> </w:t>
      </w:r>
      <w:r>
        <w:t>in</w:t>
      </w:r>
      <w:r>
        <w:rPr>
          <w:spacing w:val="-2"/>
        </w:rPr>
        <w:t xml:space="preserve"> 2018.</w:t>
      </w:r>
    </w:p>
    <w:p w14:paraId="038544DA" w14:textId="77777777" w:rsidR="008A2F29" w:rsidRDefault="002B0F2F" w:rsidP="004C56B4">
      <w:pPr>
        <w:pStyle w:val="BodyText"/>
        <w:spacing w:after="240"/>
      </w:pPr>
      <w:r>
        <w:t>It</w:t>
      </w:r>
      <w:r>
        <w:rPr>
          <w:spacing w:val="-14"/>
        </w:rPr>
        <w:t xml:space="preserve"> </w:t>
      </w:r>
      <w:r>
        <w:t>is</w:t>
      </w:r>
      <w:r>
        <w:rPr>
          <w:spacing w:val="-14"/>
        </w:rPr>
        <w:t xml:space="preserve"> </w:t>
      </w:r>
      <w:r>
        <w:t>the</w:t>
      </w:r>
      <w:r>
        <w:rPr>
          <w:spacing w:val="-13"/>
        </w:rPr>
        <w:t xml:space="preserve"> </w:t>
      </w:r>
      <w:r>
        <w:t>disparity</w:t>
      </w:r>
      <w:r>
        <w:rPr>
          <w:spacing w:val="-14"/>
        </w:rPr>
        <w:t xml:space="preserve"> </w:t>
      </w:r>
      <w:r>
        <w:t>in</w:t>
      </w:r>
      <w:r>
        <w:rPr>
          <w:spacing w:val="-13"/>
        </w:rPr>
        <w:t xml:space="preserve"> </w:t>
      </w:r>
      <w:r>
        <w:t>protections</w:t>
      </w:r>
      <w:r>
        <w:rPr>
          <w:spacing w:val="-14"/>
        </w:rPr>
        <w:t xml:space="preserve"> </w:t>
      </w:r>
      <w:r>
        <w:t>between</w:t>
      </w:r>
      <w:r>
        <w:rPr>
          <w:spacing w:val="-13"/>
        </w:rPr>
        <w:t xml:space="preserve"> </w:t>
      </w:r>
      <w:r>
        <w:t>the</w:t>
      </w:r>
      <w:r>
        <w:rPr>
          <w:spacing w:val="-14"/>
        </w:rPr>
        <w:t xml:space="preserve"> </w:t>
      </w:r>
      <w:r>
        <w:t>jurisdictions</w:t>
      </w:r>
      <w:r>
        <w:rPr>
          <w:spacing w:val="-14"/>
        </w:rPr>
        <w:t xml:space="preserve"> </w:t>
      </w:r>
      <w:r>
        <w:t>that</w:t>
      </w:r>
      <w:r>
        <w:rPr>
          <w:spacing w:val="-13"/>
        </w:rPr>
        <w:t xml:space="preserve"> </w:t>
      </w:r>
      <w:r>
        <w:t>has</w:t>
      </w:r>
      <w:r>
        <w:rPr>
          <w:spacing w:val="-14"/>
        </w:rPr>
        <w:t xml:space="preserve"> </w:t>
      </w:r>
      <w:r>
        <w:t>caused</w:t>
      </w:r>
      <w:r>
        <w:rPr>
          <w:spacing w:val="-13"/>
        </w:rPr>
        <w:t xml:space="preserve"> </w:t>
      </w:r>
      <w:r>
        <w:t>the</w:t>
      </w:r>
      <w:r>
        <w:rPr>
          <w:spacing w:val="-14"/>
        </w:rPr>
        <w:t xml:space="preserve"> </w:t>
      </w:r>
      <w:r>
        <w:t>attraction</w:t>
      </w:r>
      <w:r>
        <w:rPr>
          <w:spacing w:val="-13"/>
        </w:rPr>
        <w:t xml:space="preserve"> </w:t>
      </w:r>
      <w:r>
        <w:t>of</w:t>
      </w:r>
      <w:r>
        <w:rPr>
          <w:spacing w:val="-14"/>
        </w:rPr>
        <w:t xml:space="preserve"> </w:t>
      </w:r>
      <w:r>
        <w:t>more criminal</w:t>
      </w:r>
      <w:r>
        <w:rPr>
          <w:spacing w:val="-6"/>
        </w:rPr>
        <w:t xml:space="preserve"> </w:t>
      </w:r>
      <w:r>
        <w:t>gangs</w:t>
      </w:r>
      <w:r>
        <w:rPr>
          <w:spacing w:val="-7"/>
        </w:rPr>
        <w:t xml:space="preserve"> </w:t>
      </w:r>
      <w:r>
        <w:t>to</w:t>
      </w:r>
      <w:r>
        <w:rPr>
          <w:spacing w:val="-6"/>
        </w:rPr>
        <w:t xml:space="preserve"> </w:t>
      </w:r>
      <w:r>
        <w:t>the</w:t>
      </w:r>
      <w:r>
        <w:rPr>
          <w:spacing w:val="-6"/>
        </w:rPr>
        <w:t xml:space="preserve"> </w:t>
      </w:r>
      <w:r>
        <w:t>ACT</w:t>
      </w:r>
      <w:r>
        <w:rPr>
          <w:spacing w:val="-7"/>
        </w:rPr>
        <w:t xml:space="preserve"> </w:t>
      </w:r>
      <w:r>
        <w:t>and</w:t>
      </w:r>
      <w:r>
        <w:rPr>
          <w:spacing w:val="-5"/>
        </w:rPr>
        <w:t xml:space="preserve"> </w:t>
      </w:r>
      <w:r>
        <w:t>the</w:t>
      </w:r>
      <w:r>
        <w:rPr>
          <w:spacing w:val="-6"/>
        </w:rPr>
        <w:t xml:space="preserve"> </w:t>
      </w:r>
      <w:r>
        <w:t>escalation</w:t>
      </w:r>
      <w:r>
        <w:rPr>
          <w:spacing w:val="-7"/>
        </w:rPr>
        <w:t xml:space="preserve"> </w:t>
      </w:r>
      <w:r>
        <w:t>in</w:t>
      </w:r>
      <w:r>
        <w:rPr>
          <w:spacing w:val="-6"/>
        </w:rPr>
        <w:t xml:space="preserve"> </w:t>
      </w:r>
      <w:r>
        <w:t>violence.</w:t>
      </w:r>
      <w:r>
        <w:rPr>
          <w:spacing w:val="-7"/>
        </w:rPr>
        <w:t xml:space="preserve"> </w:t>
      </w:r>
      <w:r>
        <w:t>It</w:t>
      </w:r>
      <w:r>
        <w:rPr>
          <w:spacing w:val="-7"/>
        </w:rPr>
        <w:t xml:space="preserve"> </w:t>
      </w:r>
      <w:r>
        <w:t>follows</w:t>
      </w:r>
      <w:r>
        <w:rPr>
          <w:spacing w:val="-6"/>
        </w:rPr>
        <w:t xml:space="preserve"> </w:t>
      </w:r>
      <w:r>
        <w:t>that</w:t>
      </w:r>
      <w:r>
        <w:rPr>
          <w:spacing w:val="-2"/>
        </w:rPr>
        <w:t xml:space="preserve"> </w:t>
      </w:r>
      <w:r>
        <w:t>nothing</w:t>
      </w:r>
      <w:r>
        <w:rPr>
          <w:spacing w:val="-7"/>
        </w:rPr>
        <w:t xml:space="preserve"> </w:t>
      </w:r>
      <w:r>
        <w:t>less</w:t>
      </w:r>
      <w:r>
        <w:rPr>
          <w:spacing w:val="-6"/>
        </w:rPr>
        <w:t xml:space="preserve"> </w:t>
      </w:r>
      <w:r>
        <w:t>than</w:t>
      </w:r>
      <w:r>
        <w:rPr>
          <w:spacing w:val="-6"/>
        </w:rPr>
        <w:t xml:space="preserve"> </w:t>
      </w:r>
      <w:r>
        <w:t>parity with NSW will address this problem to dismantle any outstanding incentives for consorting in the jurisdiction of the ACT.</w:t>
      </w:r>
      <w:r w:rsidR="00555977">
        <w:t xml:space="preserve"> It is for this reason that the precise framing of the Bill and relevant thresholds imposed by it, must closely mimic the NSW provisions.</w:t>
      </w:r>
      <w:r w:rsidR="0078224A">
        <w:t xml:space="preserve"> </w:t>
      </w:r>
    </w:p>
    <w:p w14:paraId="2469DDFA" w14:textId="607DD085" w:rsidR="004C56B4" w:rsidRDefault="003B6D5F" w:rsidP="004C56B4">
      <w:pPr>
        <w:pStyle w:val="BodyText"/>
        <w:spacing w:after="240"/>
      </w:pPr>
      <w:r>
        <w:t>In light of this reality, t</w:t>
      </w:r>
      <w:r w:rsidR="0078224A">
        <w:t>o the extent that less restrictive means of achieving the Bill’s objectives may be proposed, if</w:t>
      </w:r>
      <w:r>
        <w:t xml:space="preserve"> the Bill applies</w:t>
      </w:r>
      <w:r w:rsidR="0078224A">
        <w:t xml:space="preserve"> </w:t>
      </w:r>
      <w:r w:rsidR="008A2F29">
        <w:t xml:space="preserve">higher </w:t>
      </w:r>
      <w:r w:rsidR="0078224A">
        <w:t>thresholds</w:t>
      </w:r>
      <w:r>
        <w:t xml:space="preserve"> relative to the </w:t>
      </w:r>
      <w:r w:rsidR="008A2F29">
        <w:t>equivalent NSW legislation, this</w:t>
      </w:r>
      <w:r w:rsidR="0078224A">
        <w:t xml:space="preserve"> </w:t>
      </w:r>
      <w:r w:rsidR="008A2F29">
        <w:t xml:space="preserve">carries a real potential to heavily </w:t>
      </w:r>
      <w:r w:rsidR="0078224A">
        <w:t xml:space="preserve">undermine the </w:t>
      </w:r>
      <w:r w:rsidR="008A2F29">
        <w:t xml:space="preserve">Bill’s </w:t>
      </w:r>
      <w:r w:rsidR="0078224A">
        <w:t xml:space="preserve">capacity to achieve its </w:t>
      </w:r>
      <w:r w:rsidR="0078224A">
        <w:lastRenderedPageBreak/>
        <w:t>objectives</w:t>
      </w:r>
      <w:r>
        <w:t>,</w:t>
      </w:r>
      <w:r w:rsidR="008A2F29">
        <w:t xml:space="preserve"> and may render it ineffective</w:t>
      </w:r>
      <w:r>
        <w:t xml:space="preserve">. </w:t>
      </w:r>
      <w:r w:rsidR="008A2F29">
        <w:t xml:space="preserve"> </w:t>
      </w:r>
      <w:r>
        <w:t xml:space="preserve">If the ACT’s anti-consorting provisions </w:t>
      </w:r>
      <w:r w:rsidR="00696B3A">
        <w:t>are not capable of being utilized</w:t>
      </w:r>
      <w:r>
        <w:t xml:space="preserve"> unless higher thresholds are met, relative to the surrounding jurisdiction,</w:t>
      </w:r>
      <w:r w:rsidR="00696B3A">
        <w:t xml:space="preserve"> the Bill’s capacity to prevent violent behaviour and crime, particularly in connection to OMCGs, will be unreasonably impaired. </w:t>
      </w:r>
      <w:r w:rsidR="008A2F29">
        <w:t>Therefore, less restrictive means of achieving the Bill’s purposes</w:t>
      </w:r>
      <w:r>
        <w:t xml:space="preserve"> </w:t>
      </w:r>
      <w:r w:rsidR="00696B3A">
        <w:t>are</w:t>
      </w:r>
      <w:r w:rsidR="008A2F29">
        <w:t xml:space="preserve"> not reasonably available. </w:t>
      </w:r>
    </w:p>
    <w:p w14:paraId="39EA8EE9" w14:textId="4D310EE6" w:rsidR="0078224A" w:rsidRDefault="002B0F2F" w:rsidP="004C56B4">
      <w:pPr>
        <w:pStyle w:val="BodyText"/>
        <w:spacing w:after="240"/>
      </w:pPr>
      <w:r>
        <w:t>There</w:t>
      </w:r>
      <w:r>
        <w:rPr>
          <w:spacing w:val="-14"/>
        </w:rPr>
        <w:t xml:space="preserve"> </w:t>
      </w:r>
      <w:r>
        <w:t>have</w:t>
      </w:r>
      <w:r>
        <w:rPr>
          <w:spacing w:val="-14"/>
        </w:rPr>
        <w:t xml:space="preserve"> </w:t>
      </w:r>
      <w:r>
        <w:t>been</w:t>
      </w:r>
      <w:r>
        <w:rPr>
          <w:spacing w:val="-13"/>
        </w:rPr>
        <w:t xml:space="preserve"> </w:t>
      </w:r>
      <w:r>
        <w:t>calls</w:t>
      </w:r>
      <w:r>
        <w:rPr>
          <w:spacing w:val="-14"/>
        </w:rPr>
        <w:t xml:space="preserve"> </w:t>
      </w:r>
      <w:r>
        <w:t>for</w:t>
      </w:r>
      <w:r>
        <w:rPr>
          <w:spacing w:val="-13"/>
        </w:rPr>
        <w:t xml:space="preserve"> </w:t>
      </w:r>
      <w:r>
        <w:t>nationally</w:t>
      </w:r>
      <w:r>
        <w:rPr>
          <w:spacing w:val="-14"/>
        </w:rPr>
        <w:t xml:space="preserve"> </w:t>
      </w:r>
      <w:r>
        <w:t>consistent</w:t>
      </w:r>
      <w:r>
        <w:rPr>
          <w:spacing w:val="-13"/>
        </w:rPr>
        <w:t xml:space="preserve"> </w:t>
      </w:r>
      <w:r>
        <w:t>laws</w:t>
      </w:r>
      <w:r>
        <w:rPr>
          <w:spacing w:val="-14"/>
        </w:rPr>
        <w:t xml:space="preserve"> </w:t>
      </w:r>
      <w:r>
        <w:t>to</w:t>
      </w:r>
      <w:r>
        <w:rPr>
          <w:spacing w:val="-14"/>
        </w:rPr>
        <w:t xml:space="preserve"> </w:t>
      </w:r>
      <w:r>
        <w:t>deal</w:t>
      </w:r>
      <w:r>
        <w:rPr>
          <w:spacing w:val="-13"/>
        </w:rPr>
        <w:t xml:space="preserve"> </w:t>
      </w:r>
      <w:r>
        <w:t>with</w:t>
      </w:r>
      <w:r>
        <w:rPr>
          <w:spacing w:val="-14"/>
        </w:rPr>
        <w:t xml:space="preserve"> </w:t>
      </w:r>
      <w:r>
        <w:t>organised</w:t>
      </w:r>
      <w:r>
        <w:rPr>
          <w:spacing w:val="-13"/>
        </w:rPr>
        <w:t xml:space="preserve"> </w:t>
      </w:r>
      <w:r>
        <w:t>criminal</w:t>
      </w:r>
      <w:r>
        <w:rPr>
          <w:spacing w:val="-14"/>
        </w:rPr>
        <w:t xml:space="preserve"> </w:t>
      </w:r>
      <w:r>
        <w:t>gang</w:t>
      </w:r>
      <w:r>
        <w:rPr>
          <w:spacing w:val="-13"/>
        </w:rPr>
        <w:t xml:space="preserve"> </w:t>
      </w:r>
      <w:r>
        <w:t>activity for</w:t>
      </w:r>
      <w:r>
        <w:rPr>
          <w:spacing w:val="-4"/>
        </w:rPr>
        <w:t xml:space="preserve"> </w:t>
      </w:r>
      <w:r>
        <w:t>some</w:t>
      </w:r>
      <w:r>
        <w:rPr>
          <w:spacing w:val="-3"/>
        </w:rPr>
        <w:t xml:space="preserve"> </w:t>
      </w:r>
      <w:r>
        <w:t>time.</w:t>
      </w:r>
      <w:r>
        <w:rPr>
          <w:spacing w:val="-3"/>
        </w:rPr>
        <w:t xml:space="preserve"> </w:t>
      </w:r>
      <w:r>
        <w:t>However,</w:t>
      </w:r>
      <w:r>
        <w:rPr>
          <w:spacing w:val="-4"/>
        </w:rPr>
        <w:t xml:space="preserve"> </w:t>
      </w:r>
      <w:r>
        <w:t>in</w:t>
      </w:r>
      <w:r>
        <w:rPr>
          <w:spacing w:val="-4"/>
        </w:rPr>
        <w:t xml:space="preserve"> </w:t>
      </w:r>
      <w:r>
        <w:t>the</w:t>
      </w:r>
      <w:r>
        <w:rPr>
          <w:spacing w:val="-3"/>
        </w:rPr>
        <w:t xml:space="preserve"> </w:t>
      </w:r>
      <w:r>
        <w:t>absence</w:t>
      </w:r>
      <w:r>
        <w:rPr>
          <w:spacing w:val="-3"/>
        </w:rPr>
        <w:t xml:space="preserve"> </w:t>
      </w:r>
      <w:r>
        <w:t>of</w:t>
      </w:r>
      <w:r>
        <w:rPr>
          <w:spacing w:val="-4"/>
        </w:rPr>
        <w:t xml:space="preserve"> </w:t>
      </w:r>
      <w:r>
        <w:t>those</w:t>
      </w:r>
      <w:r>
        <w:rPr>
          <w:spacing w:val="-3"/>
        </w:rPr>
        <w:t xml:space="preserve"> </w:t>
      </w:r>
      <w:r>
        <w:t>laws,</w:t>
      </w:r>
      <w:r>
        <w:rPr>
          <w:spacing w:val="-4"/>
        </w:rPr>
        <w:t xml:space="preserve"> </w:t>
      </w:r>
      <w:r>
        <w:t>the</w:t>
      </w:r>
      <w:r>
        <w:rPr>
          <w:spacing w:val="-3"/>
        </w:rPr>
        <w:t xml:space="preserve"> </w:t>
      </w:r>
      <w:r>
        <w:t>very</w:t>
      </w:r>
      <w:r>
        <w:rPr>
          <w:spacing w:val="-3"/>
        </w:rPr>
        <w:t xml:space="preserve"> </w:t>
      </w:r>
      <w:r>
        <w:t>minimum</w:t>
      </w:r>
      <w:r>
        <w:rPr>
          <w:spacing w:val="-4"/>
        </w:rPr>
        <w:t xml:space="preserve"> </w:t>
      </w:r>
      <w:r>
        <w:t>standard</w:t>
      </w:r>
      <w:r>
        <w:rPr>
          <w:spacing w:val="-4"/>
        </w:rPr>
        <w:t xml:space="preserve"> </w:t>
      </w:r>
      <w:r>
        <w:t>that</w:t>
      </w:r>
      <w:r>
        <w:rPr>
          <w:spacing w:val="-4"/>
        </w:rPr>
        <w:t xml:space="preserve"> </w:t>
      </w:r>
      <w:r>
        <w:t>will</w:t>
      </w:r>
      <w:r>
        <w:rPr>
          <w:spacing w:val="-4"/>
        </w:rPr>
        <w:t xml:space="preserve"> </w:t>
      </w:r>
      <w:r>
        <w:t>be effective</w:t>
      </w:r>
      <w:r>
        <w:rPr>
          <w:spacing w:val="-5"/>
        </w:rPr>
        <w:t xml:space="preserve"> </w:t>
      </w:r>
      <w:r>
        <w:t>in</w:t>
      </w:r>
      <w:r>
        <w:rPr>
          <w:spacing w:val="-6"/>
        </w:rPr>
        <w:t xml:space="preserve"> </w:t>
      </w:r>
      <w:r>
        <w:t>achieving</w:t>
      </w:r>
      <w:r>
        <w:rPr>
          <w:spacing w:val="-6"/>
        </w:rPr>
        <w:t xml:space="preserve"> </w:t>
      </w:r>
      <w:r>
        <w:t>the</w:t>
      </w:r>
      <w:r>
        <w:rPr>
          <w:spacing w:val="-4"/>
        </w:rPr>
        <w:t xml:space="preserve"> </w:t>
      </w:r>
      <w:r>
        <w:t>stated</w:t>
      </w:r>
      <w:r>
        <w:rPr>
          <w:spacing w:val="-5"/>
        </w:rPr>
        <w:t xml:space="preserve"> </w:t>
      </w:r>
      <w:r>
        <w:t>purpose</w:t>
      </w:r>
      <w:r>
        <w:rPr>
          <w:spacing w:val="-5"/>
        </w:rPr>
        <w:t xml:space="preserve"> </w:t>
      </w:r>
      <w:r>
        <w:t>of</w:t>
      </w:r>
      <w:r>
        <w:rPr>
          <w:spacing w:val="-6"/>
        </w:rPr>
        <w:t xml:space="preserve"> </w:t>
      </w:r>
      <w:r>
        <w:t>community</w:t>
      </w:r>
      <w:r>
        <w:rPr>
          <w:spacing w:val="-4"/>
        </w:rPr>
        <w:t xml:space="preserve"> </w:t>
      </w:r>
      <w:r>
        <w:t>safety</w:t>
      </w:r>
      <w:r>
        <w:rPr>
          <w:spacing w:val="-5"/>
        </w:rPr>
        <w:t xml:space="preserve"> </w:t>
      </w:r>
      <w:r>
        <w:t>is</w:t>
      </w:r>
      <w:r>
        <w:rPr>
          <w:spacing w:val="-5"/>
        </w:rPr>
        <w:t xml:space="preserve"> </w:t>
      </w:r>
      <w:r>
        <w:t>to</w:t>
      </w:r>
      <w:r>
        <w:rPr>
          <w:spacing w:val="-6"/>
        </w:rPr>
        <w:t xml:space="preserve"> </w:t>
      </w:r>
      <w:r>
        <w:t>mimic</w:t>
      </w:r>
      <w:r>
        <w:rPr>
          <w:spacing w:val="-5"/>
        </w:rPr>
        <w:t xml:space="preserve"> </w:t>
      </w:r>
      <w:r>
        <w:t>as</w:t>
      </w:r>
      <w:r>
        <w:rPr>
          <w:spacing w:val="-5"/>
        </w:rPr>
        <w:t xml:space="preserve"> </w:t>
      </w:r>
      <w:r>
        <w:t>closely</w:t>
      </w:r>
      <w:r>
        <w:rPr>
          <w:spacing w:val="-4"/>
        </w:rPr>
        <w:t xml:space="preserve"> </w:t>
      </w:r>
      <w:r>
        <w:t>as</w:t>
      </w:r>
      <w:r>
        <w:rPr>
          <w:spacing w:val="-5"/>
        </w:rPr>
        <w:t xml:space="preserve"> </w:t>
      </w:r>
      <w:r>
        <w:t>possible the laws in NSW.</w:t>
      </w:r>
      <w:r w:rsidR="0078224A">
        <w:t xml:space="preserve"> </w:t>
      </w:r>
    </w:p>
    <w:p w14:paraId="3C8696F0" w14:textId="0610522D" w:rsidR="00A95D36" w:rsidRPr="004C56B4" w:rsidRDefault="00A95D36" w:rsidP="004C56B4">
      <w:pPr>
        <w:pStyle w:val="BodyText"/>
        <w:spacing w:after="120"/>
        <w:rPr>
          <w:b/>
          <w:bCs/>
          <w:i/>
          <w:iCs/>
        </w:rPr>
      </w:pPr>
      <w:r w:rsidRPr="004C56B4">
        <w:rPr>
          <w:b/>
          <w:bCs/>
          <w:i/>
          <w:iCs/>
        </w:rPr>
        <w:t>Rights Limited</w:t>
      </w:r>
    </w:p>
    <w:p w14:paraId="58808D3D" w14:textId="3CE1523D" w:rsidR="00A95D36" w:rsidRDefault="00A95D36" w:rsidP="004C56B4">
      <w:pPr>
        <w:pStyle w:val="BodyText"/>
        <w:spacing w:after="240"/>
      </w:pPr>
      <w:r>
        <w:t>The rights</w:t>
      </w:r>
      <w:r w:rsidR="001C47D9">
        <w:t xml:space="preserve"> which are</w:t>
      </w:r>
      <w:r>
        <w:t xml:space="preserve"> principally affected by the Bill include the right to freedom of association, the right to freedom of expression, the right to equality and non-discrimination, and the right to freedom of movement.</w:t>
      </w:r>
    </w:p>
    <w:p w14:paraId="7D5FCF43" w14:textId="0C5AD876" w:rsidR="00A95D36" w:rsidRDefault="00A95D36" w:rsidP="004C56B4">
      <w:pPr>
        <w:pStyle w:val="BodyText"/>
        <w:spacing w:after="240"/>
      </w:pPr>
      <w:r>
        <w:t>The right to privacy and reputation, the right to protection of the family and children and rights in criminal proceedings (specifically, the presumption of innocence) are incidentally impacted by the Bill.</w:t>
      </w:r>
    </w:p>
    <w:p w14:paraId="67883C98" w14:textId="5D266882" w:rsidR="00A95D36" w:rsidRPr="004C56B4" w:rsidRDefault="00A95D36" w:rsidP="004C56B4">
      <w:pPr>
        <w:pStyle w:val="BodyText"/>
        <w:spacing w:after="120"/>
        <w:rPr>
          <w:b/>
          <w:bCs/>
          <w:u w:val="single"/>
        </w:rPr>
      </w:pPr>
      <w:r w:rsidRPr="004C56B4">
        <w:rPr>
          <w:b/>
          <w:bCs/>
          <w:u w:val="single"/>
        </w:rPr>
        <w:t>Section 15 –</w:t>
      </w:r>
      <w:r w:rsidR="004B174B">
        <w:rPr>
          <w:b/>
          <w:bCs/>
          <w:u w:val="single"/>
        </w:rPr>
        <w:t xml:space="preserve"> Right </w:t>
      </w:r>
      <w:r w:rsidR="00C01BA5">
        <w:rPr>
          <w:b/>
          <w:bCs/>
          <w:u w:val="single"/>
        </w:rPr>
        <w:t xml:space="preserve">to </w:t>
      </w:r>
      <w:r w:rsidRPr="004C56B4">
        <w:rPr>
          <w:b/>
          <w:bCs/>
          <w:u w:val="single"/>
        </w:rPr>
        <w:t>freedom of association</w:t>
      </w:r>
      <w:r w:rsidR="004B174B">
        <w:rPr>
          <w:b/>
          <w:bCs/>
          <w:u w:val="single"/>
        </w:rPr>
        <w:t>/peaceful assembly</w:t>
      </w:r>
    </w:p>
    <w:p w14:paraId="0033D9A5" w14:textId="1AD5F8B4" w:rsidR="00A95D36" w:rsidRPr="00460591" w:rsidRDefault="00F04DA8" w:rsidP="004C56B4">
      <w:pPr>
        <w:pStyle w:val="BodyText"/>
        <w:numPr>
          <w:ilvl w:val="0"/>
          <w:numId w:val="5"/>
        </w:numPr>
        <w:spacing w:after="120"/>
        <w:ind w:left="567" w:hanging="567"/>
        <w:rPr>
          <w:b/>
          <w:bCs/>
        </w:rPr>
      </w:pPr>
      <w:r w:rsidRPr="00460591">
        <w:rPr>
          <w:b/>
          <w:bCs/>
        </w:rPr>
        <w:t xml:space="preserve">Nature of the right and the limitation </w:t>
      </w:r>
      <w:r w:rsidR="00311D60">
        <w:rPr>
          <w:b/>
          <w:bCs/>
        </w:rPr>
        <w:t xml:space="preserve">– </w:t>
      </w:r>
      <w:r w:rsidR="004C56B4">
        <w:rPr>
          <w:b/>
          <w:bCs/>
        </w:rPr>
        <w:t>S</w:t>
      </w:r>
      <w:r w:rsidR="00311D60">
        <w:rPr>
          <w:b/>
          <w:bCs/>
        </w:rPr>
        <w:t xml:space="preserve">ections </w:t>
      </w:r>
      <w:r w:rsidRPr="00460591">
        <w:rPr>
          <w:b/>
          <w:bCs/>
        </w:rPr>
        <w:t>28(2)</w:t>
      </w:r>
      <w:r w:rsidR="001512C6">
        <w:rPr>
          <w:b/>
          <w:bCs/>
        </w:rPr>
        <w:t xml:space="preserve"> </w:t>
      </w:r>
      <w:r w:rsidRPr="00460591">
        <w:rPr>
          <w:b/>
          <w:bCs/>
        </w:rPr>
        <w:t>(a) and (c)</w:t>
      </w:r>
      <w:r w:rsidR="00311D60">
        <w:rPr>
          <w:b/>
          <w:bCs/>
        </w:rPr>
        <w:t xml:space="preserve"> Human Rights ACT</w:t>
      </w:r>
    </w:p>
    <w:p w14:paraId="4FD36FA3" w14:textId="2DF2BB98" w:rsidR="00C52052" w:rsidRPr="004C56B4" w:rsidRDefault="00C52052" w:rsidP="004C56B4">
      <w:pPr>
        <w:pStyle w:val="BodyText"/>
        <w:spacing w:after="240"/>
      </w:pPr>
      <w:r>
        <w:t>Section 15 protects the right</w:t>
      </w:r>
      <w:r w:rsidR="004B174B">
        <w:t>s of peaceful assembly and</w:t>
      </w:r>
      <w:r>
        <w:t xml:space="preserve"> freedom of association.</w:t>
      </w:r>
    </w:p>
    <w:p w14:paraId="1E7F48CC" w14:textId="70B0BBB7" w:rsidR="00460591" w:rsidRDefault="00C52052" w:rsidP="004C56B4">
      <w:pPr>
        <w:pStyle w:val="BodyText"/>
        <w:spacing w:after="240"/>
      </w:pPr>
      <w:r w:rsidRPr="004C56B4">
        <w:t>The</w:t>
      </w:r>
      <w:r>
        <w:t xml:space="preserve"> </w:t>
      </w:r>
      <w:r w:rsidR="00460591">
        <w:t>Bill prevents a person from habitually consorting with a convicted offender, after being issued with an official warning by a police officer. This may limit the right to freedom of association for a person who is issued with an official warning</w:t>
      </w:r>
      <w:r w:rsidR="00311D60">
        <w:t>.</w:t>
      </w:r>
    </w:p>
    <w:p w14:paraId="6C069592" w14:textId="48DBA066" w:rsidR="00460591" w:rsidRDefault="00460591" w:rsidP="004C56B4">
      <w:pPr>
        <w:pStyle w:val="BodyText"/>
        <w:spacing w:after="120"/>
      </w:pPr>
      <w:r w:rsidRPr="004C56B4">
        <w:rPr>
          <w:b/>
          <w:bCs/>
        </w:rPr>
        <w:t>2.</w:t>
      </w:r>
      <w:r w:rsidR="004C56B4">
        <w:rPr>
          <w:b/>
          <w:bCs/>
        </w:rPr>
        <w:t xml:space="preserve">      </w:t>
      </w:r>
      <w:r w:rsidRPr="004C56B4">
        <w:rPr>
          <w:b/>
          <w:bCs/>
        </w:rPr>
        <w:t xml:space="preserve">Legitimate purpose </w:t>
      </w:r>
      <w:r w:rsidR="004C56B4">
        <w:rPr>
          <w:b/>
          <w:bCs/>
        </w:rPr>
        <w:t xml:space="preserve">– Section </w:t>
      </w:r>
      <w:r w:rsidRPr="004C56B4">
        <w:rPr>
          <w:b/>
          <w:bCs/>
        </w:rPr>
        <w:t>28(2)(b)</w:t>
      </w:r>
      <w:r w:rsidR="004C56B4">
        <w:rPr>
          <w:b/>
          <w:bCs/>
        </w:rPr>
        <w:t xml:space="preserve"> Human Rights ACT</w:t>
      </w:r>
    </w:p>
    <w:p w14:paraId="3CEDC64C" w14:textId="2CA550AF" w:rsidR="00460591" w:rsidRDefault="00460591" w:rsidP="004C56B4">
      <w:pPr>
        <w:pStyle w:val="BodyText"/>
        <w:spacing w:after="240"/>
      </w:pPr>
      <w:r>
        <w:t>The purpose of the limitation is to</w:t>
      </w:r>
      <w:r w:rsidR="00311D60">
        <w:t xml:space="preserve"> </w:t>
      </w:r>
      <w:r w:rsidR="00275B73">
        <w:t xml:space="preserve">provide protection and security for all members of the community, </w:t>
      </w:r>
      <w:r w:rsidR="00311D60">
        <w:t>by preventing and de-escalating violen</w:t>
      </w:r>
      <w:r w:rsidR="00275B73">
        <w:t>t behaviour and crime</w:t>
      </w:r>
      <w:r w:rsidR="00C8084C">
        <w:t>,</w:t>
      </w:r>
      <w:r w:rsidR="00275B73">
        <w:t xml:space="preserve"> </w:t>
      </w:r>
      <w:r w:rsidR="0072661A">
        <w:t>particularly in connection to OMCG activity</w:t>
      </w:r>
      <w:r>
        <w:t>.</w:t>
      </w:r>
    </w:p>
    <w:p w14:paraId="2762D1C1" w14:textId="5D150511" w:rsidR="00460591" w:rsidRDefault="00460591" w:rsidP="004C56B4">
      <w:pPr>
        <w:pStyle w:val="BodyText"/>
        <w:spacing w:after="240"/>
      </w:pPr>
      <w:r>
        <w:t xml:space="preserve">The limitation is intended to ensure that any person can exist safely in their homes, streets or businesses, and not be subject to random, violent attacks, or be ‘caught in the crossfire’. </w:t>
      </w:r>
    </w:p>
    <w:p w14:paraId="79011488" w14:textId="0A703F8F" w:rsidR="00460591" w:rsidRDefault="00460591" w:rsidP="004C56B4">
      <w:pPr>
        <w:pStyle w:val="BodyText"/>
        <w:spacing w:after="240"/>
      </w:pPr>
      <w:r>
        <w:t xml:space="preserve">The importance of improving baseline community safety levels </w:t>
      </w:r>
      <w:r w:rsidR="00275B73">
        <w:t>by</w:t>
      </w:r>
      <w:r w:rsidR="00C8084C">
        <w:t xml:space="preserve"> preventing crime and</w:t>
      </w:r>
      <w:r w:rsidR="00275B73">
        <w:t xml:space="preserve"> curbing violent </w:t>
      </w:r>
      <w:r w:rsidR="00C8084C">
        <w:t>behavior</w:t>
      </w:r>
      <w:r>
        <w:t>, is foundational to the ability of ordinary members of the community to safely live, work and exist within the Australian Capital Territory.</w:t>
      </w:r>
    </w:p>
    <w:p w14:paraId="20CEEB75" w14:textId="6C3097D2" w:rsidR="00460591" w:rsidRDefault="00460591" w:rsidP="004C56B4">
      <w:pPr>
        <w:pStyle w:val="BodyText"/>
        <w:spacing w:after="240"/>
      </w:pPr>
      <w:r>
        <w:t>Without adequately protecting the community and the fundamental rights referred to above (the right to life</w:t>
      </w:r>
      <w:r w:rsidR="00C8084C">
        <w:t xml:space="preserve">, </w:t>
      </w:r>
      <w:r>
        <w:t>the right to protection from torture, cruel, inhumane and degrading treatment and the right to liberty and security of person</w:t>
      </w:r>
      <w:r w:rsidR="00C8084C">
        <w:t xml:space="preserve">, </w:t>
      </w:r>
      <w:r>
        <w:t xml:space="preserve">the community’s ability to enjoy the full spectrum of human rights promoted under the Human Rights Act 2004 (ACT) is significantly impaired. </w:t>
      </w:r>
    </w:p>
    <w:p w14:paraId="5F43B286" w14:textId="1BE4DA8D" w:rsidR="00460591" w:rsidRDefault="00460591" w:rsidP="004C56B4">
      <w:pPr>
        <w:pStyle w:val="BodyText"/>
        <w:spacing w:after="240"/>
      </w:pPr>
      <w:r>
        <w:t xml:space="preserve">These are rights that our society recognise as a fundamental benefit of living in Australia and </w:t>
      </w:r>
      <w:r>
        <w:lastRenderedPageBreak/>
        <w:t xml:space="preserve">being governed by a system where law and order prevails. </w:t>
      </w:r>
    </w:p>
    <w:p w14:paraId="6E787FAB" w14:textId="4C0004E4" w:rsidR="00460591" w:rsidRDefault="00460591" w:rsidP="004C56B4">
      <w:pPr>
        <w:pStyle w:val="BodyText"/>
        <w:spacing w:after="240"/>
      </w:pPr>
      <w:r>
        <w:t xml:space="preserve">At least two attacks </w:t>
      </w:r>
      <w:r w:rsidR="001C47D9">
        <w:t>involved</w:t>
      </w:r>
      <w:r>
        <w:t xml:space="preserve"> children, including one in which children were in a home that was subject to firearm and arson attacks. Others involved people in </w:t>
      </w:r>
      <w:r w:rsidR="001C47D9">
        <w:t>neighboring</w:t>
      </w:r>
      <w:r>
        <w:t xml:space="preserve"> properties narrowly avoiding bullet strikes in their homes.</w:t>
      </w:r>
    </w:p>
    <w:p w14:paraId="457EF271" w14:textId="742163D7" w:rsidR="00460591" w:rsidRDefault="00460591" w:rsidP="004C56B4">
      <w:pPr>
        <w:pStyle w:val="BodyText"/>
        <w:spacing w:after="240"/>
      </w:pPr>
      <w:r>
        <w:t>Local media reporting in 2026, indicate</w:t>
      </w:r>
      <w:r w:rsidR="001C47D9">
        <w:t>s</w:t>
      </w:r>
      <w:r>
        <w:t xml:space="preserve"> that six shootings investigated this year in the ACT are believed to have ties to OMCGs.</w:t>
      </w:r>
    </w:p>
    <w:p w14:paraId="2B112B75" w14:textId="06A41D11" w:rsidR="00460591" w:rsidRDefault="00460591" w:rsidP="00460591">
      <w:pPr>
        <w:pStyle w:val="BodyText"/>
      </w:pPr>
      <w:r>
        <w:t>It is a vital and fundamental responsibility of government to protect the safety of citizens. It is also a fundamental responsibility to prevent crimes and violent behaviour where possible. The purpose of this limitation is to achieve those ends.</w:t>
      </w:r>
    </w:p>
    <w:p w14:paraId="1E1B828E" w14:textId="77777777" w:rsidR="00460591" w:rsidRDefault="00460591" w:rsidP="00C52052">
      <w:pPr>
        <w:pStyle w:val="BodyText"/>
      </w:pPr>
    </w:p>
    <w:p w14:paraId="7C1404EB" w14:textId="53C1A03E" w:rsidR="00460591" w:rsidRDefault="0072661A" w:rsidP="004C56B4">
      <w:pPr>
        <w:pStyle w:val="BodyText"/>
        <w:spacing w:after="120"/>
        <w:ind w:left="567" w:hanging="567"/>
      </w:pPr>
      <w:r w:rsidRPr="004C56B4">
        <w:rPr>
          <w:b/>
          <w:bCs/>
        </w:rPr>
        <w:t>3.</w:t>
      </w:r>
      <w:r w:rsidRPr="004C56B4">
        <w:rPr>
          <w:b/>
          <w:bCs/>
        </w:rPr>
        <w:tab/>
        <w:t>Rational connection</w:t>
      </w:r>
      <w:r w:rsidR="001512C6">
        <w:rPr>
          <w:b/>
          <w:bCs/>
        </w:rPr>
        <w:t xml:space="preserve"> </w:t>
      </w:r>
      <w:r w:rsidR="00C8084C">
        <w:rPr>
          <w:b/>
          <w:bCs/>
        </w:rPr>
        <w:t xml:space="preserve">– Section </w:t>
      </w:r>
      <w:r w:rsidRPr="004C56B4">
        <w:rPr>
          <w:b/>
          <w:bCs/>
        </w:rPr>
        <w:t>28(2)(d)</w:t>
      </w:r>
      <w:r w:rsidR="00C8084C">
        <w:rPr>
          <w:b/>
          <w:bCs/>
        </w:rPr>
        <w:t xml:space="preserve"> Human Rights Act</w:t>
      </w:r>
    </w:p>
    <w:p w14:paraId="2D6D847F" w14:textId="15E79F0B" w:rsidR="00460591" w:rsidRDefault="0072661A" w:rsidP="004C56B4">
      <w:pPr>
        <w:pStyle w:val="BodyText"/>
        <w:spacing w:after="240"/>
      </w:pPr>
      <w:r w:rsidRPr="0072661A">
        <w:t>With the evidence of increasingly frequent and serious criminal violence, all linked by a common core element of association, there is a clear link between the limit</w:t>
      </w:r>
      <w:r>
        <w:t>ation</w:t>
      </w:r>
      <w:r w:rsidRPr="0072661A">
        <w:t xml:space="preserve"> and its purpose.</w:t>
      </w:r>
    </w:p>
    <w:p w14:paraId="2B53D479" w14:textId="128DCEC1" w:rsidR="0072661A" w:rsidRDefault="0072661A" w:rsidP="004C56B4">
      <w:pPr>
        <w:pStyle w:val="BodyText"/>
        <w:spacing w:after="240"/>
      </w:pPr>
      <w:r>
        <w:t>By enabling police to re</w:t>
      </w:r>
      <w:r w:rsidR="00C8084C">
        <w:t>strict the ability of</w:t>
      </w:r>
      <w:r>
        <w:t xml:space="preserve"> a person </w:t>
      </w:r>
      <w:r w:rsidR="00C8084C">
        <w:t>to</w:t>
      </w:r>
      <w:r>
        <w:t xml:space="preserve"> habitually consort with at least two convicted offenders</w:t>
      </w:r>
      <w:r w:rsidR="004E4949">
        <w:t xml:space="preserve"> for a set period</w:t>
      </w:r>
      <w:r>
        <w:t>, police have an avenue through which they can reduce the risk of</w:t>
      </w:r>
      <w:r w:rsidR="00C8084C">
        <w:t xml:space="preserve"> serious criminal</w:t>
      </w:r>
      <w:r w:rsidR="00E77696">
        <w:t xml:space="preserve"> activity and</w:t>
      </w:r>
      <w:r>
        <w:t xml:space="preserve"> violen</w:t>
      </w:r>
      <w:r w:rsidR="00C8084C">
        <w:t>ce.</w:t>
      </w:r>
    </w:p>
    <w:p w14:paraId="11C95B30" w14:textId="12F5A124" w:rsidR="004E4949" w:rsidRPr="004E4949" w:rsidRDefault="004E4949" w:rsidP="004C56B4">
      <w:pPr>
        <w:pStyle w:val="BodyText"/>
        <w:spacing w:after="120"/>
      </w:pPr>
      <w:r>
        <w:rPr>
          <w:b/>
          <w:bCs/>
        </w:rPr>
        <w:t xml:space="preserve">4.       </w:t>
      </w:r>
      <w:r w:rsidR="004B174B">
        <w:rPr>
          <w:b/>
          <w:bCs/>
        </w:rPr>
        <w:t>Less restrictive means/</w:t>
      </w:r>
      <w:r w:rsidRPr="004C56B4">
        <w:rPr>
          <w:b/>
          <w:bCs/>
        </w:rPr>
        <w:t xml:space="preserve">Proportionality </w:t>
      </w:r>
      <w:r w:rsidR="004C56B4">
        <w:rPr>
          <w:b/>
          <w:bCs/>
        </w:rPr>
        <w:t xml:space="preserve">– Section </w:t>
      </w:r>
      <w:r w:rsidRPr="004C56B4">
        <w:rPr>
          <w:b/>
          <w:bCs/>
        </w:rPr>
        <w:t>28(2)(</w:t>
      </w:r>
      <w:r w:rsidR="004B174B">
        <w:rPr>
          <w:b/>
          <w:bCs/>
        </w:rPr>
        <w:t>1</w:t>
      </w:r>
      <w:r w:rsidRPr="004C56B4">
        <w:rPr>
          <w:b/>
          <w:bCs/>
        </w:rPr>
        <w:t>)</w:t>
      </w:r>
      <w:r w:rsidR="004B174B">
        <w:rPr>
          <w:b/>
          <w:bCs/>
        </w:rPr>
        <w:t>, s28(2)(c)</w:t>
      </w:r>
      <w:r w:rsidR="004C56B4">
        <w:rPr>
          <w:b/>
          <w:bCs/>
        </w:rPr>
        <w:t xml:space="preserve"> </w:t>
      </w:r>
      <w:r w:rsidR="004B174B">
        <w:rPr>
          <w:b/>
          <w:bCs/>
        </w:rPr>
        <w:t xml:space="preserve">and (e) </w:t>
      </w:r>
      <w:r w:rsidR="004C56B4">
        <w:rPr>
          <w:b/>
          <w:bCs/>
        </w:rPr>
        <w:t>Human Rights Act</w:t>
      </w:r>
    </w:p>
    <w:p w14:paraId="461DCC83" w14:textId="392190E8" w:rsidR="00C52052" w:rsidRPr="004C56B4" w:rsidRDefault="0072661A" w:rsidP="004C56B4">
      <w:pPr>
        <w:pStyle w:val="BodyText"/>
        <w:spacing w:after="240"/>
      </w:pPr>
      <w:r w:rsidRPr="0072661A">
        <w:t>Everyone has the right to feel safe in their community and it is reasonable and proportionate for the community to take measures to ensure that right is protected.</w:t>
      </w:r>
      <w:r w:rsidR="004E4949">
        <w:t xml:space="preserve"> The limitation on the right to freely associate </w:t>
      </w:r>
      <w:r w:rsidR="0046507B">
        <w:t xml:space="preserve">is narrow in scope and </w:t>
      </w:r>
      <w:r w:rsidR="00C52052" w:rsidRPr="004C56B4">
        <w:t xml:space="preserve">confined </w:t>
      </w:r>
      <w:r w:rsidR="0046507B">
        <w:t xml:space="preserve">to particular </w:t>
      </w:r>
      <w:r w:rsidR="00C52052" w:rsidRPr="004C56B4">
        <w:t>circumstances, which are only e</w:t>
      </w:r>
      <w:r w:rsidR="0046507B">
        <w:t>nlivened</w:t>
      </w:r>
      <w:r w:rsidR="00C52052" w:rsidRPr="004C56B4">
        <w:t xml:space="preserve"> if a person </w:t>
      </w:r>
      <w:r w:rsidR="00C52052" w:rsidRPr="004C56B4">
        <w:rPr>
          <w:u w:val="single"/>
        </w:rPr>
        <w:t>habitually</w:t>
      </w:r>
      <w:r w:rsidR="00C52052" w:rsidRPr="004C56B4">
        <w:t xml:space="preserve"> consorts with convicted offenders after having been given a time-bound official warning by a police officer.</w:t>
      </w:r>
    </w:p>
    <w:p w14:paraId="446650C5" w14:textId="51CCE0C3" w:rsidR="004E4949" w:rsidRDefault="004E4949" w:rsidP="004C56B4">
      <w:pPr>
        <w:pStyle w:val="BodyText"/>
        <w:spacing w:after="120"/>
      </w:pPr>
      <w:r>
        <w:t xml:space="preserve">The </w:t>
      </w:r>
      <w:r w:rsidR="003A5CE7">
        <w:t>limitation is only engaged a</w:t>
      </w:r>
      <w:r>
        <w:t>f</w:t>
      </w:r>
      <w:r w:rsidR="003A5CE7">
        <w:t>ter</w:t>
      </w:r>
      <w:r>
        <w:t xml:space="preserve"> a series of </w:t>
      </w:r>
      <w:r w:rsidR="001B4246" w:rsidRPr="001B4246">
        <w:t>threshold requirements have been met</w:t>
      </w:r>
      <w:r>
        <w:t>:</w:t>
      </w:r>
    </w:p>
    <w:p w14:paraId="1E8980C0" w14:textId="3F2A07AE" w:rsidR="004E4949" w:rsidRDefault="00C8084C" w:rsidP="004C56B4">
      <w:pPr>
        <w:pStyle w:val="BodyText"/>
        <w:numPr>
          <w:ilvl w:val="0"/>
          <w:numId w:val="7"/>
        </w:numPr>
        <w:spacing w:after="120"/>
        <w:ind w:left="284" w:hanging="284"/>
      </w:pPr>
      <w:r>
        <w:t>t</w:t>
      </w:r>
      <w:r w:rsidR="004E4949">
        <w:t xml:space="preserve">he person must be </w:t>
      </w:r>
      <w:r w:rsidR="00C52052" w:rsidRPr="004C56B4">
        <w:t>14 years or older</w:t>
      </w:r>
      <w:r w:rsidR="004E4949">
        <w:t>; and</w:t>
      </w:r>
    </w:p>
    <w:p w14:paraId="3A90C116" w14:textId="065D69B6" w:rsidR="004E4949" w:rsidRDefault="004E4949" w:rsidP="004C56B4">
      <w:pPr>
        <w:pStyle w:val="BodyText"/>
        <w:numPr>
          <w:ilvl w:val="0"/>
          <w:numId w:val="7"/>
        </w:numPr>
        <w:spacing w:after="120"/>
        <w:ind w:left="284" w:hanging="284"/>
      </w:pPr>
      <w:r>
        <w:t>must</w:t>
      </w:r>
      <w:r w:rsidR="00C52052" w:rsidRPr="004C56B4">
        <w:t xml:space="preserve"> consort with at least two convicted offenders (whether together or separately)</w:t>
      </w:r>
      <w:r>
        <w:t>; and</w:t>
      </w:r>
    </w:p>
    <w:p w14:paraId="295BFF10" w14:textId="19CA7730" w:rsidR="004E4949" w:rsidRDefault="004E4949" w:rsidP="004C56B4">
      <w:pPr>
        <w:pStyle w:val="BodyText"/>
        <w:numPr>
          <w:ilvl w:val="0"/>
          <w:numId w:val="7"/>
        </w:numPr>
        <w:spacing w:after="120"/>
        <w:ind w:left="284" w:hanging="284"/>
      </w:pPr>
      <w:r>
        <w:t xml:space="preserve">must </w:t>
      </w:r>
      <w:r w:rsidR="00C52052" w:rsidRPr="004C56B4">
        <w:t>consort with each convicted offender on at least 2 occasions</w:t>
      </w:r>
      <w:r>
        <w:t>; and</w:t>
      </w:r>
    </w:p>
    <w:p w14:paraId="627887E0" w14:textId="30C93C4B" w:rsidR="00C8084C" w:rsidRDefault="004E4949" w:rsidP="004C56B4">
      <w:pPr>
        <w:pStyle w:val="BodyText"/>
        <w:numPr>
          <w:ilvl w:val="0"/>
          <w:numId w:val="7"/>
        </w:numPr>
        <w:spacing w:after="240"/>
        <w:ind w:left="284" w:hanging="284"/>
      </w:pPr>
      <w:r>
        <w:t>T</w:t>
      </w:r>
      <w:r w:rsidR="00C52052" w:rsidRPr="004C56B4">
        <w:t xml:space="preserve">he consorting </w:t>
      </w:r>
      <w:r w:rsidR="00C8084C">
        <w:t>must not</w:t>
      </w:r>
      <w:r w:rsidR="00C52052" w:rsidRPr="004C56B4">
        <w:t xml:space="preserve"> fall within one of the </w:t>
      </w:r>
      <w:r w:rsidR="00C8084C">
        <w:t xml:space="preserve">numerous </w:t>
      </w:r>
      <w:r w:rsidR="00C52052" w:rsidRPr="004C56B4">
        <w:t>exempted circumstance</w:t>
      </w:r>
      <w:r w:rsidR="00C8084C">
        <w:t xml:space="preserve"> categories</w:t>
      </w:r>
      <w:r w:rsidR="00C52052" w:rsidRPr="004C56B4">
        <w:t>.</w:t>
      </w:r>
    </w:p>
    <w:p w14:paraId="598BD40B" w14:textId="29645419" w:rsidR="003A5CE7" w:rsidRDefault="00C8084C" w:rsidP="004C56B4">
      <w:pPr>
        <w:pStyle w:val="BodyText"/>
        <w:spacing w:after="240"/>
      </w:pPr>
      <w:r>
        <w:t>T</w:t>
      </w:r>
      <w:r w:rsidR="003A5CE7">
        <w:t>he Bill explicitly defines the length of time that official warnings will be in effect for, being 2 years for persons over the age of 18 and 6 months for young people under the age of 18.</w:t>
      </w:r>
    </w:p>
    <w:p w14:paraId="416DFAA0" w14:textId="559FC656" w:rsidR="003A5CE7" w:rsidRDefault="00C52052" w:rsidP="004C56B4">
      <w:pPr>
        <w:pStyle w:val="BodyText"/>
        <w:spacing w:after="240"/>
      </w:pPr>
      <w:r w:rsidRPr="004C56B4">
        <w:t xml:space="preserve">Therefore, while the right to freedom of association is capable of being burdened by the Bill, </w:t>
      </w:r>
      <w:r w:rsidR="001B4246">
        <w:t>t</w:t>
      </w:r>
      <w:r w:rsidR="001B4246" w:rsidRPr="001B4246">
        <w:t>he limitation is only engaged after a series of threshold requirements have been met</w:t>
      </w:r>
      <w:r w:rsidR="001512C6">
        <w:t xml:space="preserve"> </w:t>
      </w:r>
      <w:r w:rsidRPr="004C56B4">
        <w:t>before the right can be limited in any way</w:t>
      </w:r>
      <w:r w:rsidR="00C8084C">
        <w:t xml:space="preserve"> and the limitation on the right can only be in effect for a </w:t>
      </w:r>
      <w:r w:rsidR="003A5CE7">
        <w:t xml:space="preserve">defined period. </w:t>
      </w:r>
    </w:p>
    <w:p w14:paraId="1F146907" w14:textId="1F3BF8D7" w:rsidR="00A33F59" w:rsidRDefault="00A33F59" w:rsidP="004C56B4">
      <w:pPr>
        <w:pStyle w:val="BodyText"/>
        <w:spacing w:after="240"/>
      </w:pPr>
      <w:r>
        <w:t>Balanced against the</w:t>
      </w:r>
      <w:r w:rsidR="00E77696">
        <w:t xml:space="preserve"> need to prevent serious</w:t>
      </w:r>
      <w:r>
        <w:t xml:space="preserve"> violence</w:t>
      </w:r>
      <w:r w:rsidR="00C8084C">
        <w:t xml:space="preserve"> and crime</w:t>
      </w:r>
      <w:r w:rsidR="00E77696">
        <w:t xml:space="preserve"> in the community,</w:t>
      </w:r>
      <w:r>
        <w:t xml:space="preserve"> the narrow </w:t>
      </w:r>
      <w:r>
        <w:lastRenderedPageBreak/>
        <w:t>limitation on the right is reasonable, justified and proportionate.</w:t>
      </w:r>
    </w:p>
    <w:p w14:paraId="21B77570" w14:textId="5F9A677E" w:rsidR="00A95D36" w:rsidRPr="004C56B4" w:rsidRDefault="00A95D36" w:rsidP="004C56B4">
      <w:pPr>
        <w:pStyle w:val="BodyText"/>
        <w:spacing w:after="120"/>
        <w:rPr>
          <w:b/>
          <w:bCs/>
        </w:rPr>
      </w:pPr>
      <w:r w:rsidRPr="004C56B4">
        <w:rPr>
          <w:b/>
          <w:bCs/>
          <w:u w:val="single"/>
        </w:rPr>
        <w:t>Section 16 – Right to freedom of expression</w:t>
      </w:r>
    </w:p>
    <w:p w14:paraId="230A7F41" w14:textId="637444D4" w:rsidR="00A33F59" w:rsidRPr="004C56B4" w:rsidRDefault="00A33F59" w:rsidP="004C56B4">
      <w:pPr>
        <w:pStyle w:val="BodyText"/>
        <w:spacing w:after="120"/>
        <w:rPr>
          <w:b/>
          <w:bCs/>
        </w:rPr>
      </w:pPr>
      <w:r w:rsidRPr="004C56B4">
        <w:rPr>
          <w:b/>
          <w:bCs/>
        </w:rPr>
        <w:t>1.</w:t>
      </w:r>
      <w:r w:rsidRPr="004C56B4">
        <w:rPr>
          <w:b/>
          <w:bCs/>
        </w:rPr>
        <w:tab/>
        <w:t xml:space="preserve">Nature of the right and the limitation </w:t>
      </w:r>
      <w:r w:rsidR="00C8084C">
        <w:rPr>
          <w:b/>
          <w:bCs/>
        </w:rPr>
        <w:t xml:space="preserve">– Sections </w:t>
      </w:r>
      <w:r w:rsidRPr="004C56B4">
        <w:rPr>
          <w:b/>
          <w:bCs/>
        </w:rPr>
        <w:t>28(2)(a) and (c)</w:t>
      </w:r>
      <w:r w:rsidR="00C8084C">
        <w:rPr>
          <w:b/>
          <w:bCs/>
        </w:rPr>
        <w:t xml:space="preserve"> Human Rights Act</w:t>
      </w:r>
    </w:p>
    <w:p w14:paraId="5FACF8E6" w14:textId="5AC6041B" w:rsidR="00A33F59" w:rsidRDefault="00A33F59" w:rsidP="004C56B4">
      <w:pPr>
        <w:pStyle w:val="BodyText"/>
        <w:spacing w:after="240"/>
      </w:pPr>
      <w:r>
        <w:t>Section 16 of the HRA recognises that everyone has the right to freedom of expression, including the freedom to seek, receive and impart information and ideas of all kinds.</w:t>
      </w:r>
    </w:p>
    <w:p w14:paraId="57655615" w14:textId="79985BE4" w:rsidR="00C52052" w:rsidRDefault="00A33F59" w:rsidP="004C56B4">
      <w:pPr>
        <w:pStyle w:val="BodyText"/>
        <w:spacing w:after="600"/>
      </w:pPr>
      <w:r>
        <w:t>The Bill may limit the right to freedom of expression, because it enables police officers</w:t>
      </w:r>
      <w:r w:rsidR="00C8084C">
        <w:t xml:space="preserve"> </w:t>
      </w:r>
      <w:r>
        <w:t>to issue warnings which prohibit a person from consorting with convicted offenders in person or by any other means, including by electronic or other forms of communication.</w:t>
      </w:r>
    </w:p>
    <w:p w14:paraId="3D3A8701" w14:textId="70AA0D3E" w:rsidR="00214AF8" w:rsidRPr="004C56B4" w:rsidRDefault="00214AF8" w:rsidP="004C56B4">
      <w:pPr>
        <w:pStyle w:val="BodyText"/>
        <w:spacing w:after="120"/>
        <w:ind w:left="284" w:hanging="284"/>
        <w:rPr>
          <w:b/>
          <w:bCs/>
        </w:rPr>
      </w:pPr>
      <w:r w:rsidRPr="004C56B4">
        <w:rPr>
          <w:b/>
          <w:bCs/>
        </w:rPr>
        <w:t>2.</w:t>
      </w:r>
      <w:r w:rsidR="004C56B4">
        <w:rPr>
          <w:b/>
          <w:bCs/>
        </w:rPr>
        <w:t xml:space="preserve">     </w:t>
      </w:r>
      <w:r w:rsidRPr="004C56B4">
        <w:rPr>
          <w:b/>
          <w:bCs/>
        </w:rPr>
        <w:t>Legitimate purpose</w:t>
      </w:r>
      <w:r w:rsidR="00C8084C">
        <w:rPr>
          <w:b/>
          <w:bCs/>
        </w:rPr>
        <w:t xml:space="preserve"> - Section </w:t>
      </w:r>
      <w:r w:rsidRPr="004C56B4">
        <w:rPr>
          <w:b/>
          <w:bCs/>
        </w:rPr>
        <w:t>28(2)(b)</w:t>
      </w:r>
      <w:r w:rsidR="00C8084C">
        <w:rPr>
          <w:b/>
          <w:bCs/>
        </w:rPr>
        <w:t xml:space="preserve"> Human Rights Act</w:t>
      </w:r>
    </w:p>
    <w:p w14:paraId="045296EA" w14:textId="0942688F" w:rsidR="00214AF8" w:rsidRDefault="00214AF8" w:rsidP="004C56B4">
      <w:pPr>
        <w:pStyle w:val="BodyText"/>
        <w:spacing w:after="240"/>
      </w:pPr>
      <w:r>
        <w:t>The purpose of the limitation is to protect the community from violence</w:t>
      </w:r>
      <w:r w:rsidR="00C8084C">
        <w:t xml:space="preserve"> and crime</w:t>
      </w:r>
      <w:r>
        <w:t>, particularly in connection to OMCG</w:t>
      </w:r>
      <w:r w:rsidR="00E77696">
        <w:t xml:space="preserve"> act</w:t>
      </w:r>
      <w:r w:rsidR="00B323EC">
        <w:t>i</w:t>
      </w:r>
      <w:r w:rsidR="00E77696">
        <w:t>vity</w:t>
      </w:r>
      <w:r>
        <w:t xml:space="preserve">, by limiting, in appropriate circumstances, the ability of individuals to consort with convicted offenders.  </w:t>
      </w:r>
    </w:p>
    <w:p w14:paraId="20CF21F0" w14:textId="55BCE6EE" w:rsidR="00991C65" w:rsidRDefault="00991C65" w:rsidP="004C56B4">
      <w:pPr>
        <w:pStyle w:val="BodyText"/>
        <w:spacing w:after="240"/>
      </w:pPr>
      <w:r>
        <w:t>The Bill extends the coverage of official warnings to</w:t>
      </w:r>
      <w:r w:rsidR="00E77696">
        <w:t xml:space="preserve"> </w:t>
      </w:r>
      <w:r>
        <w:t xml:space="preserve">consorting that occurs </w:t>
      </w:r>
      <w:r w:rsidR="00214AF8">
        <w:t>in-person, electronic</w:t>
      </w:r>
      <w:r>
        <w:t>ally</w:t>
      </w:r>
      <w:r w:rsidR="00214AF8">
        <w:t xml:space="preserve"> </w:t>
      </w:r>
      <w:r>
        <w:t>or via</w:t>
      </w:r>
      <w:r w:rsidR="00214AF8">
        <w:t xml:space="preserve"> other forms of communication</w:t>
      </w:r>
      <w:r>
        <w:t>,</w:t>
      </w:r>
      <w:r w:rsidR="00214AF8">
        <w:t xml:space="preserve"> to ensure that the Bill </w:t>
      </w:r>
      <w:r>
        <w:t xml:space="preserve">can </w:t>
      </w:r>
      <w:r w:rsidR="00214AF8">
        <w:t>operat</w:t>
      </w:r>
      <w:r>
        <w:t>e</w:t>
      </w:r>
      <w:r w:rsidR="00214AF8">
        <w:t xml:space="preserve"> as intended and that its broader legislative intent is not undermined by electronic and </w:t>
      </w:r>
      <w:r>
        <w:t xml:space="preserve">other </w:t>
      </w:r>
      <w:r w:rsidR="00214AF8">
        <w:t xml:space="preserve">creative </w:t>
      </w:r>
      <w:r>
        <w:t xml:space="preserve">means of consorting. </w:t>
      </w:r>
    </w:p>
    <w:p w14:paraId="1B0DF170" w14:textId="537EC01E" w:rsidR="00991C65" w:rsidRPr="004C56B4" w:rsidRDefault="00991C65" w:rsidP="004C56B4">
      <w:pPr>
        <w:pStyle w:val="BodyText"/>
        <w:numPr>
          <w:ilvl w:val="0"/>
          <w:numId w:val="8"/>
        </w:numPr>
        <w:spacing w:after="120"/>
        <w:ind w:left="567" w:hanging="643"/>
        <w:rPr>
          <w:b/>
          <w:bCs/>
        </w:rPr>
      </w:pPr>
      <w:r w:rsidRPr="004C56B4">
        <w:rPr>
          <w:b/>
          <w:bCs/>
        </w:rPr>
        <w:t>Rational connection</w:t>
      </w:r>
      <w:r w:rsidR="001512C6">
        <w:rPr>
          <w:b/>
          <w:bCs/>
        </w:rPr>
        <w:t xml:space="preserve"> </w:t>
      </w:r>
      <w:r w:rsidR="00E77696">
        <w:rPr>
          <w:b/>
          <w:bCs/>
        </w:rPr>
        <w:t xml:space="preserve">– Section </w:t>
      </w:r>
      <w:r w:rsidRPr="004C56B4">
        <w:rPr>
          <w:b/>
          <w:bCs/>
        </w:rPr>
        <w:t>28(2)(d)</w:t>
      </w:r>
      <w:r w:rsidR="00E77696">
        <w:rPr>
          <w:b/>
          <w:bCs/>
        </w:rPr>
        <w:t xml:space="preserve"> Human Rights Act</w:t>
      </w:r>
    </w:p>
    <w:p w14:paraId="1EC677EB" w14:textId="4AF411ED" w:rsidR="00991C65" w:rsidRDefault="00991C65" w:rsidP="004C56B4">
      <w:pPr>
        <w:pStyle w:val="BodyText"/>
        <w:spacing w:after="240"/>
      </w:pPr>
      <w:r w:rsidRPr="00991C65">
        <w:t>The broader objective of the Bill</w:t>
      </w:r>
      <w:r>
        <w:t xml:space="preserve"> and the purpose of the limitation </w:t>
      </w:r>
      <w:r w:rsidRPr="00991C65">
        <w:t>cannot be achieved without necessarily limiting the right to freedom of expression.</w:t>
      </w:r>
    </w:p>
    <w:p w14:paraId="4B7E45ED" w14:textId="1060864B" w:rsidR="00991C65" w:rsidRDefault="003A5580" w:rsidP="004C56B4">
      <w:pPr>
        <w:pStyle w:val="BodyText"/>
        <w:spacing w:after="240"/>
      </w:pPr>
      <w:r>
        <w:t>Where appropriate, preventing individuals from communicating with specified convicted offenders, for a defined period of time, is an important means of preventing serious violence and crime amongst the community, particularly in connection to OMCG activity.</w:t>
      </w:r>
    </w:p>
    <w:p w14:paraId="7C51FA4C" w14:textId="3BEA6BCC" w:rsidR="00991C65" w:rsidRPr="004C56B4" w:rsidRDefault="003A5580" w:rsidP="004C56B4">
      <w:pPr>
        <w:pStyle w:val="BodyText"/>
        <w:spacing w:after="120"/>
        <w:rPr>
          <w:b/>
          <w:bCs/>
        </w:rPr>
      </w:pPr>
      <w:r w:rsidRPr="004C56B4">
        <w:rPr>
          <w:b/>
          <w:bCs/>
        </w:rPr>
        <w:t xml:space="preserve">4.         Proportionality </w:t>
      </w:r>
      <w:r w:rsidR="004C56B4">
        <w:rPr>
          <w:b/>
          <w:bCs/>
        </w:rPr>
        <w:t xml:space="preserve">– Section </w:t>
      </w:r>
      <w:r w:rsidRPr="004C56B4">
        <w:rPr>
          <w:b/>
          <w:bCs/>
        </w:rPr>
        <w:t>28(2)(e)</w:t>
      </w:r>
      <w:r w:rsidR="004C56B4">
        <w:rPr>
          <w:b/>
          <w:bCs/>
        </w:rPr>
        <w:t xml:space="preserve"> Human Rights Act</w:t>
      </w:r>
    </w:p>
    <w:p w14:paraId="7D032D6F" w14:textId="7A930D6D" w:rsidR="003A5580" w:rsidRDefault="003A5580" w:rsidP="004C56B4">
      <w:pPr>
        <w:pStyle w:val="BodyText"/>
        <w:spacing w:after="240"/>
      </w:pPr>
      <w:r w:rsidRPr="003A5580">
        <w:t xml:space="preserve">As discussed above, </w:t>
      </w:r>
      <w:r w:rsidR="001B4246">
        <w:t>t</w:t>
      </w:r>
      <w:r w:rsidR="001B4246" w:rsidRPr="001B4246">
        <w:t>he limitation is only engaged after a series of threshold requirements have been met</w:t>
      </w:r>
      <w:r w:rsidRPr="003A5580">
        <w:t xml:space="preserve">, and the limitation is not an indefinite limitation on free expression. Official warnings which </w:t>
      </w:r>
      <w:r w:rsidR="00E77696">
        <w:t>may</w:t>
      </w:r>
      <w:r w:rsidRPr="003A5580">
        <w:t xml:space="preserve"> burden free expression are only in effect for 6 months for people under the age of 18 and 2 years for adults.</w:t>
      </w:r>
    </w:p>
    <w:p w14:paraId="073E86C8" w14:textId="60241056" w:rsidR="004C56B4" w:rsidRDefault="00E77696" w:rsidP="004C56B4">
      <w:pPr>
        <w:pStyle w:val="BodyText"/>
        <w:spacing w:after="240"/>
      </w:pPr>
      <w:r>
        <w:t xml:space="preserve">A </w:t>
      </w:r>
      <w:r w:rsidR="00C52052">
        <w:t xml:space="preserve">wide spectrum of circumstances are to be disregarded for the purpose of determining whether a person has </w:t>
      </w:r>
      <w:r>
        <w:t>committed an offence</w:t>
      </w:r>
      <w:r w:rsidR="00726D76">
        <w:t>, where</w:t>
      </w:r>
      <w:r>
        <w:t xml:space="preserve"> the habitual consorting is reasonable in the circumstances. </w:t>
      </w:r>
    </w:p>
    <w:p w14:paraId="42E1CEBA" w14:textId="62939E8A" w:rsidR="003A5580" w:rsidRDefault="00C52052" w:rsidP="004C56B4">
      <w:pPr>
        <w:pStyle w:val="BodyText"/>
        <w:spacing w:after="240"/>
      </w:pPr>
      <w:r>
        <w:t>This</w:t>
      </w:r>
      <w:r w:rsidR="00E77696">
        <w:t xml:space="preserve"> exception</w:t>
      </w:r>
      <w:r>
        <w:t xml:space="preserve"> protects a wide array of communications</w:t>
      </w:r>
      <w:r w:rsidR="00726D76">
        <w:t>, including communications</w:t>
      </w:r>
      <w:r>
        <w:t xml:space="preserve"> </w:t>
      </w:r>
      <w:r w:rsidR="00726D76">
        <w:t xml:space="preserve">with </w:t>
      </w:r>
      <w:r>
        <w:t>family members</w:t>
      </w:r>
      <w:r w:rsidR="00E77696">
        <w:t xml:space="preserve"> and communications </w:t>
      </w:r>
      <w:r>
        <w:t>which take place in the context of employment, education and training</w:t>
      </w:r>
      <w:r w:rsidR="00E77696">
        <w:t xml:space="preserve"> and when</w:t>
      </w:r>
      <w:r>
        <w:t xml:space="preserve"> obtaining legal advice</w:t>
      </w:r>
      <w:r w:rsidR="00E77696">
        <w:t>. The exception also protects communications occurring</w:t>
      </w:r>
      <w:r>
        <w:t xml:space="preserve"> while in lawful custody or in the course of complying with orders</w:t>
      </w:r>
      <w:r w:rsidR="00E77696">
        <w:t xml:space="preserve"> and</w:t>
      </w:r>
      <w:r>
        <w:t xml:space="preserve"> directions of the sentence administration board and corrections officers</w:t>
      </w:r>
      <w:r w:rsidR="00E77696">
        <w:t xml:space="preserve">. Communications which take place while accessing </w:t>
      </w:r>
      <w:r>
        <w:t>health and welfare services</w:t>
      </w:r>
      <w:r w:rsidR="00E77696">
        <w:t xml:space="preserve"> are also protected by the exception. </w:t>
      </w:r>
    </w:p>
    <w:p w14:paraId="6CF080A3" w14:textId="4D40CBA1" w:rsidR="00A95D36" w:rsidRDefault="00C52052" w:rsidP="00C52052">
      <w:pPr>
        <w:pStyle w:val="BodyText"/>
      </w:pPr>
      <w:r>
        <w:lastRenderedPageBreak/>
        <w:t>Therefore, the limitation on freedom of expression is narrow in scope</w:t>
      </w:r>
      <w:r w:rsidR="003A5580">
        <w:t xml:space="preserve"> because it </w:t>
      </w:r>
      <w:r w:rsidR="00726D76">
        <w:t xml:space="preserve">will </w:t>
      </w:r>
      <w:r w:rsidR="003A5580">
        <w:t>only be engaged in very specific circumstances</w:t>
      </w:r>
      <w:r w:rsidR="00726D76">
        <w:t>. This limitation is reasonable and proportionate when balanced against</w:t>
      </w:r>
      <w:r w:rsidR="003A5580">
        <w:t xml:space="preserve"> </w:t>
      </w:r>
      <w:r>
        <w:t xml:space="preserve">the </w:t>
      </w:r>
      <w:r w:rsidR="003A5580">
        <w:t>wide variety of</w:t>
      </w:r>
      <w:r w:rsidR="00726D76">
        <w:t xml:space="preserve"> exempted</w:t>
      </w:r>
      <w:r>
        <w:t xml:space="preserve"> circumstances</w:t>
      </w:r>
      <w:r w:rsidR="00726D76">
        <w:t>.</w:t>
      </w:r>
    </w:p>
    <w:p w14:paraId="16A368DD" w14:textId="77777777" w:rsidR="00A95D36" w:rsidRDefault="00A95D36" w:rsidP="00633015">
      <w:pPr>
        <w:pStyle w:val="BodyText"/>
      </w:pPr>
    </w:p>
    <w:p w14:paraId="7D8926BE" w14:textId="1DB2CFCF" w:rsidR="00A95D36" w:rsidRPr="004C56B4" w:rsidRDefault="00A95D36" w:rsidP="004C56B4">
      <w:pPr>
        <w:pStyle w:val="BodyText"/>
        <w:spacing w:after="120"/>
        <w:rPr>
          <w:b/>
          <w:bCs/>
        </w:rPr>
      </w:pPr>
      <w:r w:rsidRPr="004C56B4">
        <w:rPr>
          <w:b/>
          <w:bCs/>
          <w:u w:val="single"/>
        </w:rPr>
        <w:t xml:space="preserve">Section 8 – </w:t>
      </w:r>
      <w:r w:rsidR="004B174B">
        <w:rPr>
          <w:b/>
          <w:bCs/>
          <w:u w:val="single"/>
        </w:rPr>
        <w:t xml:space="preserve">Recognition and </w:t>
      </w:r>
      <w:r w:rsidRPr="004C56B4">
        <w:rPr>
          <w:b/>
          <w:bCs/>
          <w:u w:val="single"/>
        </w:rPr>
        <w:t xml:space="preserve">equality </w:t>
      </w:r>
      <w:r w:rsidR="004B174B">
        <w:rPr>
          <w:b/>
          <w:bCs/>
          <w:u w:val="single"/>
        </w:rPr>
        <w:t>before the law</w:t>
      </w:r>
    </w:p>
    <w:p w14:paraId="74DFA48E" w14:textId="605B2703" w:rsidR="003A5580" w:rsidRPr="004C56B4" w:rsidRDefault="003A5580" w:rsidP="004C56B4">
      <w:pPr>
        <w:pStyle w:val="BodyText"/>
        <w:spacing w:after="120"/>
        <w:rPr>
          <w:b/>
          <w:bCs/>
        </w:rPr>
      </w:pPr>
      <w:r w:rsidRPr="004C56B4">
        <w:rPr>
          <w:b/>
          <w:bCs/>
        </w:rPr>
        <w:t>1.</w:t>
      </w:r>
      <w:r w:rsidRPr="004C56B4">
        <w:rPr>
          <w:b/>
          <w:bCs/>
        </w:rPr>
        <w:tab/>
        <w:t xml:space="preserve">Nature of the right and the limitation </w:t>
      </w:r>
      <w:r w:rsidR="00726D76">
        <w:rPr>
          <w:b/>
          <w:bCs/>
        </w:rPr>
        <w:t xml:space="preserve">– Section </w:t>
      </w:r>
      <w:r w:rsidRPr="004C56B4">
        <w:rPr>
          <w:b/>
          <w:bCs/>
        </w:rPr>
        <w:t>28(2)(a) and (c)</w:t>
      </w:r>
      <w:r w:rsidR="00726D76">
        <w:rPr>
          <w:b/>
          <w:bCs/>
        </w:rPr>
        <w:t xml:space="preserve"> Human Rights Act</w:t>
      </w:r>
    </w:p>
    <w:p w14:paraId="6D1563C5" w14:textId="5435F22B" w:rsidR="003A5580" w:rsidRDefault="000F2902" w:rsidP="004C56B4">
      <w:pPr>
        <w:pStyle w:val="BodyText"/>
        <w:spacing w:after="240"/>
      </w:pPr>
      <w:r>
        <w:t>Section 8 of the HRA recognises that everyone is equal before the law and has the right to enjoy their human rights without distinction or discrimination of any kind.</w:t>
      </w:r>
    </w:p>
    <w:p w14:paraId="60B657DC" w14:textId="53CF642B" w:rsidR="00C52052" w:rsidRDefault="00C52052" w:rsidP="00C52052">
      <w:pPr>
        <w:pStyle w:val="BodyText"/>
      </w:pPr>
      <w:r>
        <w:t xml:space="preserve">The Bill is capable of limiting the right to equality and non-discrimination, by enabling </w:t>
      </w:r>
      <w:r w:rsidR="000F2902">
        <w:t>police</w:t>
      </w:r>
      <w:r>
        <w:t xml:space="preserve"> officers to issue official warnings which prevent certain members of the community from associating with specifi</w:t>
      </w:r>
      <w:r w:rsidR="000F2902">
        <w:t>ed</w:t>
      </w:r>
      <w:r>
        <w:t xml:space="preserve"> convicted offenders.</w:t>
      </w:r>
      <w:r w:rsidR="000F2902">
        <w:t xml:space="preserve"> Therefore, the Bill may burden the right to equality for persons who receive official warnings and for the</w:t>
      </w:r>
      <w:r w:rsidR="00726D76">
        <w:t xml:space="preserve"> relevant</w:t>
      </w:r>
      <w:r w:rsidR="000F2902">
        <w:t xml:space="preserve"> convicted offenders</w:t>
      </w:r>
      <w:r w:rsidR="00726D76">
        <w:t>.</w:t>
      </w:r>
    </w:p>
    <w:p w14:paraId="69813D48" w14:textId="77777777" w:rsidR="000F2902" w:rsidRDefault="000F2902" w:rsidP="00C52052">
      <w:pPr>
        <w:pStyle w:val="BodyText"/>
      </w:pPr>
    </w:p>
    <w:p w14:paraId="2A72DD0E" w14:textId="349833E3" w:rsidR="00B30DA1" w:rsidRPr="004C56B4" w:rsidRDefault="000F2902" w:rsidP="004C56B4">
      <w:pPr>
        <w:pStyle w:val="BodyText"/>
        <w:numPr>
          <w:ilvl w:val="0"/>
          <w:numId w:val="5"/>
        </w:numPr>
        <w:spacing w:after="120"/>
        <w:ind w:left="426"/>
        <w:rPr>
          <w:b/>
          <w:bCs/>
        </w:rPr>
      </w:pPr>
      <w:r>
        <w:rPr>
          <w:b/>
          <w:bCs/>
        </w:rPr>
        <w:t xml:space="preserve">    </w:t>
      </w:r>
      <w:r w:rsidRPr="004C56B4">
        <w:rPr>
          <w:b/>
          <w:bCs/>
        </w:rPr>
        <w:t xml:space="preserve">Legitimate purpose </w:t>
      </w:r>
      <w:r w:rsidR="003D52E7">
        <w:rPr>
          <w:b/>
          <w:bCs/>
        </w:rPr>
        <w:t xml:space="preserve">- Section </w:t>
      </w:r>
      <w:r w:rsidRPr="004C56B4">
        <w:rPr>
          <w:b/>
          <w:bCs/>
        </w:rPr>
        <w:t>28(2)(b)</w:t>
      </w:r>
      <w:r w:rsidR="003D52E7">
        <w:rPr>
          <w:b/>
          <w:bCs/>
        </w:rPr>
        <w:t xml:space="preserve"> Human Rights Act</w:t>
      </w:r>
    </w:p>
    <w:p w14:paraId="78DA83AF" w14:textId="4E0B6441" w:rsidR="00B30DA1" w:rsidRDefault="00B30DA1" w:rsidP="004C56B4">
      <w:pPr>
        <w:pStyle w:val="BodyText"/>
        <w:spacing w:after="240"/>
      </w:pPr>
      <w:r>
        <w:t>The legitimate purpose of the limitation is to</w:t>
      </w:r>
      <w:r w:rsidR="00726D76">
        <w:t xml:space="preserve"> protect public </w:t>
      </w:r>
      <w:r w:rsidR="003D52E7">
        <w:t>safety by</w:t>
      </w:r>
      <w:r>
        <w:t xml:space="preserve"> </w:t>
      </w:r>
      <w:r w:rsidR="00726D76">
        <w:t>prevent</w:t>
      </w:r>
      <w:r w:rsidR="003D52E7">
        <w:t>ing</w:t>
      </w:r>
      <w:r w:rsidR="00726D76">
        <w:t xml:space="preserve"> </w:t>
      </w:r>
      <w:r>
        <w:t>violence and crime</w:t>
      </w:r>
      <w:r w:rsidR="00620CE0">
        <w:t xml:space="preserve"> </w:t>
      </w:r>
      <w:r>
        <w:t xml:space="preserve">arising in connection to harmful consorting </w:t>
      </w:r>
      <w:r w:rsidR="003D52E7">
        <w:t>with</w:t>
      </w:r>
      <w:r>
        <w:t xml:space="preserve"> individuals who have a record of committing indictable offences.</w:t>
      </w:r>
    </w:p>
    <w:p w14:paraId="46980F63" w14:textId="5970A62C" w:rsidR="00EA0F4E" w:rsidRPr="004C56B4" w:rsidRDefault="00620CE0" w:rsidP="004C56B4">
      <w:pPr>
        <w:pStyle w:val="BodyText"/>
        <w:spacing w:after="120"/>
        <w:rPr>
          <w:b/>
          <w:bCs/>
        </w:rPr>
      </w:pPr>
      <w:r w:rsidRPr="004C56B4">
        <w:rPr>
          <w:b/>
          <w:bCs/>
        </w:rPr>
        <w:t>3.</w:t>
      </w:r>
      <w:r w:rsidRPr="004C56B4">
        <w:rPr>
          <w:b/>
          <w:bCs/>
        </w:rPr>
        <w:tab/>
        <w:t xml:space="preserve">Rational connection between the limitation and its purpose </w:t>
      </w:r>
      <w:r w:rsidR="003D52E7">
        <w:rPr>
          <w:b/>
          <w:bCs/>
        </w:rPr>
        <w:t xml:space="preserve">– Section </w:t>
      </w:r>
      <w:r w:rsidRPr="004C56B4">
        <w:rPr>
          <w:b/>
          <w:bCs/>
        </w:rPr>
        <w:t>28(2)(d)</w:t>
      </w:r>
      <w:r w:rsidR="003D52E7">
        <w:rPr>
          <w:b/>
          <w:bCs/>
        </w:rPr>
        <w:t xml:space="preserve"> Human Rights Act</w:t>
      </w:r>
    </w:p>
    <w:p w14:paraId="03E1A690" w14:textId="2611F4D2" w:rsidR="00EA0F4E" w:rsidRDefault="00A80010" w:rsidP="004C56B4">
      <w:pPr>
        <w:pStyle w:val="BodyText"/>
        <w:spacing w:after="240"/>
      </w:pPr>
      <w:r>
        <w:t xml:space="preserve">There is a rational connection between the limitation and its purpose. </w:t>
      </w:r>
      <w:r w:rsidR="00EA0F4E" w:rsidRPr="00EA0F4E">
        <w:t>Noting that the Bill seeks to address increasing violent incidents</w:t>
      </w:r>
      <w:r w:rsidR="00A04698">
        <w:t xml:space="preserve"> and serious crime in the community, and</w:t>
      </w:r>
      <w:r w:rsidR="00EA0F4E" w:rsidRPr="00EA0F4E">
        <w:t xml:space="preserve"> </w:t>
      </w:r>
      <w:r w:rsidR="00A04698">
        <w:t>particularly in connection</w:t>
      </w:r>
      <w:r w:rsidR="00EA0F4E" w:rsidRPr="00EA0F4E">
        <w:t xml:space="preserve"> to OMCG</w:t>
      </w:r>
      <w:r>
        <w:t xml:space="preserve"> activity,</w:t>
      </w:r>
      <w:r w:rsidR="00EA0F4E" w:rsidRPr="00EA0F4E">
        <w:t xml:space="preserve"> </w:t>
      </w:r>
      <w:r w:rsidR="00A04698">
        <w:t>the limitation</w:t>
      </w:r>
      <w:r w:rsidR="00EA0F4E" w:rsidRPr="00EA0F4E">
        <w:t xml:space="preserve"> reas</w:t>
      </w:r>
      <w:r w:rsidR="00EA0F4E">
        <w:t>onably and appropriately</w:t>
      </w:r>
      <w:r w:rsidR="00EA0F4E" w:rsidRPr="00EA0F4E">
        <w:t xml:space="preserve"> targets consorting with individuals who have a record of committing indictable offences</w:t>
      </w:r>
      <w:r w:rsidR="00A04698">
        <w:t xml:space="preserve"> and</w:t>
      </w:r>
      <w:r w:rsidR="00EA0F4E" w:rsidRPr="00EA0F4E">
        <w:t xml:space="preserve"> </w:t>
      </w:r>
      <w:r w:rsidR="00A04698">
        <w:t xml:space="preserve">recognises </w:t>
      </w:r>
      <w:r w:rsidR="00EA0F4E" w:rsidRPr="00EA0F4E">
        <w:t>the connection between OMCGs and serious crime.</w:t>
      </w:r>
    </w:p>
    <w:p w14:paraId="3D8849DE" w14:textId="178FA2A2" w:rsidR="00EA0F4E" w:rsidRPr="004C56B4" w:rsidRDefault="00EA0F4E" w:rsidP="004C56B4">
      <w:pPr>
        <w:pStyle w:val="BodyText"/>
        <w:numPr>
          <w:ilvl w:val="0"/>
          <w:numId w:val="8"/>
        </w:numPr>
        <w:spacing w:after="120"/>
        <w:ind w:left="284"/>
        <w:rPr>
          <w:b/>
          <w:bCs/>
        </w:rPr>
      </w:pPr>
      <w:r>
        <w:rPr>
          <w:b/>
          <w:bCs/>
        </w:rPr>
        <w:t xml:space="preserve">      </w:t>
      </w:r>
      <w:r w:rsidRPr="004C56B4">
        <w:rPr>
          <w:b/>
          <w:bCs/>
        </w:rPr>
        <w:t>Proportionality</w:t>
      </w:r>
      <w:r w:rsidR="00A80010">
        <w:rPr>
          <w:b/>
          <w:bCs/>
        </w:rPr>
        <w:t xml:space="preserve"> – Section </w:t>
      </w:r>
      <w:r w:rsidRPr="004C56B4">
        <w:rPr>
          <w:b/>
          <w:bCs/>
        </w:rPr>
        <w:t>28(2)</w:t>
      </w:r>
      <w:r w:rsidR="00A80010">
        <w:rPr>
          <w:b/>
          <w:bCs/>
        </w:rPr>
        <w:t>(e) Human Rights Act</w:t>
      </w:r>
    </w:p>
    <w:p w14:paraId="14F4343E" w14:textId="19E9E2A6" w:rsidR="00EA0F4E" w:rsidRDefault="00B30DA1" w:rsidP="004C56B4">
      <w:pPr>
        <w:pStyle w:val="BodyText"/>
        <w:spacing w:after="240"/>
      </w:pPr>
      <w:r>
        <w:t>The Bill’s limiting of the right to equality is necessary to ensure the Bill achieves its reasonable objectives, while remaining appropriately narrow in application</w:t>
      </w:r>
      <w:r w:rsidR="00EA0F4E">
        <w:t>.</w:t>
      </w:r>
    </w:p>
    <w:p w14:paraId="22062105" w14:textId="3CA8C349" w:rsidR="00EA0F4E" w:rsidRDefault="00EA0F4E" w:rsidP="004C56B4">
      <w:pPr>
        <w:pStyle w:val="BodyText"/>
        <w:spacing w:after="240"/>
      </w:pPr>
      <w:r>
        <w:t>The right to equality is only limited</w:t>
      </w:r>
      <w:r w:rsidR="00A80010">
        <w:t xml:space="preserve"> in narrow circumstances,</w:t>
      </w:r>
      <w:r>
        <w:t xml:space="preserve"> after prescribed procedural steps are followed; that is, only after a police officer issues an official warning in the terms set out in the Bill.</w:t>
      </w:r>
    </w:p>
    <w:p w14:paraId="171227FA" w14:textId="31589E36" w:rsidR="00F26D2D" w:rsidRDefault="00F26D2D" w:rsidP="004C56B4">
      <w:pPr>
        <w:pStyle w:val="BodyText"/>
        <w:spacing w:after="240"/>
      </w:pPr>
      <w:r>
        <w:t xml:space="preserve">To appropriately </w:t>
      </w:r>
      <w:r w:rsidR="00A80010">
        <w:t>balance</w:t>
      </w:r>
      <w:r>
        <w:t xml:space="preserve"> the limitation, a wide range of exempted circumstances preserve the right to equality in most ordinary circumstances of day-to-day life,</w:t>
      </w:r>
      <w:r w:rsidRPr="00F26D2D">
        <w:t xml:space="preserve"> including in relation to family members, education and employment, and access to key health and welfare services, such as housing and financial assistance services.</w:t>
      </w:r>
      <w:r>
        <w:t xml:space="preserve"> </w:t>
      </w:r>
    </w:p>
    <w:p w14:paraId="211D7148" w14:textId="2DD97F20" w:rsidR="00A95D36" w:rsidRPr="004C56B4" w:rsidRDefault="002B0F2F" w:rsidP="004C56B4">
      <w:pPr>
        <w:pStyle w:val="BodyText"/>
        <w:spacing w:after="120"/>
        <w:rPr>
          <w:b/>
          <w:bCs/>
          <w:color w:val="000000" w:themeColor="text1"/>
        </w:rPr>
      </w:pPr>
      <w:r w:rsidRPr="004C56B4">
        <w:rPr>
          <w:b/>
          <w:bCs/>
          <w:color w:val="000000" w:themeColor="text1"/>
        </w:rPr>
        <w:t>Section 13 – Right to freedom of movement</w:t>
      </w:r>
    </w:p>
    <w:p w14:paraId="3A19E955" w14:textId="3D5786FB" w:rsidR="00F20440" w:rsidRPr="004C56B4" w:rsidRDefault="00F20440" w:rsidP="004C56B4">
      <w:pPr>
        <w:pStyle w:val="BodyText"/>
        <w:spacing w:after="120"/>
        <w:rPr>
          <w:b/>
          <w:bCs/>
          <w:spacing w:val="-2"/>
        </w:rPr>
      </w:pPr>
      <w:r w:rsidRPr="004C56B4">
        <w:rPr>
          <w:b/>
          <w:bCs/>
          <w:spacing w:val="-2"/>
        </w:rPr>
        <w:t>1.</w:t>
      </w:r>
      <w:r w:rsidRPr="004C56B4">
        <w:rPr>
          <w:b/>
          <w:bCs/>
          <w:spacing w:val="-2"/>
        </w:rPr>
        <w:tab/>
        <w:t xml:space="preserve">Nature of the right and the limitation </w:t>
      </w:r>
      <w:r w:rsidR="00A80010">
        <w:rPr>
          <w:b/>
          <w:bCs/>
          <w:spacing w:val="-2"/>
        </w:rPr>
        <w:t xml:space="preserve">– Sections </w:t>
      </w:r>
      <w:r w:rsidRPr="004C56B4">
        <w:rPr>
          <w:b/>
          <w:bCs/>
          <w:spacing w:val="-2"/>
        </w:rPr>
        <w:t>28(2)(a) and (c)</w:t>
      </w:r>
      <w:r w:rsidR="00A80010">
        <w:rPr>
          <w:b/>
          <w:bCs/>
          <w:spacing w:val="-2"/>
        </w:rPr>
        <w:t xml:space="preserve"> Human Rights Act</w:t>
      </w:r>
    </w:p>
    <w:p w14:paraId="20E78FD0" w14:textId="5E007165" w:rsidR="00F20440" w:rsidRDefault="00F20440" w:rsidP="00C52052">
      <w:pPr>
        <w:pStyle w:val="BodyText"/>
        <w:spacing w:before="1" w:after="120"/>
        <w:rPr>
          <w:spacing w:val="-2"/>
        </w:rPr>
      </w:pPr>
      <w:r>
        <w:rPr>
          <w:spacing w:val="-2"/>
        </w:rPr>
        <w:t>Section 13 of the HRA recognises the right of all people to move freely within the ACT.</w:t>
      </w:r>
    </w:p>
    <w:p w14:paraId="40EEB066" w14:textId="4B6E42ED" w:rsidR="00F20440" w:rsidRDefault="00F20440" w:rsidP="00C52052">
      <w:pPr>
        <w:pStyle w:val="BodyText"/>
        <w:spacing w:before="1" w:after="120"/>
        <w:rPr>
          <w:spacing w:val="-2"/>
        </w:rPr>
      </w:pPr>
      <w:r>
        <w:rPr>
          <w:spacing w:val="-2"/>
        </w:rPr>
        <w:t xml:space="preserve">By restricting a person’s ability to consort with convicted offenders, the recipient of an official warning may not be able to move entirely freely, without restriction, in avoiding the company of </w:t>
      </w:r>
      <w:r>
        <w:rPr>
          <w:spacing w:val="-2"/>
        </w:rPr>
        <w:lastRenderedPageBreak/>
        <w:t>the convicted offenders who are the subject of an official warning.</w:t>
      </w:r>
    </w:p>
    <w:p w14:paraId="7CB0D706" w14:textId="6111EA1F" w:rsidR="00F20440" w:rsidRDefault="00F20440" w:rsidP="004C56B4">
      <w:pPr>
        <w:pStyle w:val="BodyText"/>
        <w:spacing w:after="240"/>
        <w:rPr>
          <w:spacing w:val="-2"/>
        </w:rPr>
      </w:pPr>
      <w:r>
        <w:rPr>
          <w:spacing w:val="-2"/>
        </w:rPr>
        <w:t>This right is not heavily or automatically burdened by the Bill. The</w:t>
      </w:r>
      <w:r w:rsidR="00A5153C">
        <w:rPr>
          <w:spacing w:val="-2"/>
        </w:rPr>
        <w:t xml:space="preserve"> right is only limited in a narrow set of circumstances, </w:t>
      </w:r>
      <w:r>
        <w:rPr>
          <w:spacing w:val="-2"/>
        </w:rPr>
        <w:t>wh</w:t>
      </w:r>
      <w:r w:rsidR="00A5153C">
        <w:rPr>
          <w:spacing w:val="-2"/>
        </w:rPr>
        <w:t>en</w:t>
      </w:r>
      <w:r>
        <w:rPr>
          <w:spacing w:val="-2"/>
        </w:rPr>
        <w:t xml:space="preserve"> an official warning is issued and to the extent that the </w:t>
      </w:r>
      <w:r w:rsidR="00A5153C">
        <w:rPr>
          <w:spacing w:val="-2"/>
        </w:rPr>
        <w:t>relevant</w:t>
      </w:r>
      <w:r>
        <w:rPr>
          <w:spacing w:val="-2"/>
        </w:rPr>
        <w:t xml:space="preserve"> convicted offenders occupy the same loca</w:t>
      </w:r>
      <w:r w:rsidR="00A5153C">
        <w:rPr>
          <w:spacing w:val="-2"/>
        </w:rPr>
        <w:t>tion as the</w:t>
      </w:r>
      <w:r>
        <w:rPr>
          <w:spacing w:val="-2"/>
        </w:rPr>
        <w:t xml:space="preserve"> recipient of an official warning</w:t>
      </w:r>
      <w:r w:rsidR="00A5153C">
        <w:rPr>
          <w:spacing w:val="-2"/>
        </w:rPr>
        <w:t>.</w:t>
      </w:r>
    </w:p>
    <w:p w14:paraId="1B27A226" w14:textId="04E5382A" w:rsidR="00F20440" w:rsidRPr="004C56B4" w:rsidRDefault="00A5153C" w:rsidP="00C52052">
      <w:pPr>
        <w:pStyle w:val="BodyText"/>
        <w:spacing w:before="1" w:after="120"/>
        <w:rPr>
          <w:b/>
          <w:bCs/>
          <w:spacing w:val="-2"/>
        </w:rPr>
      </w:pPr>
      <w:r w:rsidRPr="004C56B4">
        <w:rPr>
          <w:b/>
          <w:bCs/>
          <w:spacing w:val="-2"/>
        </w:rPr>
        <w:t>2.</w:t>
      </w:r>
      <w:r w:rsidRPr="004C56B4">
        <w:rPr>
          <w:b/>
          <w:bCs/>
          <w:spacing w:val="-2"/>
        </w:rPr>
        <w:tab/>
        <w:t xml:space="preserve">    Legitimate purpose </w:t>
      </w:r>
      <w:r w:rsidR="00A04698">
        <w:rPr>
          <w:b/>
          <w:bCs/>
          <w:spacing w:val="-2"/>
        </w:rPr>
        <w:t xml:space="preserve">– Sections </w:t>
      </w:r>
      <w:r w:rsidRPr="004C56B4">
        <w:rPr>
          <w:b/>
          <w:bCs/>
          <w:spacing w:val="-2"/>
        </w:rPr>
        <w:t>28(2)(b)</w:t>
      </w:r>
      <w:r w:rsidR="00A04698">
        <w:rPr>
          <w:b/>
          <w:bCs/>
          <w:spacing w:val="-2"/>
        </w:rPr>
        <w:t xml:space="preserve"> Human Rights Act</w:t>
      </w:r>
    </w:p>
    <w:p w14:paraId="4B7F2D62" w14:textId="4376ACDA" w:rsidR="00A5153C" w:rsidRDefault="00A5153C" w:rsidP="00555977">
      <w:pPr>
        <w:pStyle w:val="BodyText"/>
        <w:spacing w:after="480"/>
        <w:rPr>
          <w:spacing w:val="-2"/>
        </w:rPr>
      </w:pPr>
      <w:r>
        <w:rPr>
          <w:spacing w:val="-2"/>
        </w:rPr>
        <w:t>The legitimate purpose of the limitation is to protect the community from violence and serious crime by restricting the ability of certain individuals to consort in-person with convicted offenders, where an official warning has been issued.</w:t>
      </w:r>
    </w:p>
    <w:p w14:paraId="5F72C784" w14:textId="4DE8078D" w:rsidR="00A5153C" w:rsidRPr="004C56B4" w:rsidRDefault="00A5153C" w:rsidP="00555977">
      <w:pPr>
        <w:pStyle w:val="BodyText"/>
        <w:spacing w:before="120" w:after="120"/>
        <w:ind w:left="567" w:hanging="567"/>
        <w:rPr>
          <w:b/>
          <w:bCs/>
          <w:spacing w:val="-2"/>
        </w:rPr>
      </w:pPr>
      <w:r w:rsidRPr="004C56B4">
        <w:rPr>
          <w:b/>
          <w:bCs/>
          <w:spacing w:val="-2"/>
        </w:rPr>
        <w:t>3.</w:t>
      </w:r>
      <w:r w:rsidRPr="004C56B4">
        <w:rPr>
          <w:b/>
          <w:bCs/>
          <w:spacing w:val="-2"/>
        </w:rPr>
        <w:tab/>
        <w:t>Rational connection between the limitation and its purpose</w:t>
      </w:r>
      <w:r w:rsidR="00A04698">
        <w:rPr>
          <w:b/>
          <w:bCs/>
          <w:spacing w:val="-2"/>
        </w:rPr>
        <w:t xml:space="preserve"> – Section </w:t>
      </w:r>
      <w:r w:rsidRPr="004C56B4">
        <w:rPr>
          <w:b/>
          <w:bCs/>
          <w:spacing w:val="-2"/>
        </w:rPr>
        <w:t>28(2)(d)</w:t>
      </w:r>
      <w:r w:rsidR="00A04698">
        <w:rPr>
          <w:b/>
          <w:bCs/>
          <w:spacing w:val="-2"/>
        </w:rPr>
        <w:t xml:space="preserve"> Human Rights Act</w:t>
      </w:r>
    </w:p>
    <w:p w14:paraId="11E650FA" w14:textId="50D72B15" w:rsidR="00A5153C" w:rsidRDefault="00614858" w:rsidP="004C56B4">
      <w:pPr>
        <w:pStyle w:val="BodyText"/>
        <w:spacing w:before="1" w:after="240"/>
        <w:rPr>
          <w:spacing w:val="-2"/>
        </w:rPr>
      </w:pPr>
      <w:r>
        <w:rPr>
          <w:spacing w:val="-2"/>
        </w:rPr>
        <w:t xml:space="preserve">The limitation on the right </w:t>
      </w:r>
      <w:r w:rsidR="00A5153C">
        <w:rPr>
          <w:spacing w:val="-2"/>
        </w:rPr>
        <w:t xml:space="preserve">is necessary to prevent </w:t>
      </w:r>
      <w:r>
        <w:rPr>
          <w:spacing w:val="-2"/>
        </w:rPr>
        <w:t xml:space="preserve">harmful </w:t>
      </w:r>
      <w:r w:rsidR="00A5153C">
        <w:rPr>
          <w:spacing w:val="-2"/>
        </w:rPr>
        <w:t>consorting</w:t>
      </w:r>
      <w:r>
        <w:rPr>
          <w:spacing w:val="-2"/>
        </w:rPr>
        <w:t xml:space="preserve"> that may occur</w:t>
      </w:r>
      <w:r w:rsidR="00A5153C">
        <w:rPr>
          <w:spacing w:val="-2"/>
        </w:rPr>
        <w:t xml:space="preserve"> in-perso</w:t>
      </w:r>
      <w:r>
        <w:rPr>
          <w:spacing w:val="-2"/>
        </w:rPr>
        <w:t xml:space="preserve">n, between recipients of an official warning and the relevant convicted offenders.  </w:t>
      </w:r>
    </w:p>
    <w:p w14:paraId="55461B80" w14:textId="1FEA194F" w:rsidR="00614858" w:rsidRPr="004C56B4" w:rsidRDefault="00614858" w:rsidP="00555977">
      <w:pPr>
        <w:pStyle w:val="BodyText"/>
        <w:spacing w:before="100" w:beforeAutospacing="1" w:after="120"/>
        <w:rPr>
          <w:b/>
          <w:bCs/>
          <w:spacing w:val="-2"/>
        </w:rPr>
      </w:pPr>
      <w:r w:rsidRPr="004C56B4">
        <w:rPr>
          <w:b/>
          <w:bCs/>
          <w:spacing w:val="-2"/>
        </w:rPr>
        <w:t>4.</w:t>
      </w:r>
      <w:r w:rsidRPr="004C56B4">
        <w:rPr>
          <w:b/>
          <w:bCs/>
          <w:spacing w:val="-2"/>
        </w:rPr>
        <w:tab/>
        <w:t xml:space="preserve">      Proportionality </w:t>
      </w:r>
      <w:r w:rsidR="00A04698">
        <w:rPr>
          <w:b/>
          <w:bCs/>
          <w:spacing w:val="-2"/>
        </w:rPr>
        <w:t xml:space="preserve">– Section </w:t>
      </w:r>
      <w:r w:rsidRPr="004C56B4">
        <w:rPr>
          <w:b/>
          <w:bCs/>
          <w:spacing w:val="-2"/>
        </w:rPr>
        <w:t>28(2)(e)</w:t>
      </w:r>
      <w:r w:rsidR="00A04698">
        <w:rPr>
          <w:b/>
          <w:bCs/>
          <w:spacing w:val="-2"/>
        </w:rPr>
        <w:t xml:space="preserve"> Human Rights Act</w:t>
      </w:r>
    </w:p>
    <w:p w14:paraId="761FE535" w14:textId="0F026D6E" w:rsidR="00C52052" w:rsidRDefault="00C52052" w:rsidP="00555977">
      <w:pPr>
        <w:pStyle w:val="BodyText"/>
        <w:spacing w:before="100" w:beforeAutospacing="1" w:after="240"/>
        <w:rPr>
          <w:spacing w:val="-2"/>
        </w:rPr>
      </w:pPr>
      <w:r>
        <w:rPr>
          <w:spacing w:val="-2"/>
        </w:rPr>
        <w:t xml:space="preserve">This right </w:t>
      </w:r>
      <w:r w:rsidR="00614858">
        <w:rPr>
          <w:spacing w:val="-2"/>
        </w:rPr>
        <w:t xml:space="preserve">will </w:t>
      </w:r>
      <w:r>
        <w:rPr>
          <w:spacing w:val="-2"/>
        </w:rPr>
        <w:t>only</w:t>
      </w:r>
      <w:r w:rsidR="00A04698">
        <w:rPr>
          <w:spacing w:val="-2"/>
        </w:rPr>
        <w:t xml:space="preserve"> be</w:t>
      </w:r>
      <w:r>
        <w:rPr>
          <w:spacing w:val="-2"/>
        </w:rPr>
        <w:t xml:space="preserve"> limited </w:t>
      </w:r>
      <w:r w:rsidR="00614858">
        <w:rPr>
          <w:spacing w:val="-2"/>
        </w:rPr>
        <w:t>in</w:t>
      </w:r>
      <w:r>
        <w:rPr>
          <w:spacing w:val="-2"/>
        </w:rPr>
        <w:t xml:space="preserve"> a narrow set of circumstances</w:t>
      </w:r>
      <w:r w:rsidR="00614858">
        <w:rPr>
          <w:spacing w:val="-2"/>
        </w:rPr>
        <w:t xml:space="preserve"> and for the specified period of time during which the official notice is </w:t>
      </w:r>
      <w:r w:rsidR="00A04698">
        <w:rPr>
          <w:spacing w:val="-2"/>
        </w:rPr>
        <w:t>in operation.</w:t>
      </w:r>
    </w:p>
    <w:p w14:paraId="40A9212F" w14:textId="27408FB4" w:rsidR="00C52052" w:rsidRDefault="00C52052" w:rsidP="00555977">
      <w:pPr>
        <w:pStyle w:val="BodyText"/>
        <w:spacing w:before="100" w:beforeAutospacing="1" w:after="240"/>
        <w:rPr>
          <w:spacing w:val="-2"/>
        </w:rPr>
      </w:pPr>
      <w:r>
        <w:rPr>
          <w:spacing w:val="-2"/>
        </w:rPr>
        <w:t xml:space="preserve">Again, the Bill accounts for a series of </w:t>
      </w:r>
      <w:r w:rsidR="00614858">
        <w:rPr>
          <w:spacing w:val="-2"/>
        </w:rPr>
        <w:t xml:space="preserve">reasonably, </w:t>
      </w:r>
      <w:r>
        <w:rPr>
          <w:spacing w:val="-2"/>
        </w:rPr>
        <w:t>personally significant</w:t>
      </w:r>
      <w:r w:rsidR="00614858">
        <w:rPr>
          <w:spacing w:val="-2"/>
        </w:rPr>
        <w:t xml:space="preserve"> </w:t>
      </w:r>
      <w:r>
        <w:rPr>
          <w:spacing w:val="-2"/>
        </w:rPr>
        <w:t xml:space="preserve">circumstances wherein this right should not be limited, </w:t>
      </w:r>
      <w:r w:rsidR="00614858">
        <w:rPr>
          <w:spacing w:val="-2"/>
        </w:rPr>
        <w:t>appropriately balancing the narrow limitation of the right, against the familial, social, employment, educational, health and welfare needs of those subject to the limitation.</w:t>
      </w:r>
    </w:p>
    <w:p w14:paraId="32431273" w14:textId="39D2A5B6" w:rsidR="00A95D36" w:rsidRPr="004C56B4" w:rsidRDefault="00A95D36" w:rsidP="004C56B4">
      <w:pPr>
        <w:pStyle w:val="BodyText"/>
        <w:spacing w:after="120"/>
        <w:rPr>
          <w:b/>
          <w:bCs/>
          <w:u w:val="single"/>
        </w:rPr>
      </w:pPr>
      <w:r w:rsidRPr="004C56B4">
        <w:rPr>
          <w:b/>
          <w:bCs/>
          <w:u w:val="single"/>
        </w:rPr>
        <w:t>Section 12 – Right to privacy and reputation</w:t>
      </w:r>
    </w:p>
    <w:p w14:paraId="6D8F2311" w14:textId="1C8FE03D" w:rsidR="00614858" w:rsidRPr="004C56B4" w:rsidRDefault="00614858" w:rsidP="004C56B4">
      <w:pPr>
        <w:pStyle w:val="BodyText"/>
        <w:spacing w:after="120"/>
        <w:rPr>
          <w:b/>
          <w:bCs/>
        </w:rPr>
      </w:pPr>
      <w:r w:rsidRPr="004C56B4">
        <w:rPr>
          <w:b/>
          <w:bCs/>
        </w:rPr>
        <w:t>1.</w:t>
      </w:r>
      <w:r w:rsidRPr="004C56B4">
        <w:rPr>
          <w:b/>
          <w:bCs/>
        </w:rPr>
        <w:tab/>
        <w:t xml:space="preserve">Nature of the right and the limitation </w:t>
      </w:r>
      <w:r w:rsidR="00A04698">
        <w:rPr>
          <w:b/>
          <w:bCs/>
        </w:rPr>
        <w:t xml:space="preserve">– Section </w:t>
      </w:r>
      <w:r w:rsidRPr="004C56B4">
        <w:rPr>
          <w:b/>
          <w:bCs/>
        </w:rPr>
        <w:t>28(2)(a) and (c)</w:t>
      </w:r>
      <w:r w:rsidR="00A04698">
        <w:rPr>
          <w:b/>
          <w:bCs/>
        </w:rPr>
        <w:t xml:space="preserve"> Human Rights Act</w:t>
      </w:r>
    </w:p>
    <w:p w14:paraId="3721692C" w14:textId="3D50377D" w:rsidR="00CF59BD" w:rsidRDefault="00614858" w:rsidP="00555977">
      <w:pPr>
        <w:pStyle w:val="BodyText"/>
        <w:spacing w:after="240"/>
      </w:pPr>
      <w:r>
        <w:t xml:space="preserve">Section 12 recognises the right of all people in the ACT not to have their </w:t>
      </w:r>
      <w:r w:rsidR="00CF59BD">
        <w:t>privacy, family, home or correspondence unlawfully or arbitrarily interfered with, and the right not to have their reputation attacked.</w:t>
      </w:r>
    </w:p>
    <w:p w14:paraId="57AF6B28" w14:textId="496D9724" w:rsidR="00CF59BD" w:rsidRDefault="00C52052" w:rsidP="00555977">
      <w:pPr>
        <w:pStyle w:val="BodyText"/>
        <w:spacing w:after="240"/>
      </w:pPr>
      <w:r>
        <w:t>The Bill is capable of incidentally limit</w:t>
      </w:r>
      <w:r w:rsidR="00A04698">
        <w:t>ing</w:t>
      </w:r>
      <w:r>
        <w:t xml:space="preserve"> the right to privacy and reputation for convicted offenders who are </w:t>
      </w:r>
      <w:r w:rsidR="00A04698">
        <w:t xml:space="preserve">listed in </w:t>
      </w:r>
      <w:r>
        <w:t>official warnings</w:t>
      </w:r>
      <w:r w:rsidR="00CF59BD">
        <w:t>, by requiring police officers to name the convicted offenders in an official warning and so, reveal that they have committed an indictable offence.</w:t>
      </w:r>
    </w:p>
    <w:p w14:paraId="56D5EC82" w14:textId="0C4C2D07" w:rsidR="00C52052" w:rsidRDefault="00C52052" w:rsidP="00C52052">
      <w:pPr>
        <w:pStyle w:val="BodyText"/>
      </w:pPr>
      <w:r>
        <w:t>However, this right is not significantly burdened, given that the official warning given by a police officer does not require the police officer to provide any details of the relevant offending; only that the named individual is a convicted offender.</w:t>
      </w:r>
    </w:p>
    <w:p w14:paraId="11C2782F" w14:textId="77777777" w:rsidR="00CF59BD" w:rsidRDefault="00CF59BD" w:rsidP="00C52052">
      <w:pPr>
        <w:pStyle w:val="BodyText"/>
      </w:pPr>
    </w:p>
    <w:p w14:paraId="6DDF5135" w14:textId="60338D99" w:rsidR="00CF59BD" w:rsidRPr="004C56B4" w:rsidRDefault="00CF59BD" w:rsidP="004C56B4">
      <w:pPr>
        <w:pStyle w:val="BodyText"/>
        <w:spacing w:after="120"/>
        <w:rPr>
          <w:b/>
          <w:bCs/>
        </w:rPr>
      </w:pPr>
      <w:r w:rsidRPr="004C56B4">
        <w:rPr>
          <w:b/>
          <w:bCs/>
        </w:rPr>
        <w:t>2.</w:t>
      </w:r>
      <w:r w:rsidRPr="004C56B4">
        <w:rPr>
          <w:b/>
          <w:bCs/>
        </w:rPr>
        <w:tab/>
        <w:t xml:space="preserve">Legitimate purpose </w:t>
      </w:r>
      <w:r w:rsidR="00310D51">
        <w:rPr>
          <w:b/>
          <w:bCs/>
        </w:rPr>
        <w:t xml:space="preserve">– Section </w:t>
      </w:r>
      <w:r w:rsidRPr="004C56B4">
        <w:rPr>
          <w:b/>
          <w:bCs/>
        </w:rPr>
        <w:t>28(2)(b)</w:t>
      </w:r>
      <w:r w:rsidR="00310D51">
        <w:rPr>
          <w:b/>
          <w:bCs/>
        </w:rPr>
        <w:t xml:space="preserve"> Human Rights Act </w:t>
      </w:r>
    </w:p>
    <w:p w14:paraId="0BD0F4A3" w14:textId="61681D10" w:rsidR="00CF59BD" w:rsidRDefault="00CF59BD" w:rsidP="00555977">
      <w:pPr>
        <w:pStyle w:val="BodyText"/>
        <w:spacing w:after="240"/>
      </w:pPr>
      <w:r>
        <w:t xml:space="preserve">The legitimate purpose of the limitation is to protect </w:t>
      </w:r>
      <w:r w:rsidR="00310D51">
        <w:t xml:space="preserve">the community </w:t>
      </w:r>
      <w:r>
        <w:t xml:space="preserve">from violence and serious crime, by enabling police officers to issue official warnings which prevent harmful </w:t>
      </w:r>
      <w:r w:rsidR="00310D51">
        <w:t xml:space="preserve">habitual </w:t>
      </w:r>
      <w:r>
        <w:t>consorting with convicted offenders.</w:t>
      </w:r>
    </w:p>
    <w:p w14:paraId="60663C88" w14:textId="722FDF80" w:rsidR="00CF59BD" w:rsidRDefault="00CF59BD" w:rsidP="00555977">
      <w:pPr>
        <w:pStyle w:val="BodyText"/>
        <w:spacing w:after="240"/>
      </w:pPr>
      <w:r>
        <w:t xml:space="preserve">Specifically, the purpose of the limitation is to enable the issuing of official warnings, on which </w:t>
      </w:r>
      <w:r>
        <w:lastRenderedPageBreak/>
        <w:t>the broader objective</w:t>
      </w:r>
      <w:r w:rsidR="00EE7C69">
        <w:t>s</w:t>
      </w:r>
      <w:r>
        <w:t xml:space="preserve"> of the Bill depend.</w:t>
      </w:r>
    </w:p>
    <w:p w14:paraId="683BC625" w14:textId="2B0D4F72" w:rsidR="00CF59BD" w:rsidRPr="004C56B4" w:rsidRDefault="00CF59BD" w:rsidP="00555977">
      <w:pPr>
        <w:pStyle w:val="BodyText"/>
        <w:numPr>
          <w:ilvl w:val="0"/>
          <w:numId w:val="5"/>
        </w:numPr>
        <w:spacing w:after="120"/>
        <w:ind w:left="709" w:hanging="709"/>
        <w:rPr>
          <w:b/>
          <w:bCs/>
        </w:rPr>
      </w:pPr>
      <w:r w:rsidRPr="004C56B4">
        <w:rPr>
          <w:b/>
          <w:bCs/>
        </w:rPr>
        <w:t>Rational connection</w:t>
      </w:r>
      <w:r w:rsidR="001512C6">
        <w:rPr>
          <w:b/>
          <w:bCs/>
        </w:rPr>
        <w:t xml:space="preserve"> </w:t>
      </w:r>
      <w:r w:rsidR="00310D51">
        <w:rPr>
          <w:b/>
          <w:bCs/>
        </w:rPr>
        <w:t xml:space="preserve">– Section </w:t>
      </w:r>
      <w:r w:rsidRPr="004C56B4">
        <w:rPr>
          <w:b/>
          <w:bCs/>
        </w:rPr>
        <w:t>28(2)(d)</w:t>
      </w:r>
      <w:r w:rsidR="00310D51">
        <w:rPr>
          <w:b/>
          <w:bCs/>
        </w:rPr>
        <w:t xml:space="preserve"> Human Rights Act</w:t>
      </w:r>
    </w:p>
    <w:p w14:paraId="35F8B52D" w14:textId="360B0565" w:rsidR="00310D51" w:rsidRDefault="00EE7C69" w:rsidP="00C52052">
      <w:pPr>
        <w:pStyle w:val="BodyText"/>
      </w:pPr>
      <w:r>
        <w:t xml:space="preserve">Limiting the privacy of convicted offenders by naming them in official warnings, is directly </w:t>
      </w:r>
      <w:r w:rsidR="00310D51">
        <w:t>necessary</w:t>
      </w:r>
      <w:r>
        <w:t xml:space="preserve"> to the effective operation of official warnings, which underpin the Bill’s capacity to prevent violence and crime arising from harmful consorting. </w:t>
      </w:r>
    </w:p>
    <w:p w14:paraId="1048CD65" w14:textId="77777777" w:rsidR="00310D51" w:rsidRDefault="00310D51" w:rsidP="00C52052">
      <w:pPr>
        <w:pStyle w:val="BodyText"/>
      </w:pPr>
    </w:p>
    <w:p w14:paraId="40073288" w14:textId="5A39B887" w:rsidR="00EE7C69" w:rsidRPr="004C56B4" w:rsidRDefault="00F551EB" w:rsidP="004C56B4">
      <w:pPr>
        <w:pStyle w:val="BodyText"/>
        <w:numPr>
          <w:ilvl w:val="0"/>
          <w:numId w:val="5"/>
        </w:numPr>
        <w:spacing w:after="120"/>
        <w:ind w:hanging="720"/>
        <w:rPr>
          <w:b/>
          <w:bCs/>
        </w:rPr>
      </w:pPr>
      <w:r>
        <w:rPr>
          <w:b/>
          <w:bCs/>
        </w:rPr>
        <w:t xml:space="preserve">Proportionality </w:t>
      </w:r>
      <w:r w:rsidR="00310D51">
        <w:rPr>
          <w:b/>
          <w:bCs/>
        </w:rPr>
        <w:t>– S</w:t>
      </w:r>
      <w:r w:rsidR="001512C6">
        <w:rPr>
          <w:b/>
          <w:bCs/>
        </w:rPr>
        <w:t>ection</w:t>
      </w:r>
      <w:r w:rsidR="00310D51">
        <w:rPr>
          <w:b/>
          <w:bCs/>
        </w:rPr>
        <w:t xml:space="preserve"> </w:t>
      </w:r>
      <w:r>
        <w:rPr>
          <w:b/>
          <w:bCs/>
        </w:rPr>
        <w:t>28(2)(e)</w:t>
      </w:r>
      <w:r w:rsidR="00310D51">
        <w:rPr>
          <w:b/>
          <w:bCs/>
        </w:rPr>
        <w:t xml:space="preserve"> Human Rights Act</w:t>
      </w:r>
    </w:p>
    <w:p w14:paraId="7B8B9D00" w14:textId="5FDAC357" w:rsidR="00F551EB" w:rsidRDefault="00F551EB" w:rsidP="00555977">
      <w:pPr>
        <w:pStyle w:val="BodyText"/>
        <w:spacing w:after="240"/>
      </w:pPr>
      <w:r>
        <w:t xml:space="preserve">The limitation is proportionate because official warnings </w:t>
      </w:r>
      <w:r w:rsidR="00310D51">
        <w:t>do not</w:t>
      </w:r>
      <w:r>
        <w:t xml:space="preserve"> require police officers to reveal </w:t>
      </w:r>
      <w:r w:rsidR="00310D51">
        <w:t>further details relating to the offending, apart from identifying</w:t>
      </w:r>
      <w:r>
        <w:t xml:space="preserve"> </w:t>
      </w:r>
      <w:r w:rsidR="00310D51">
        <w:t>the relevant</w:t>
      </w:r>
      <w:r>
        <w:t xml:space="preserve"> person </w:t>
      </w:r>
      <w:r w:rsidR="00310D51">
        <w:t xml:space="preserve">as </w:t>
      </w:r>
      <w:r>
        <w:t>a convicted offender</w:t>
      </w:r>
      <w:r w:rsidR="00310D51">
        <w:t>. T</w:t>
      </w:r>
      <w:r>
        <w:t xml:space="preserve">his information can only be revealed for the purpose of issuing an official warning. </w:t>
      </w:r>
    </w:p>
    <w:p w14:paraId="0C1FA72E" w14:textId="5B03FD43" w:rsidR="00A95D36" w:rsidRDefault="00F551EB" w:rsidP="00C52052">
      <w:pPr>
        <w:pStyle w:val="BodyText"/>
      </w:pPr>
      <w:r>
        <w:t>A</w:t>
      </w:r>
      <w:r w:rsidR="00C52052">
        <w:t xml:space="preserve"> series of circumstances </w:t>
      </w:r>
      <w:r>
        <w:t>affecting</w:t>
      </w:r>
      <w:r w:rsidR="00C52052">
        <w:t xml:space="preserve"> convicted offender</w:t>
      </w:r>
      <w:r>
        <w:t>s’ routine interactions and activities are expressly exempted from being subject to</w:t>
      </w:r>
      <w:r w:rsidR="00310D51">
        <w:t xml:space="preserve"> the offence provisions</w:t>
      </w:r>
      <w:r>
        <w:t xml:space="preserve">, where those interactions and activities are reasonable in the circumstances, further protecting offenders’ privacy in the vast majority of their </w:t>
      </w:r>
      <w:r w:rsidR="00027AAF">
        <w:t>day-to-day interactions.</w:t>
      </w:r>
    </w:p>
    <w:p w14:paraId="37F81A06" w14:textId="77777777" w:rsidR="00A95D36" w:rsidRDefault="00A95D36" w:rsidP="00633015">
      <w:pPr>
        <w:pStyle w:val="BodyText"/>
      </w:pPr>
    </w:p>
    <w:p w14:paraId="1EBA17AA" w14:textId="510CB574" w:rsidR="00A95D36" w:rsidRPr="004C56B4" w:rsidRDefault="00A95D36" w:rsidP="004C56B4">
      <w:pPr>
        <w:pStyle w:val="BodyText"/>
        <w:spacing w:after="120"/>
        <w:rPr>
          <w:b/>
          <w:bCs/>
        </w:rPr>
      </w:pPr>
      <w:r w:rsidRPr="004C56B4">
        <w:rPr>
          <w:b/>
          <w:bCs/>
          <w:u w:val="single"/>
        </w:rPr>
        <w:t>Section 11 – Right to protection of the family and children</w:t>
      </w:r>
    </w:p>
    <w:p w14:paraId="44606C15" w14:textId="599BDB46" w:rsidR="00027AAF" w:rsidRPr="004C56B4" w:rsidRDefault="00027AAF" w:rsidP="004C56B4">
      <w:pPr>
        <w:pStyle w:val="BodyText"/>
        <w:spacing w:after="120"/>
        <w:rPr>
          <w:b/>
          <w:bCs/>
        </w:rPr>
      </w:pPr>
      <w:r w:rsidRPr="004C56B4">
        <w:rPr>
          <w:b/>
          <w:bCs/>
        </w:rPr>
        <w:t>1.</w:t>
      </w:r>
      <w:r w:rsidRPr="004C56B4">
        <w:rPr>
          <w:b/>
          <w:bCs/>
        </w:rPr>
        <w:tab/>
        <w:t xml:space="preserve">Nature of the right and the limitation </w:t>
      </w:r>
      <w:r w:rsidR="00310D51">
        <w:rPr>
          <w:b/>
          <w:bCs/>
        </w:rPr>
        <w:t xml:space="preserve">– Sections </w:t>
      </w:r>
      <w:r w:rsidRPr="004C56B4">
        <w:rPr>
          <w:b/>
          <w:bCs/>
        </w:rPr>
        <w:t>28(2)(a) and (c)</w:t>
      </w:r>
    </w:p>
    <w:p w14:paraId="6B75A1F7" w14:textId="2C92E3AF" w:rsidR="00027AAF" w:rsidRDefault="00027AAF" w:rsidP="00555977">
      <w:pPr>
        <w:pStyle w:val="BodyText"/>
        <w:spacing w:after="240"/>
      </w:pPr>
      <w:r>
        <w:t xml:space="preserve">Section 11 recognises the family as the natural and basic group unit of society and </w:t>
      </w:r>
      <w:r w:rsidR="00310D51">
        <w:t xml:space="preserve">additionally </w:t>
      </w:r>
      <w:r>
        <w:t>recongises the right</w:t>
      </w:r>
      <w:r w:rsidR="00310D51">
        <w:t xml:space="preserve"> of a child to special protection under the law.</w:t>
      </w:r>
      <w:r>
        <w:t xml:space="preserve"> </w:t>
      </w:r>
    </w:p>
    <w:p w14:paraId="64D5474C" w14:textId="1A35688C" w:rsidR="00C52052" w:rsidRDefault="00C52052" w:rsidP="00555977">
      <w:pPr>
        <w:pStyle w:val="BodyText"/>
        <w:spacing w:after="240"/>
      </w:pPr>
      <w:r>
        <w:t>The Bill may limit the right to the protection of the family because consorting with family members must be reasonable in the circumstances</w:t>
      </w:r>
      <w:r w:rsidR="00027AAF">
        <w:t xml:space="preserve"> to be </w:t>
      </w:r>
      <w:r w:rsidR="00A2195A">
        <w:t xml:space="preserve">exempt from </w:t>
      </w:r>
      <w:r w:rsidR="000E6F7E">
        <w:t xml:space="preserve">the offence provision. </w:t>
      </w:r>
      <w:r w:rsidR="00A2195A">
        <w:t xml:space="preserve">However, this is </w:t>
      </w:r>
      <w:r w:rsidR="000E6F7E">
        <w:t xml:space="preserve">only a </w:t>
      </w:r>
      <w:r w:rsidR="00A2195A">
        <w:t>narrow limitation, given the breadth of circumstances that will be captured by th</w:t>
      </w:r>
      <w:r w:rsidR="000E6F7E">
        <w:t>e low bar created by the</w:t>
      </w:r>
      <w:r w:rsidR="00A2195A">
        <w:t xml:space="preserve"> reasonableness </w:t>
      </w:r>
      <w:r w:rsidR="000E6F7E">
        <w:t xml:space="preserve">threshold. </w:t>
      </w:r>
    </w:p>
    <w:p w14:paraId="269D6CA8" w14:textId="3D5FD5A6" w:rsidR="00C52052" w:rsidRDefault="00A2195A" w:rsidP="00555977">
      <w:pPr>
        <w:pStyle w:val="BodyText"/>
        <w:spacing w:after="240"/>
      </w:pPr>
      <w:r>
        <w:t xml:space="preserve">The definition of </w:t>
      </w:r>
      <w:r w:rsidR="00C52052">
        <w:t xml:space="preserve">“family member” </w:t>
      </w:r>
      <w:r>
        <w:t>is wide to</w:t>
      </w:r>
      <w:r w:rsidR="00C52052">
        <w:t xml:space="preserve"> </w:t>
      </w:r>
      <w:r>
        <w:t xml:space="preserve">bring within its scope </w:t>
      </w:r>
      <w:r w:rsidR="00C52052">
        <w:t>extended family kin, in recognition of indigenous kinship systems that may be relevant to Aboriginal or Torres Strait Islander defendants</w:t>
      </w:r>
      <w:r>
        <w:t>.</w:t>
      </w:r>
    </w:p>
    <w:p w14:paraId="39668BA3" w14:textId="13D18586" w:rsidR="00C52052" w:rsidRDefault="00C52052" w:rsidP="00555977">
      <w:pPr>
        <w:pStyle w:val="BodyText"/>
        <w:spacing w:after="240"/>
      </w:pPr>
      <w:r>
        <w:t>The Bill does apply to young people who are 14 years old or older</w:t>
      </w:r>
      <w:r w:rsidR="000E6F7E">
        <w:t xml:space="preserve">. Therefore, it </w:t>
      </w:r>
      <w:r>
        <w:t>may limit the right</w:t>
      </w:r>
      <w:r w:rsidR="000E6F7E">
        <w:t>s of children protected in</w:t>
      </w:r>
      <w:r>
        <w:t xml:space="preserve"> </w:t>
      </w:r>
      <w:r w:rsidR="00A2195A">
        <w:t>S</w:t>
      </w:r>
      <w:r>
        <w:t>ection 11(2)</w:t>
      </w:r>
      <w:r w:rsidR="00A2195A">
        <w:t>,</w:t>
      </w:r>
      <w:r>
        <w:t xml:space="preserve"> because official warnings can be issued to young people who are 14 years old or older.</w:t>
      </w:r>
    </w:p>
    <w:p w14:paraId="4C794B77" w14:textId="4C020E2E" w:rsidR="00A95D36" w:rsidRDefault="00C52052" w:rsidP="00C52052">
      <w:pPr>
        <w:pStyle w:val="BodyText"/>
      </w:pPr>
      <w:r>
        <w:t>However, this right is not uniquely burdened by the Bill</w:t>
      </w:r>
      <w:r w:rsidR="00A2195A">
        <w:t xml:space="preserve">, given </w:t>
      </w:r>
      <w:r>
        <w:t xml:space="preserve">existing laws </w:t>
      </w:r>
      <w:r w:rsidR="00A2195A">
        <w:t>already</w:t>
      </w:r>
      <w:r>
        <w:t xml:space="preserve"> contemplate </w:t>
      </w:r>
      <w:r w:rsidR="00A2195A">
        <w:t xml:space="preserve">situations where </w:t>
      </w:r>
      <w:r>
        <w:t xml:space="preserve">young people aged 14 or older </w:t>
      </w:r>
      <w:r w:rsidR="00A2195A">
        <w:t xml:space="preserve">may </w:t>
      </w:r>
      <w:r>
        <w:t xml:space="preserve">interact with police officers. Moreover, </w:t>
      </w:r>
      <w:r w:rsidR="00260F43">
        <w:t xml:space="preserve">official warnings to young people </w:t>
      </w:r>
      <w:r w:rsidR="000E6F7E">
        <w:t>can only be in operation</w:t>
      </w:r>
      <w:r w:rsidR="00260F43">
        <w:t xml:space="preserve"> for 6 months, compared to the 2</w:t>
      </w:r>
      <w:r w:rsidR="000E6F7E">
        <w:t xml:space="preserve"> </w:t>
      </w:r>
      <w:r w:rsidR="00260F43">
        <w:t>year timeframe applying to official warnings for adults.</w:t>
      </w:r>
      <w:r>
        <w:t xml:space="preserve"> The Bill also expressly exempts </w:t>
      </w:r>
      <w:r w:rsidR="000E6F7E">
        <w:t xml:space="preserve">habitual </w:t>
      </w:r>
      <w:r w:rsidR="00260F43">
        <w:t xml:space="preserve">consorting </w:t>
      </w:r>
      <w:r>
        <w:t xml:space="preserve">with convicted offenders </w:t>
      </w:r>
      <w:r w:rsidR="00260F43">
        <w:t>who are</w:t>
      </w:r>
      <w:r>
        <w:t xml:space="preserve"> family members</w:t>
      </w:r>
      <w:r w:rsidR="00260F43">
        <w:t>,</w:t>
      </w:r>
      <w:r>
        <w:t xml:space="preserve"> where </w:t>
      </w:r>
      <w:r w:rsidR="00260F43">
        <w:t xml:space="preserve">the consorting is </w:t>
      </w:r>
      <w:r>
        <w:t>reasonable in the circumstances</w:t>
      </w:r>
      <w:r w:rsidR="000E6F7E">
        <w:t>, further narrowing the effect of the limitation on young people.</w:t>
      </w:r>
    </w:p>
    <w:p w14:paraId="5D64052C" w14:textId="77777777" w:rsidR="00A95D36" w:rsidRDefault="00A95D36" w:rsidP="00633015">
      <w:pPr>
        <w:pStyle w:val="BodyText"/>
      </w:pPr>
    </w:p>
    <w:p w14:paraId="5E27EB30" w14:textId="33B8F501" w:rsidR="00260F43" w:rsidRPr="004C56B4" w:rsidRDefault="00260F43" w:rsidP="004C56B4">
      <w:pPr>
        <w:pStyle w:val="BodyText"/>
        <w:spacing w:after="120"/>
        <w:rPr>
          <w:b/>
          <w:bCs/>
        </w:rPr>
      </w:pPr>
      <w:r w:rsidRPr="004C56B4">
        <w:rPr>
          <w:b/>
          <w:bCs/>
        </w:rPr>
        <w:t>2.</w:t>
      </w:r>
      <w:r w:rsidRPr="004C56B4">
        <w:rPr>
          <w:b/>
          <w:bCs/>
        </w:rPr>
        <w:tab/>
        <w:t xml:space="preserve">    Legitimate purpose </w:t>
      </w:r>
      <w:r w:rsidR="000E6F7E">
        <w:rPr>
          <w:b/>
          <w:bCs/>
        </w:rPr>
        <w:t xml:space="preserve">– Section </w:t>
      </w:r>
      <w:r w:rsidRPr="004C56B4">
        <w:rPr>
          <w:b/>
          <w:bCs/>
        </w:rPr>
        <w:t>28(2)(b)</w:t>
      </w:r>
      <w:r w:rsidR="000E6F7E">
        <w:rPr>
          <w:b/>
          <w:bCs/>
        </w:rPr>
        <w:t xml:space="preserve"> Human Rights Act</w:t>
      </w:r>
    </w:p>
    <w:p w14:paraId="30490B0B" w14:textId="67FC2405" w:rsidR="004151C9" w:rsidRDefault="00260F43" w:rsidP="00555977">
      <w:pPr>
        <w:pStyle w:val="BodyText"/>
        <w:spacing w:after="240"/>
      </w:pPr>
      <w:r>
        <w:t>The legitimate purpose of the limitation</w:t>
      </w:r>
      <w:r w:rsidR="00084953">
        <w:t xml:space="preserve"> o</w:t>
      </w:r>
      <w:r w:rsidR="004151C9">
        <w:t>f</w:t>
      </w:r>
      <w:r w:rsidR="00084953">
        <w:t xml:space="preserve"> the right</w:t>
      </w:r>
      <w:r w:rsidR="004151C9">
        <w:t xml:space="preserve"> protecting famil</w:t>
      </w:r>
      <w:r w:rsidR="000E6F7E">
        <w:t>ies</w:t>
      </w:r>
      <w:r w:rsidR="00084953">
        <w:t>,</w:t>
      </w:r>
      <w:r>
        <w:t xml:space="preserve"> is to prevent violence </w:t>
      </w:r>
      <w:r>
        <w:lastRenderedPageBreak/>
        <w:t xml:space="preserve">and serious crime </w:t>
      </w:r>
      <w:r w:rsidR="004151C9">
        <w:t xml:space="preserve">from occurring </w:t>
      </w:r>
      <w:r>
        <w:t>in connection to habitual consorting</w:t>
      </w:r>
      <w:r w:rsidR="004151C9">
        <w:t xml:space="preserve"> with convicted offenders</w:t>
      </w:r>
      <w:r w:rsidR="000E6F7E">
        <w:t xml:space="preserve"> who may be family members</w:t>
      </w:r>
      <w:r w:rsidR="004151C9">
        <w:t xml:space="preserve">, </w:t>
      </w:r>
      <w:r w:rsidR="000E6F7E">
        <w:t>which</w:t>
      </w:r>
      <w:r w:rsidR="004151C9">
        <w:t xml:space="preserve"> is not reasonable in the circumstances. </w:t>
      </w:r>
    </w:p>
    <w:p w14:paraId="64E21218" w14:textId="4EFEB273" w:rsidR="004151C9" w:rsidRDefault="004151C9" w:rsidP="00555977">
      <w:pPr>
        <w:pStyle w:val="BodyText"/>
        <w:spacing w:after="240"/>
      </w:pPr>
      <w:r>
        <w:t xml:space="preserve">The limitation on </w:t>
      </w:r>
      <w:r w:rsidR="000E6F7E">
        <w:t>the right specially protecting children</w:t>
      </w:r>
      <w:r>
        <w:t xml:space="preserve">, reasonably enables police officers to issue official warnings to young people under the age of 18, who are aged 14 or older, to prevent habitual consorting with convicted offenders, for the purpose of preventing violence and crime within the community. </w:t>
      </w:r>
    </w:p>
    <w:p w14:paraId="047D5955" w14:textId="1D4E5504" w:rsidR="004151C9" w:rsidRPr="004C56B4" w:rsidRDefault="004151C9" w:rsidP="004C56B4">
      <w:pPr>
        <w:pStyle w:val="BodyText"/>
        <w:spacing w:after="120"/>
        <w:rPr>
          <w:b/>
          <w:bCs/>
        </w:rPr>
      </w:pPr>
      <w:r w:rsidRPr="004C56B4">
        <w:rPr>
          <w:b/>
          <w:bCs/>
        </w:rPr>
        <w:t>3.</w:t>
      </w:r>
      <w:r w:rsidRPr="004C56B4">
        <w:rPr>
          <w:b/>
          <w:bCs/>
        </w:rPr>
        <w:tab/>
        <w:t>Rational connection</w:t>
      </w:r>
      <w:r w:rsidR="001512C6">
        <w:rPr>
          <w:b/>
          <w:bCs/>
        </w:rPr>
        <w:t xml:space="preserve"> </w:t>
      </w:r>
      <w:r w:rsidR="000E6F7E">
        <w:rPr>
          <w:b/>
          <w:bCs/>
        </w:rPr>
        <w:t xml:space="preserve">– Section </w:t>
      </w:r>
      <w:r w:rsidRPr="004C56B4">
        <w:rPr>
          <w:b/>
          <w:bCs/>
        </w:rPr>
        <w:t>28(2)(d)</w:t>
      </w:r>
    </w:p>
    <w:p w14:paraId="08C27A02" w14:textId="1C10CF6E" w:rsidR="004151C9" w:rsidRDefault="004151C9" w:rsidP="00555977">
      <w:pPr>
        <w:pStyle w:val="BodyText"/>
        <w:spacing w:after="240"/>
      </w:pPr>
      <w:r>
        <w:t>The limitation</w:t>
      </w:r>
      <w:r w:rsidR="00B242F7">
        <w:t xml:space="preserve"> </w:t>
      </w:r>
      <w:r w:rsidR="000E6F7E">
        <w:t xml:space="preserve">on the right protecting families </w:t>
      </w:r>
      <w:r w:rsidR="00B242F7">
        <w:t>ensures that the exception in Section 85(1)(a)(</w:t>
      </w:r>
      <w:proofErr w:type="spellStart"/>
      <w:r w:rsidR="00B242F7">
        <w:t>i</w:t>
      </w:r>
      <w:proofErr w:type="spellEnd"/>
      <w:r w:rsidR="00B242F7">
        <w:t xml:space="preserve">) is not relied upon to undermine the broader purpose of the Bill, by otherwise enabling harmful consorting </w:t>
      </w:r>
      <w:r w:rsidR="000E6F7E">
        <w:t xml:space="preserve">with convicted </w:t>
      </w:r>
      <w:r w:rsidR="00B242F7">
        <w:t>family members</w:t>
      </w:r>
      <w:r w:rsidR="000E6F7E">
        <w:t>,</w:t>
      </w:r>
      <w:r w:rsidR="00B242F7">
        <w:t xml:space="preserve"> which gives rise to violence and crime in the community.</w:t>
      </w:r>
    </w:p>
    <w:p w14:paraId="617D6EE2" w14:textId="4BF266C8" w:rsidR="00B242F7" w:rsidRDefault="00094195" w:rsidP="00555977">
      <w:pPr>
        <w:pStyle w:val="BodyText"/>
        <w:spacing w:after="240"/>
      </w:pPr>
      <w:r>
        <w:t>Young people aged 14 or older may be susceptible to involvement in crime and violence through habitual consorting with convicted offenders. Therefore, there is a reasonable rationale for applying the Bil</w:t>
      </w:r>
      <w:r w:rsidR="000E6F7E">
        <w:t>l</w:t>
      </w:r>
      <w:r>
        <w:t xml:space="preserve"> to young people</w:t>
      </w:r>
      <w:r w:rsidR="000E6F7E">
        <w:t xml:space="preserve">, </w:t>
      </w:r>
      <w:r>
        <w:t>by enabling police officers to issue official warnings to young people when appropriate.</w:t>
      </w:r>
    </w:p>
    <w:p w14:paraId="15DA897A" w14:textId="3496876C" w:rsidR="004151C9" w:rsidRPr="004C56B4" w:rsidRDefault="00B242F7" w:rsidP="004C56B4">
      <w:pPr>
        <w:pStyle w:val="BodyText"/>
        <w:spacing w:after="120"/>
        <w:rPr>
          <w:b/>
          <w:bCs/>
        </w:rPr>
      </w:pPr>
      <w:r w:rsidRPr="004C56B4">
        <w:rPr>
          <w:b/>
          <w:bCs/>
        </w:rPr>
        <w:t>4.</w:t>
      </w:r>
      <w:r w:rsidRPr="004C56B4">
        <w:rPr>
          <w:b/>
          <w:bCs/>
        </w:rPr>
        <w:tab/>
        <w:t xml:space="preserve">Proportionality </w:t>
      </w:r>
      <w:r w:rsidR="000E6F7E">
        <w:rPr>
          <w:b/>
          <w:bCs/>
        </w:rPr>
        <w:t xml:space="preserve">– Section </w:t>
      </w:r>
      <w:r w:rsidRPr="004C56B4">
        <w:rPr>
          <w:b/>
          <w:bCs/>
        </w:rPr>
        <w:t>28(2)(e)</w:t>
      </w:r>
      <w:r w:rsidR="000E6F7E">
        <w:rPr>
          <w:b/>
          <w:bCs/>
        </w:rPr>
        <w:t xml:space="preserve"> Human Rights Act</w:t>
      </w:r>
    </w:p>
    <w:p w14:paraId="42D15B9E" w14:textId="2D5DECDC" w:rsidR="00094195" w:rsidRDefault="00B242F7" w:rsidP="00555977">
      <w:pPr>
        <w:pStyle w:val="BodyText"/>
        <w:spacing w:after="240"/>
      </w:pPr>
      <w:r>
        <w:t xml:space="preserve">The limitation on the protection of the family </w:t>
      </w:r>
      <w:r w:rsidR="00094195">
        <w:t>is a narrow limitation and proportionate to the important purpose it serves, which is to ensure that the broader purpose of the Bill is not unintentionally undermined in practice</w:t>
      </w:r>
      <w:r w:rsidR="000E6F7E">
        <w:t>,</w:t>
      </w:r>
      <w:r w:rsidR="00094195">
        <w:t xml:space="preserve"> </w:t>
      </w:r>
      <w:r w:rsidR="000E6F7E">
        <w:t>by not properly qualifying the exception.</w:t>
      </w:r>
    </w:p>
    <w:p w14:paraId="3C45C646" w14:textId="07548479" w:rsidR="00094195" w:rsidRDefault="00094195" w:rsidP="00555977">
      <w:pPr>
        <w:pStyle w:val="BodyText"/>
        <w:spacing w:after="240"/>
      </w:pPr>
      <w:r>
        <w:t>The limitation is narrow in that only habitual consorting with family members</w:t>
      </w:r>
      <w:r w:rsidR="00757E87">
        <w:t>,</w:t>
      </w:r>
      <w:r>
        <w:t xml:space="preserve"> which is not reasonable in the circumstances, will be </w:t>
      </w:r>
      <w:r w:rsidR="00757E87">
        <w:t>captured by the offence provision.</w:t>
      </w:r>
    </w:p>
    <w:p w14:paraId="12F56009" w14:textId="506AD38C" w:rsidR="00B242F7" w:rsidRDefault="00C92689" w:rsidP="00555977">
      <w:pPr>
        <w:pStyle w:val="BodyText"/>
        <w:spacing w:after="240"/>
      </w:pPr>
      <w:r>
        <w:t xml:space="preserve">The limitation on the protection of children is reasonable when taking into account </w:t>
      </w:r>
      <w:r w:rsidR="00757E87">
        <w:t xml:space="preserve">the balancing considerations, including </w:t>
      </w:r>
      <w:r>
        <w:t>that official warnings to young people can only be in effect for 6 months</w:t>
      </w:r>
      <w:r w:rsidR="00757E87">
        <w:t>. Wh</w:t>
      </w:r>
      <w:r>
        <w:t>en balanced against the serious and important purpose of the limitation, which is to protect the community from violence and crime,  particularly in connection to OMCG activity</w:t>
      </w:r>
      <w:r w:rsidR="00757E87">
        <w:t>, the narrow limitation is reasonable and proportionate.</w:t>
      </w:r>
    </w:p>
    <w:p w14:paraId="5928018D" w14:textId="49BF7529" w:rsidR="00A95D36" w:rsidRPr="004C56B4" w:rsidRDefault="00A95D36" w:rsidP="004C56B4">
      <w:pPr>
        <w:pStyle w:val="BodyText"/>
        <w:spacing w:after="120"/>
        <w:rPr>
          <w:b/>
          <w:bCs/>
          <w:u w:val="single"/>
        </w:rPr>
      </w:pPr>
      <w:r w:rsidRPr="004C56B4">
        <w:rPr>
          <w:b/>
          <w:bCs/>
          <w:u w:val="single"/>
        </w:rPr>
        <w:t>Section 22 – Rights in criminal proceedings</w:t>
      </w:r>
    </w:p>
    <w:p w14:paraId="1A422C5E" w14:textId="69BAD03C" w:rsidR="00260F43" w:rsidRPr="004C56B4" w:rsidRDefault="00C92689" w:rsidP="004C56B4">
      <w:pPr>
        <w:pStyle w:val="BodyText"/>
        <w:numPr>
          <w:ilvl w:val="0"/>
          <w:numId w:val="9"/>
        </w:numPr>
        <w:ind w:left="567" w:hanging="578"/>
        <w:rPr>
          <w:b/>
          <w:bCs/>
        </w:rPr>
      </w:pPr>
      <w:r w:rsidRPr="004C56B4">
        <w:rPr>
          <w:b/>
          <w:bCs/>
        </w:rPr>
        <w:t xml:space="preserve">Nature of the right and the limitation </w:t>
      </w:r>
      <w:r w:rsidR="00757E87">
        <w:rPr>
          <w:b/>
          <w:bCs/>
        </w:rPr>
        <w:t xml:space="preserve">– Sections </w:t>
      </w:r>
      <w:r w:rsidRPr="004C56B4">
        <w:rPr>
          <w:b/>
          <w:bCs/>
        </w:rPr>
        <w:t>28(2)(a) and (c)</w:t>
      </w:r>
      <w:r w:rsidR="00757E87">
        <w:rPr>
          <w:b/>
          <w:bCs/>
        </w:rPr>
        <w:t xml:space="preserve"> Human Rights Act</w:t>
      </w:r>
    </w:p>
    <w:p w14:paraId="61208AFB" w14:textId="2D42878A" w:rsidR="00B56560" w:rsidRDefault="00B56560" w:rsidP="00555977">
      <w:pPr>
        <w:pStyle w:val="BodyText"/>
        <w:spacing w:after="240"/>
      </w:pPr>
      <w:r>
        <w:t>Section 22 of the HRA recognises a series of rights in criminal proceedings, including the presumption of innocence.</w:t>
      </w:r>
    </w:p>
    <w:p w14:paraId="2B18F26E" w14:textId="3ACDA2D4" w:rsidR="00B56560" w:rsidRDefault="00B56560" w:rsidP="00555977">
      <w:pPr>
        <w:pStyle w:val="BodyText"/>
        <w:spacing w:after="240"/>
      </w:pPr>
      <w:r>
        <w:t xml:space="preserve">The Bill may burden the presumption of innocence because the evidential burden </w:t>
      </w:r>
      <w:r w:rsidR="00A64954">
        <w:t xml:space="preserve">in relation to the </w:t>
      </w:r>
      <w:proofErr w:type="spellStart"/>
      <w:r w:rsidR="00A64954">
        <w:t>defen</w:t>
      </w:r>
      <w:r w:rsidR="00555977">
        <w:t>c</w:t>
      </w:r>
      <w:r w:rsidR="00A64954">
        <w:t>e</w:t>
      </w:r>
      <w:proofErr w:type="spellEnd"/>
      <w:r w:rsidR="00A64954">
        <w:t xml:space="preserve"> </w:t>
      </w:r>
      <w:r>
        <w:t>in Section 85</w:t>
      </w:r>
      <w:r w:rsidR="00A64954">
        <w:t>,</w:t>
      </w:r>
      <w:r>
        <w:t xml:space="preserve"> </w:t>
      </w:r>
      <w:r w:rsidR="00757E87">
        <w:t>rests</w:t>
      </w:r>
      <w:r>
        <w:t xml:space="preserve"> with the defendant.</w:t>
      </w:r>
      <w:r w:rsidRPr="00B56560">
        <w:t xml:space="preserve"> </w:t>
      </w:r>
    </w:p>
    <w:p w14:paraId="581D6E77" w14:textId="363FD0A3" w:rsidR="00B56560" w:rsidRPr="004C56B4" w:rsidRDefault="00B56560" w:rsidP="00555977">
      <w:pPr>
        <w:pStyle w:val="BodyText"/>
        <w:spacing w:after="120"/>
        <w:ind w:left="709" w:hanging="709"/>
        <w:rPr>
          <w:b/>
          <w:bCs/>
        </w:rPr>
      </w:pPr>
      <w:r w:rsidRPr="004C56B4">
        <w:rPr>
          <w:b/>
          <w:bCs/>
        </w:rPr>
        <w:t>2.</w:t>
      </w:r>
      <w:r w:rsidR="00555977">
        <w:rPr>
          <w:b/>
          <w:bCs/>
        </w:rPr>
        <w:t xml:space="preserve">      </w:t>
      </w:r>
      <w:r w:rsidRPr="004C56B4">
        <w:rPr>
          <w:b/>
          <w:bCs/>
        </w:rPr>
        <w:t xml:space="preserve">Legitimate purpose </w:t>
      </w:r>
      <w:r w:rsidR="00757E87">
        <w:rPr>
          <w:b/>
          <w:bCs/>
        </w:rPr>
        <w:t xml:space="preserve">– Section </w:t>
      </w:r>
      <w:r w:rsidRPr="004C56B4">
        <w:rPr>
          <w:b/>
          <w:bCs/>
        </w:rPr>
        <w:t>28(2)(b)</w:t>
      </w:r>
      <w:r w:rsidR="00757E87">
        <w:rPr>
          <w:b/>
          <w:bCs/>
        </w:rPr>
        <w:t xml:space="preserve"> Human Rights Act</w:t>
      </w:r>
    </w:p>
    <w:p w14:paraId="6C5C64FE" w14:textId="46363BB3" w:rsidR="007E126C" w:rsidRDefault="00B56560" w:rsidP="004C56B4">
      <w:pPr>
        <w:pStyle w:val="BodyText"/>
        <w:spacing w:after="240"/>
      </w:pPr>
      <w:r>
        <w:t>The legitimate purpose of the limitation is to</w:t>
      </w:r>
      <w:r w:rsidR="00A64954">
        <w:t xml:space="preserve"> protect the community from violence and crime, particularly in association with OMCG activity, by</w:t>
      </w:r>
      <w:r>
        <w:t xml:space="preserve"> </w:t>
      </w:r>
      <w:r w:rsidR="00A64954">
        <w:t xml:space="preserve">ensuring that the official warning scheme can operate effectively in practice. </w:t>
      </w:r>
    </w:p>
    <w:p w14:paraId="45CD911C" w14:textId="73F7DA2B" w:rsidR="007E126C" w:rsidRPr="004C56B4" w:rsidRDefault="007E126C" w:rsidP="00555977">
      <w:pPr>
        <w:pStyle w:val="BodyText"/>
        <w:numPr>
          <w:ilvl w:val="0"/>
          <w:numId w:val="11"/>
        </w:numPr>
        <w:spacing w:after="120"/>
        <w:ind w:left="426" w:hanging="502"/>
        <w:rPr>
          <w:b/>
          <w:bCs/>
        </w:rPr>
      </w:pPr>
      <w:r w:rsidRPr="004C56B4">
        <w:rPr>
          <w:b/>
          <w:bCs/>
        </w:rPr>
        <w:t>Rational connection</w:t>
      </w:r>
      <w:r w:rsidR="001512C6">
        <w:rPr>
          <w:b/>
          <w:bCs/>
        </w:rPr>
        <w:t xml:space="preserve"> </w:t>
      </w:r>
      <w:r w:rsidR="00757E87">
        <w:rPr>
          <w:b/>
          <w:bCs/>
        </w:rPr>
        <w:t xml:space="preserve">– Section </w:t>
      </w:r>
      <w:r w:rsidRPr="004C56B4">
        <w:rPr>
          <w:b/>
          <w:bCs/>
        </w:rPr>
        <w:t>28(2)(d)</w:t>
      </w:r>
      <w:r w:rsidR="00757E87">
        <w:rPr>
          <w:b/>
          <w:bCs/>
        </w:rPr>
        <w:t xml:space="preserve"> Human Rights Act</w:t>
      </w:r>
    </w:p>
    <w:p w14:paraId="67F3EBCC" w14:textId="5082DD60" w:rsidR="00413AF3" w:rsidRDefault="00A64954" w:rsidP="00555977">
      <w:pPr>
        <w:pStyle w:val="BodyText"/>
        <w:spacing w:after="240"/>
      </w:pPr>
      <w:r>
        <w:lastRenderedPageBreak/>
        <w:t xml:space="preserve">There is a rational connection between the limitation and its purpose. </w:t>
      </w:r>
      <w:r w:rsidR="00FA5171">
        <w:t xml:space="preserve">By placing the evidential burden on defendants to establish that an exempt circumstance applies, police officers are not </w:t>
      </w:r>
      <w:r w:rsidR="00413AF3">
        <w:t>unreasonably impeded from issuing official warnings, but neither are a series of important exempt circumstances to be ignored for the purpose of determining whether a defendant is guilty of the offence</w:t>
      </w:r>
      <w:r w:rsidR="00757E87">
        <w:t xml:space="preserve"> provision.</w:t>
      </w:r>
    </w:p>
    <w:p w14:paraId="2DD69BB9" w14:textId="5FE8B18A" w:rsidR="00413AF3" w:rsidRPr="004C56B4" w:rsidRDefault="00413AF3" w:rsidP="001512C6">
      <w:pPr>
        <w:pStyle w:val="BodyText"/>
        <w:keepNext/>
        <w:numPr>
          <w:ilvl w:val="0"/>
          <w:numId w:val="11"/>
        </w:numPr>
        <w:spacing w:after="120"/>
        <w:ind w:left="567" w:hanging="567"/>
        <w:rPr>
          <w:b/>
          <w:bCs/>
        </w:rPr>
      </w:pPr>
      <w:r w:rsidRPr="004C56B4">
        <w:rPr>
          <w:b/>
          <w:bCs/>
        </w:rPr>
        <w:t xml:space="preserve">Proportionality </w:t>
      </w:r>
      <w:r w:rsidR="00757E87">
        <w:rPr>
          <w:b/>
          <w:bCs/>
        </w:rPr>
        <w:t xml:space="preserve">– Section </w:t>
      </w:r>
      <w:r w:rsidRPr="004C56B4">
        <w:rPr>
          <w:b/>
          <w:bCs/>
        </w:rPr>
        <w:t>28(2)</w:t>
      </w:r>
      <w:r>
        <w:rPr>
          <w:b/>
          <w:bCs/>
        </w:rPr>
        <w:t xml:space="preserve">(e) </w:t>
      </w:r>
      <w:r w:rsidR="00757E87">
        <w:rPr>
          <w:b/>
          <w:bCs/>
        </w:rPr>
        <w:t>Human Rights Act</w:t>
      </w:r>
    </w:p>
    <w:p w14:paraId="0768AA40" w14:textId="77777777" w:rsidR="009C27E7" w:rsidRDefault="00413AF3" w:rsidP="00C52052">
      <w:pPr>
        <w:pStyle w:val="BodyText"/>
      </w:pPr>
      <w:r>
        <w:t xml:space="preserve">The burden on the presumption of innocence is proportionate because it is balanced </w:t>
      </w:r>
      <w:r w:rsidR="00A64954">
        <w:t xml:space="preserve">against a wide </w:t>
      </w:r>
      <w:r w:rsidR="00757E87">
        <w:t>range</w:t>
      </w:r>
      <w:r w:rsidR="00A64954">
        <w:t xml:space="preserve"> of ex</w:t>
      </w:r>
      <w:r w:rsidR="00757E87">
        <w:t>ception</w:t>
      </w:r>
      <w:r w:rsidR="00DF7D2F">
        <w:t xml:space="preserve"> categories</w:t>
      </w:r>
      <w:r w:rsidR="00A64954">
        <w:t xml:space="preserve"> and a low-bar reasonableness</w:t>
      </w:r>
      <w:r w:rsidR="00DF7D2F">
        <w:t xml:space="preserve"> threshold</w:t>
      </w:r>
      <w:r w:rsidR="00A64954">
        <w:t xml:space="preserve">. </w:t>
      </w:r>
    </w:p>
    <w:p w14:paraId="30AC623A" w14:textId="4790570F" w:rsidR="001512C6" w:rsidRDefault="001512C6" w:rsidP="00C52052">
      <w:pPr>
        <w:pStyle w:val="BodyText"/>
      </w:pPr>
      <w:r>
        <w:br w:type="page"/>
      </w:r>
    </w:p>
    <w:p w14:paraId="377DF20D" w14:textId="77777777" w:rsidR="007E126C" w:rsidRDefault="007E126C" w:rsidP="00C52052">
      <w:pPr>
        <w:pStyle w:val="BodyText"/>
      </w:pPr>
    </w:p>
    <w:p w14:paraId="012FF70F" w14:textId="6F4BCB96" w:rsidR="00515AF8" w:rsidRDefault="00515AF8" w:rsidP="00633015">
      <w:pPr>
        <w:rPr>
          <w:i/>
          <w:sz w:val="24"/>
        </w:rPr>
      </w:pPr>
    </w:p>
    <w:p w14:paraId="5233B529" w14:textId="602388AC" w:rsidR="00515AF8" w:rsidRDefault="004604C4" w:rsidP="00633015">
      <w:pPr>
        <w:pStyle w:val="Heading1"/>
        <w:spacing w:before="40"/>
        <w:ind w:left="0"/>
      </w:pPr>
      <w:r>
        <w:t xml:space="preserve">CLAUSE </w:t>
      </w:r>
      <w:r>
        <w:rPr>
          <w:spacing w:val="-2"/>
        </w:rPr>
        <w:t>NOTES</w:t>
      </w:r>
    </w:p>
    <w:p w14:paraId="24B9C428" w14:textId="77777777" w:rsidR="00515AF8" w:rsidRDefault="00515AF8" w:rsidP="00633015">
      <w:pPr>
        <w:pStyle w:val="BodyText"/>
        <w:rPr>
          <w:b/>
        </w:rPr>
      </w:pPr>
    </w:p>
    <w:p w14:paraId="05A6F958" w14:textId="77777777" w:rsidR="00515AF8" w:rsidRDefault="00515AF8" w:rsidP="00633015">
      <w:pPr>
        <w:pStyle w:val="BodyText"/>
        <w:spacing w:before="86"/>
        <w:rPr>
          <w:b/>
        </w:rPr>
      </w:pPr>
    </w:p>
    <w:p w14:paraId="71B84B08" w14:textId="77777777" w:rsidR="00515AF8" w:rsidRDefault="004604C4" w:rsidP="00633015">
      <w:pPr>
        <w:tabs>
          <w:tab w:val="left" w:pos="2275"/>
        </w:tabs>
        <w:spacing w:before="1"/>
        <w:rPr>
          <w:b/>
          <w:sz w:val="24"/>
        </w:rPr>
      </w:pPr>
      <w:r>
        <w:rPr>
          <w:b/>
          <w:sz w:val="24"/>
        </w:rPr>
        <w:t>Clause</w:t>
      </w:r>
      <w:r>
        <w:rPr>
          <w:b/>
          <w:spacing w:val="-6"/>
          <w:sz w:val="24"/>
        </w:rPr>
        <w:t xml:space="preserve"> </w:t>
      </w:r>
      <w:r>
        <w:rPr>
          <w:b/>
          <w:spacing w:val="-10"/>
          <w:sz w:val="24"/>
        </w:rPr>
        <w:t>1</w:t>
      </w:r>
      <w:r>
        <w:rPr>
          <w:b/>
          <w:sz w:val="24"/>
        </w:rPr>
        <w:tab/>
        <w:t>Name</w:t>
      </w:r>
      <w:r>
        <w:rPr>
          <w:b/>
          <w:spacing w:val="-4"/>
          <w:sz w:val="24"/>
        </w:rPr>
        <w:t xml:space="preserve"> </w:t>
      </w:r>
      <w:r>
        <w:rPr>
          <w:b/>
          <w:sz w:val="24"/>
        </w:rPr>
        <w:t>of</w:t>
      </w:r>
      <w:r>
        <w:rPr>
          <w:b/>
          <w:spacing w:val="-2"/>
          <w:sz w:val="24"/>
        </w:rPr>
        <w:t xml:space="preserve"> </w:t>
      </w:r>
      <w:r>
        <w:rPr>
          <w:b/>
          <w:spacing w:val="-5"/>
          <w:sz w:val="24"/>
        </w:rPr>
        <w:t>Act</w:t>
      </w:r>
    </w:p>
    <w:p w14:paraId="4623563C" w14:textId="5C89E060" w:rsidR="00515AF8" w:rsidRDefault="004604C4" w:rsidP="00633015">
      <w:pPr>
        <w:spacing w:before="163"/>
        <w:rPr>
          <w:sz w:val="24"/>
        </w:rPr>
      </w:pPr>
      <w:r>
        <w:rPr>
          <w:sz w:val="24"/>
        </w:rPr>
        <w:t>This</w:t>
      </w:r>
      <w:r>
        <w:rPr>
          <w:spacing w:val="-7"/>
          <w:sz w:val="24"/>
        </w:rPr>
        <w:t xml:space="preserve"> </w:t>
      </w:r>
      <w:r>
        <w:rPr>
          <w:sz w:val="24"/>
        </w:rPr>
        <w:t>Act</w:t>
      </w:r>
      <w:r>
        <w:rPr>
          <w:spacing w:val="-5"/>
          <w:sz w:val="24"/>
        </w:rPr>
        <w:t xml:space="preserve"> </w:t>
      </w:r>
      <w:r>
        <w:rPr>
          <w:sz w:val="24"/>
        </w:rPr>
        <w:t>is</w:t>
      </w:r>
      <w:r>
        <w:rPr>
          <w:spacing w:val="-4"/>
          <w:sz w:val="24"/>
        </w:rPr>
        <w:t xml:space="preserve"> </w:t>
      </w:r>
      <w:r>
        <w:rPr>
          <w:sz w:val="24"/>
        </w:rPr>
        <w:t>the</w:t>
      </w:r>
      <w:r>
        <w:rPr>
          <w:spacing w:val="-2"/>
          <w:sz w:val="24"/>
        </w:rPr>
        <w:t xml:space="preserve"> </w:t>
      </w:r>
      <w:r>
        <w:rPr>
          <w:i/>
          <w:sz w:val="24"/>
        </w:rPr>
        <w:t>Crimes</w:t>
      </w:r>
      <w:r>
        <w:rPr>
          <w:i/>
          <w:spacing w:val="-3"/>
          <w:sz w:val="24"/>
        </w:rPr>
        <w:t xml:space="preserve"> </w:t>
      </w:r>
      <w:r>
        <w:rPr>
          <w:i/>
          <w:sz w:val="24"/>
        </w:rPr>
        <w:t>(Anti-Consorting)</w:t>
      </w:r>
      <w:r>
        <w:rPr>
          <w:i/>
          <w:spacing w:val="-4"/>
          <w:sz w:val="24"/>
        </w:rPr>
        <w:t xml:space="preserve"> </w:t>
      </w:r>
      <w:r>
        <w:rPr>
          <w:i/>
          <w:sz w:val="24"/>
        </w:rPr>
        <w:t>Amendment</w:t>
      </w:r>
      <w:r>
        <w:rPr>
          <w:i/>
          <w:spacing w:val="-3"/>
          <w:sz w:val="24"/>
        </w:rPr>
        <w:t xml:space="preserve"> </w:t>
      </w:r>
      <w:r>
        <w:rPr>
          <w:i/>
          <w:sz w:val="24"/>
        </w:rPr>
        <w:t>Act</w:t>
      </w:r>
      <w:r>
        <w:rPr>
          <w:i/>
          <w:spacing w:val="-3"/>
          <w:sz w:val="24"/>
        </w:rPr>
        <w:t xml:space="preserve"> </w:t>
      </w:r>
      <w:r>
        <w:rPr>
          <w:i/>
          <w:spacing w:val="-2"/>
          <w:sz w:val="24"/>
        </w:rPr>
        <w:t>20</w:t>
      </w:r>
      <w:r w:rsidR="00A32F77">
        <w:rPr>
          <w:i/>
          <w:spacing w:val="-2"/>
          <w:sz w:val="24"/>
        </w:rPr>
        <w:t>2</w:t>
      </w:r>
      <w:r w:rsidR="00BE4E22">
        <w:rPr>
          <w:i/>
          <w:spacing w:val="-2"/>
          <w:sz w:val="24"/>
        </w:rPr>
        <w:t>6</w:t>
      </w:r>
      <w:r>
        <w:rPr>
          <w:spacing w:val="-2"/>
          <w:sz w:val="24"/>
        </w:rPr>
        <w:t>.</w:t>
      </w:r>
    </w:p>
    <w:p w14:paraId="54B01E07" w14:textId="77777777" w:rsidR="00515AF8" w:rsidRDefault="00515AF8" w:rsidP="00633015">
      <w:pPr>
        <w:pStyle w:val="BodyText"/>
      </w:pPr>
    </w:p>
    <w:p w14:paraId="037CD168" w14:textId="77777777" w:rsidR="00515AF8" w:rsidRDefault="00515AF8" w:rsidP="00633015">
      <w:pPr>
        <w:pStyle w:val="BodyText"/>
        <w:spacing w:before="35"/>
      </w:pPr>
    </w:p>
    <w:p w14:paraId="667A349B" w14:textId="77777777" w:rsidR="00515AF8" w:rsidRDefault="004604C4" w:rsidP="00633015">
      <w:pPr>
        <w:pStyle w:val="Heading1"/>
        <w:tabs>
          <w:tab w:val="left" w:pos="2275"/>
        </w:tabs>
        <w:spacing w:before="1"/>
        <w:ind w:left="0"/>
      </w:pPr>
      <w:r>
        <w:t>Clause</w:t>
      </w:r>
      <w:r>
        <w:rPr>
          <w:spacing w:val="-6"/>
        </w:rPr>
        <w:t xml:space="preserve"> </w:t>
      </w:r>
      <w:r>
        <w:rPr>
          <w:spacing w:val="-10"/>
        </w:rPr>
        <w:t>2</w:t>
      </w:r>
      <w:r>
        <w:tab/>
      </w:r>
      <w:r>
        <w:rPr>
          <w:spacing w:val="-2"/>
        </w:rPr>
        <w:t>Commencement</w:t>
      </w:r>
    </w:p>
    <w:p w14:paraId="7941167E" w14:textId="77777777" w:rsidR="00515AF8" w:rsidRDefault="004604C4" w:rsidP="00633015">
      <w:pPr>
        <w:pStyle w:val="BodyText"/>
        <w:spacing w:before="164"/>
      </w:pPr>
      <w:r>
        <w:t>This</w:t>
      </w:r>
      <w:r>
        <w:rPr>
          <w:spacing w:val="-4"/>
        </w:rPr>
        <w:t xml:space="preserve"> </w:t>
      </w:r>
      <w:r>
        <w:t>Act</w:t>
      </w:r>
      <w:r>
        <w:rPr>
          <w:spacing w:val="-3"/>
        </w:rPr>
        <w:t xml:space="preserve"> </w:t>
      </w:r>
      <w:r>
        <w:t>commences</w:t>
      </w:r>
      <w:r>
        <w:rPr>
          <w:spacing w:val="-3"/>
        </w:rPr>
        <w:t xml:space="preserve"> </w:t>
      </w:r>
      <w:r>
        <w:t>on</w:t>
      </w:r>
      <w:r>
        <w:rPr>
          <w:spacing w:val="-5"/>
        </w:rPr>
        <w:t xml:space="preserve"> </w:t>
      </w:r>
      <w:r>
        <w:t>the</w:t>
      </w:r>
      <w:r>
        <w:rPr>
          <w:spacing w:val="-3"/>
        </w:rPr>
        <w:t xml:space="preserve"> </w:t>
      </w:r>
      <w:r>
        <w:t>day</w:t>
      </w:r>
      <w:r>
        <w:rPr>
          <w:spacing w:val="-2"/>
        </w:rPr>
        <w:t xml:space="preserve"> </w:t>
      </w:r>
      <w:r>
        <w:t>after</w:t>
      </w:r>
      <w:r>
        <w:rPr>
          <w:spacing w:val="-3"/>
        </w:rPr>
        <w:t xml:space="preserve"> </w:t>
      </w:r>
      <w:r>
        <w:t>its</w:t>
      </w:r>
      <w:r>
        <w:rPr>
          <w:spacing w:val="-4"/>
        </w:rPr>
        <w:t xml:space="preserve"> </w:t>
      </w:r>
      <w:r>
        <w:t>notification</w:t>
      </w:r>
      <w:r>
        <w:rPr>
          <w:spacing w:val="-3"/>
        </w:rPr>
        <w:t xml:space="preserve"> </w:t>
      </w:r>
      <w:r>
        <w:rPr>
          <w:spacing w:val="-4"/>
        </w:rPr>
        <w:t>day.</w:t>
      </w:r>
    </w:p>
    <w:p w14:paraId="5108C719" w14:textId="77777777" w:rsidR="00515AF8" w:rsidRDefault="00515AF8" w:rsidP="00633015">
      <w:pPr>
        <w:pStyle w:val="BodyText"/>
      </w:pPr>
    </w:p>
    <w:p w14:paraId="58CAF681" w14:textId="77777777" w:rsidR="00515AF8" w:rsidRDefault="00515AF8" w:rsidP="00633015">
      <w:pPr>
        <w:pStyle w:val="BodyText"/>
        <w:spacing w:before="34"/>
      </w:pPr>
    </w:p>
    <w:p w14:paraId="7D5F8654" w14:textId="77777777" w:rsidR="00515AF8" w:rsidRDefault="004604C4" w:rsidP="00633015">
      <w:pPr>
        <w:pStyle w:val="Heading1"/>
        <w:tabs>
          <w:tab w:val="left" w:pos="2243"/>
        </w:tabs>
        <w:ind w:left="0"/>
      </w:pPr>
      <w:r>
        <w:t>Clause</w:t>
      </w:r>
      <w:r>
        <w:rPr>
          <w:spacing w:val="-6"/>
        </w:rPr>
        <w:t xml:space="preserve"> </w:t>
      </w:r>
      <w:r>
        <w:rPr>
          <w:spacing w:val="-10"/>
        </w:rPr>
        <w:t>3</w:t>
      </w:r>
      <w:r>
        <w:tab/>
        <w:t>Legislation</w:t>
      </w:r>
      <w:r>
        <w:rPr>
          <w:spacing w:val="-3"/>
        </w:rPr>
        <w:t xml:space="preserve"> </w:t>
      </w:r>
      <w:r>
        <w:rPr>
          <w:spacing w:val="-2"/>
        </w:rPr>
        <w:t>Amended</w:t>
      </w:r>
    </w:p>
    <w:p w14:paraId="54B1520E" w14:textId="77777777" w:rsidR="00515AF8" w:rsidRDefault="004604C4" w:rsidP="00633015">
      <w:pPr>
        <w:spacing w:before="166"/>
        <w:rPr>
          <w:sz w:val="24"/>
        </w:rPr>
      </w:pPr>
      <w:r>
        <w:rPr>
          <w:sz w:val="24"/>
        </w:rPr>
        <w:t>This</w:t>
      </w:r>
      <w:r>
        <w:rPr>
          <w:spacing w:val="-3"/>
          <w:sz w:val="24"/>
        </w:rPr>
        <w:t xml:space="preserve"> </w:t>
      </w:r>
      <w:r>
        <w:rPr>
          <w:sz w:val="24"/>
        </w:rPr>
        <w:t>Act</w:t>
      </w:r>
      <w:r>
        <w:rPr>
          <w:spacing w:val="-1"/>
          <w:sz w:val="24"/>
        </w:rPr>
        <w:t xml:space="preserve"> </w:t>
      </w:r>
      <w:r>
        <w:rPr>
          <w:sz w:val="24"/>
        </w:rPr>
        <w:t>amends</w:t>
      </w:r>
      <w:r>
        <w:rPr>
          <w:spacing w:val="-2"/>
          <w:sz w:val="24"/>
        </w:rPr>
        <w:t xml:space="preserve"> </w:t>
      </w:r>
      <w:r>
        <w:rPr>
          <w:sz w:val="24"/>
        </w:rPr>
        <w:t>the</w:t>
      </w:r>
      <w:r>
        <w:rPr>
          <w:spacing w:val="-1"/>
          <w:sz w:val="24"/>
        </w:rPr>
        <w:t xml:space="preserve"> </w:t>
      </w:r>
      <w:r>
        <w:rPr>
          <w:i/>
          <w:sz w:val="24"/>
        </w:rPr>
        <w:t>Crimes</w:t>
      </w:r>
      <w:r>
        <w:rPr>
          <w:i/>
          <w:spacing w:val="-2"/>
          <w:sz w:val="24"/>
        </w:rPr>
        <w:t xml:space="preserve"> </w:t>
      </w:r>
      <w:r>
        <w:rPr>
          <w:i/>
          <w:sz w:val="24"/>
        </w:rPr>
        <w:t>Act</w:t>
      </w:r>
      <w:r>
        <w:rPr>
          <w:i/>
          <w:spacing w:val="-1"/>
          <w:sz w:val="24"/>
        </w:rPr>
        <w:t xml:space="preserve"> </w:t>
      </w:r>
      <w:r>
        <w:rPr>
          <w:i/>
          <w:spacing w:val="-4"/>
          <w:sz w:val="24"/>
        </w:rPr>
        <w:t>1900</w:t>
      </w:r>
      <w:r>
        <w:rPr>
          <w:spacing w:val="-4"/>
          <w:sz w:val="24"/>
        </w:rPr>
        <w:t>.</w:t>
      </w:r>
    </w:p>
    <w:p w14:paraId="31A5C192" w14:textId="77777777" w:rsidR="00515AF8" w:rsidRDefault="00515AF8" w:rsidP="00633015">
      <w:pPr>
        <w:pStyle w:val="BodyText"/>
        <w:spacing w:before="282"/>
      </w:pPr>
    </w:p>
    <w:p w14:paraId="3EFFD9C0" w14:textId="77777777" w:rsidR="00515AF8" w:rsidRDefault="004604C4" w:rsidP="00633015">
      <w:pPr>
        <w:pStyle w:val="Heading1"/>
        <w:tabs>
          <w:tab w:val="left" w:pos="2275"/>
        </w:tabs>
        <w:ind w:left="0"/>
      </w:pPr>
      <w:r>
        <w:t>Clause</w:t>
      </w:r>
      <w:r>
        <w:rPr>
          <w:spacing w:val="-5"/>
        </w:rPr>
        <w:t xml:space="preserve"> </w:t>
      </w:r>
      <w:r>
        <w:rPr>
          <w:spacing w:val="-10"/>
        </w:rPr>
        <w:t>4</w:t>
      </w:r>
      <w:r>
        <w:tab/>
        <w:t>Offences</w:t>
      </w:r>
      <w:r>
        <w:rPr>
          <w:spacing w:val="-4"/>
        </w:rPr>
        <w:t xml:space="preserve"> </w:t>
      </w:r>
      <w:r>
        <w:t>against</w:t>
      </w:r>
      <w:r>
        <w:rPr>
          <w:spacing w:val="-1"/>
        </w:rPr>
        <w:t xml:space="preserve"> </w:t>
      </w:r>
      <w:r>
        <w:t>Act</w:t>
      </w:r>
      <w:r>
        <w:rPr>
          <w:spacing w:val="-3"/>
        </w:rPr>
        <w:t xml:space="preserve"> </w:t>
      </w:r>
      <w:r>
        <w:t>–</w:t>
      </w:r>
      <w:r>
        <w:rPr>
          <w:spacing w:val="-1"/>
        </w:rPr>
        <w:t xml:space="preserve"> </w:t>
      </w:r>
      <w:r>
        <w:t>application</w:t>
      </w:r>
      <w:r>
        <w:rPr>
          <w:spacing w:val="-2"/>
        </w:rPr>
        <w:t xml:space="preserve"> </w:t>
      </w:r>
      <w:r>
        <w:t>of</w:t>
      </w:r>
      <w:r>
        <w:rPr>
          <w:spacing w:val="-3"/>
        </w:rPr>
        <w:t xml:space="preserve"> </w:t>
      </w:r>
      <w:r>
        <w:t>Criminal</w:t>
      </w:r>
      <w:r>
        <w:rPr>
          <w:spacing w:val="-1"/>
        </w:rPr>
        <w:t xml:space="preserve"> </w:t>
      </w:r>
      <w:r>
        <w:t>Code</w:t>
      </w:r>
      <w:r>
        <w:rPr>
          <w:spacing w:val="-2"/>
        </w:rPr>
        <w:t xml:space="preserve"> </w:t>
      </w:r>
      <w:proofErr w:type="spellStart"/>
      <w:r>
        <w:rPr>
          <w:spacing w:val="-5"/>
        </w:rPr>
        <w:t>etc</w:t>
      </w:r>
      <w:proofErr w:type="spellEnd"/>
    </w:p>
    <w:p w14:paraId="7851812D" w14:textId="6D537D5A" w:rsidR="00515AF8" w:rsidRDefault="004604C4" w:rsidP="00633015">
      <w:pPr>
        <w:pStyle w:val="BodyText"/>
        <w:spacing w:before="165"/>
      </w:pPr>
      <w:r>
        <w:t>Section</w:t>
      </w:r>
      <w:r>
        <w:rPr>
          <w:spacing w:val="-2"/>
        </w:rPr>
        <w:t xml:space="preserve"> </w:t>
      </w:r>
      <w:r>
        <w:t>7A,</w:t>
      </w:r>
      <w:r>
        <w:rPr>
          <w:spacing w:val="-1"/>
        </w:rPr>
        <w:t xml:space="preserve"> </w:t>
      </w:r>
      <w:r>
        <w:t>note</w:t>
      </w:r>
      <w:r>
        <w:rPr>
          <w:spacing w:val="-1"/>
        </w:rPr>
        <w:t xml:space="preserve"> </w:t>
      </w:r>
      <w:r>
        <w:t>1,</w:t>
      </w:r>
      <w:r>
        <w:rPr>
          <w:spacing w:val="-2"/>
        </w:rPr>
        <w:t xml:space="preserve"> </w:t>
      </w:r>
      <w:r>
        <w:t>new</w:t>
      </w:r>
      <w:r>
        <w:rPr>
          <w:spacing w:val="-1"/>
        </w:rPr>
        <w:t xml:space="preserve"> </w:t>
      </w:r>
      <w:r>
        <w:t>bullet</w:t>
      </w:r>
      <w:r>
        <w:rPr>
          <w:spacing w:val="-1"/>
        </w:rPr>
        <w:t xml:space="preserve"> </w:t>
      </w:r>
      <w:r>
        <w:t>point,</w:t>
      </w:r>
      <w:r>
        <w:rPr>
          <w:spacing w:val="-1"/>
        </w:rPr>
        <w:t xml:space="preserve"> </w:t>
      </w:r>
      <w:r>
        <w:t>to</w:t>
      </w:r>
      <w:r>
        <w:rPr>
          <w:spacing w:val="-2"/>
        </w:rPr>
        <w:t xml:space="preserve"> </w:t>
      </w:r>
      <w:r>
        <w:t>insert</w:t>
      </w:r>
      <w:r>
        <w:rPr>
          <w:spacing w:val="-1"/>
        </w:rPr>
        <w:t xml:space="preserve"> </w:t>
      </w:r>
      <w:r>
        <w:t>‘s</w:t>
      </w:r>
      <w:r w:rsidR="00383211">
        <w:t xml:space="preserve"> </w:t>
      </w:r>
      <w:r>
        <w:t>84</w:t>
      </w:r>
      <w:r>
        <w:rPr>
          <w:spacing w:val="-1"/>
        </w:rPr>
        <w:t xml:space="preserve"> </w:t>
      </w:r>
      <w:r>
        <w:rPr>
          <w:spacing w:val="-2"/>
        </w:rPr>
        <w:t>(Consorting).’</w:t>
      </w:r>
    </w:p>
    <w:p w14:paraId="69D580CC" w14:textId="77777777" w:rsidR="00515AF8" w:rsidRDefault="00515AF8" w:rsidP="00633015">
      <w:pPr>
        <w:pStyle w:val="BodyText"/>
      </w:pPr>
    </w:p>
    <w:p w14:paraId="3EBB1037" w14:textId="77777777" w:rsidR="00515AF8" w:rsidRDefault="00515AF8" w:rsidP="00633015">
      <w:pPr>
        <w:pStyle w:val="BodyText"/>
        <w:spacing w:before="34"/>
      </w:pPr>
    </w:p>
    <w:p w14:paraId="2969DC5B" w14:textId="77777777" w:rsidR="00515AF8" w:rsidRDefault="004604C4" w:rsidP="00633015">
      <w:pPr>
        <w:pStyle w:val="Heading1"/>
        <w:tabs>
          <w:tab w:val="left" w:pos="2275"/>
        </w:tabs>
        <w:ind w:left="0"/>
      </w:pPr>
      <w:r>
        <w:t>Clause</w:t>
      </w:r>
      <w:r>
        <w:rPr>
          <w:spacing w:val="-5"/>
        </w:rPr>
        <w:t xml:space="preserve"> </w:t>
      </w:r>
      <w:r>
        <w:rPr>
          <w:spacing w:val="-10"/>
        </w:rPr>
        <w:t>5</w:t>
      </w:r>
      <w:r>
        <w:tab/>
        <w:t>New</w:t>
      </w:r>
      <w:r>
        <w:rPr>
          <w:spacing w:val="-4"/>
        </w:rPr>
        <w:t xml:space="preserve"> </w:t>
      </w:r>
      <w:r>
        <w:t>Part</w:t>
      </w:r>
      <w:r>
        <w:rPr>
          <w:spacing w:val="-1"/>
        </w:rPr>
        <w:t xml:space="preserve"> </w:t>
      </w:r>
      <w:r>
        <w:rPr>
          <w:spacing w:val="-5"/>
        </w:rPr>
        <w:t>5A</w:t>
      </w:r>
    </w:p>
    <w:p w14:paraId="5D3768BF" w14:textId="77777777" w:rsidR="00515AF8" w:rsidRDefault="00515AF8" w:rsidP="00633015">
      <w:pPr>
        <w:pStyle w:val="BodyText"/>
        <w:rPr>
          <w:b/>
        </w:rPr>
      </w:pPr>
    </w:p>
    <w:p w14:paraId="53D4E3AD" w14:textId="539DD1BC" w:rsidR="00515AF8" w:rsidRDefault="00383211" w:rsidP="00633015">
      <w:pPr>
        <w:pStyle w:val="BodyText"/>
        <w:spacing w:line="276" w:lineRule="auto"/>
      </w:pPr>
      <w:r>
        <w:t xml:space="preserve">Section </w:t>
      </w:r>
      <w:r w:rsidR="004604C4">
        <w:t>83 defines that ‘consort’, for the purposes of this part, means to ‘consort in person or by any means, including electronic or other forms of communication.’</w:t>
      </w:r>
    </w:p>
    <w:p w14:paraId="001EDD2F" w14:textId="77777777" w:rsidR="00A32F77" w:rsidRDefault="00A32F77" w:rsidP="00633015">
      <w:pPr>
        <w:pStyle w:val="BodyText"/>
        <w:spacing w:line="276" w:lineRule="auto"/>
      </w:pPr>
    </w:p>
    <w:p w14:paraId="1843CDBC" w14:textId="139C0F6C" w:rsidR="00515AF8" w:rsidRDefault="00383211" w:rsidP="00633015">
      <w:pPr>
        <w:pStyle w:val="BodyText"/>
        <w:spacing w:line="276" w:lineRule="auto"/>
      </w:pPr>
      <w:r>
        <w:t xml:space="preserve">Section </w:t>
      </w:r>
      <w:r w:rsidR="004604C4">
        <w:t>84</w:t>
      </w:r>
      <w:r w:rsidR="004604C4">
        <w:rPr>
          <w:spacing w:val="-12"/>
        </w:rPr>
        <w:t xml:space="preserve"> </w:t>
      </w:r>
      <w:r w:rsidR="004604C4">
        <w:t>contains</w:t>
      </w:r>
      <w:r w:rsidR="004604C4">
        <w:rPr>
          <w:spacing w:val="-11"/>
        </w:rPr>
        <w:t xml:space="preserve"> </w:t>
      </w:r>
      <w:r w:rsidR="004604C4">
        <w:t>the</w:t>
      </w:r>
      <w:r w:rsidR="004604C4">
        <w:rPr>
          <w:spacing w:val="-11"/>
        </w:rPr>
        <w:t xml:space="preserve"> </w:t>
      </w:r>
      <w:r w:rsidR="004604C4">
        <w:t>elements</w:t>
      </w:r>
      <w:r w:rsidR="004604C4">
        <w:rPr>
          <w:spacing w:val="-12"/>
        </w:rPr>
        <w:t xml:space="preserve"> </w:t>
      </w:r>
      <w:r w:rsidR="004604C4">
        <w:t>of</w:t>
      </w:r>
      <w:r w:rsidR="004604C4">
        <w:rPr>
          <w:spacing w:val="-11"/>
        </w:rPr>
        <w:t xml:space="preserve"> </w:t>
      </w:r>
      <w:r w:rsidR="004604C4">
        <w:t>the</w:t>
      </w:r>
      <w:r w:rsidR="004604C4">
        <w:rPr>
          <w:spacing w:val="-11"/>
        </w:rPr>
        <w:t xml:space="preserve"> </w:t>
      </w:r>
      <w:r w:rsidR="004604C4">
        <w:t>offence.</w:t>
      </w:r>
      <w:r w:rsidR="004604C4">
        <w:rPr>
          <w:spacing w:val="31"/>
        </w:rPr>
        <w:t xml:space="preserve"> </w:t>
      </w:r>
      <w:r w:rsidR="004604C4">
        <w:t>It</w:t>
      </w:r>
      <w:r w:rsidR="004604C4">
        <w:rPr>
          <w:spacing w:val="-11"/>
        </w:rPr>
        <w:t xml:space="preserve"> </w:t>
      </w:r>
      <w:r w:rsidR="004604C4">
        <w:t>holds</w:t>
      </w:r>
      <w:r w:rsidR="004604C4">
        <w:rPr>
          <w:spacing w:val="-11"/>
        </w:rPr>
        <w:t xml:space="preserve"> </w:t>
      </w:r>
      <w:r w:rsidR="004604C4">
        <w:t>that</w:t>
      </w:r>
      <w:r w:rsidR="004604C4">
        <w:rPr>
          <w:spacing w:val="-11"/>
        </w:rPr>
        <w:t xml:space="preserve"> </w:t>
      </w:r>
      <w:r w:rsidR="004604C4">
        <w:t>a</w:t>
      </w:r>
      <w:r w:rsidR="004604C4">
        <w:rPr>
          <w:spacing w:val="-11"/>
        </w:rPr>
        <w:t xml:space="preserve"> </w:t>
      </w:r>
      <w:r w:rsidR="004604C4">
        <w:t>person</w:t>
      </w:r>
      <w:r w:rsidR="004604C4">
        <w:rPr>
          <w:spacing w:val="-11"/>
        </w:rPr>
        <w:t xml:space="preserve"> </w:t>
      </w:r>
      <w:r w:rsidR="004604C4">
        <w:t>commits</w:t>
      </w:r>
      <w:r w:rsidR="004604C4">
        <w:rPr>
          <w:spacing w:val="-11"/>
        </w:rPr>
        <w:t xml:space="preserve"> </w:t>
      </w:r>
      <w:r w:rsidR="004604C4">
        <w:t>an</w:t>
      </w:r>
      <w:r w:rsidR="004604C4">
        <w:rPr>
          <w:spacing w:val="-11"/>
        </w:rPr>
        <w:t xml:space="preserve"> </w:t>
      </w:r>
      <w:r w:rsidR="004604C4">
        <w:t>offence</w:t>
      </w:r>
      <w:r w:rsidR="004604C4">
        <w:rPr>
          <w:spacing w:val="-11"/>
        </w:rPr>
        <w:t xml:space="preserve"> </w:t>
      </w:r>
      <w:r w:rsidR="004604C4">
        <w:t>only</w:t>
      </w:r>
      <w:r w:rsidR="004604C4">
        <w:rPr>
          <w:spacing w:val="-11"/>
        </w:rPr>
        <w:t xml:space="preserve"> </w:t>
      </w:r>
      <w:r w:rsidR="004604C4">
        <w:t>if</w:t>
      </w:r>
      <w:r w:rsidR="004604C4">
        <w:rPr>
          <w:spacing w:val="-11"/>
        </w:rPr>
        <w:t xml:space="preserve"> </w:t>
      </w:r>
      <w:r w:rsidR="004604C4">
        <w:t>they are 14 years</w:t>
      </w:r>
      <w:r w:rsidR="004604C4">
        <w:rPr>
          <w:spacing w:val="-1"/>
        </w:rPr>
        <w:t xml:space="preserve"> </w:t>
      </w:r>
      <w:r w:rsidR="004604C4">
        <w:t>or older, who then habitually consorts with convicted offenders after being given an official warning in relation to each of those offenders.</w:t>
      </w:r>
    </w:p>
    <w:p w14:paraId="24ACD4F9" w14:textId="77777777" w:rsidR="00A32F77" w:rsidRDefault="00A32F77" w:rsidP="00633015">
      <w:pPr>
        <w:pStyle w:val="BodyText"/>
        <w:spacing w:line="276" w:lineRule="auto"/>
      </w:pPr>
    </w:p>
    <w:p w14:paraId="1CCBA666" w14:textId="213C63E2" w:rsidR="00515AF8" w:rsidRDefault="004604C4" w:rsidP="00633015">
      <w:pPr>
        <w:pStyle w:val="BodyText"/>
        <w:spacing w:line="276" w:lineRule="auto"/>
      </w:pPr>
      <w:r>
        <w:t>‘Habitually</w:t>
      </w:r>
      <w:r>
        <w:rPr>
          <w:spacing w:val="-13"/>
        </w:rPr>
        <w:t xml:space="preserve"> </w:t>
      </w:r>
      <w:r>
        <w:t>consort’</w:t>
      </w:r>
      <w:r>
        <w:rPr>
          <w:spacing w:val="-13"/>
        </w:rPr>
        <w:t xml:space="preserve"> </w:t>
      </w:r>
      <w:r>
        <w:t>is</w:t>
      </w:r>
      <w:r>
        <w:rPr>
          <w:spacing w:val="-13"/>
        </w:rPr>
        <w:t xml:space="preserve"> </w:t>
      </w:r>
      <w:r>
        <w:t>defined</w:t>
      </w:r>
      <w:r>
        <w:rPr>
          <w:spacing w:val="-13"/>
        </w:rPr>
        <w:t xml:space="preserve"> </w:t>
      </w:r>
      <w:r>
        <w:t>in</w:t>
      </w:r>
      <w:r>
        <w:rPr>
          <w:spacing w:val="-14"/>
        </w:rPr>
        <w:t xml:space="preserve"> </w:t>
      </w:r>
      <w:r>
        <w:t>this</w:t>
      </w:r>
      <w:r>
        <w:rPr>
          <w:spacing w:val="-13"/>
        </w:rPr>
        <w:t xml:space="preserve"> </w:t>
      </w:r>
      <w:r>
        <w:t>section</w:t>
      </w:r>
      <w:r>
        <w:rPr>
          <w:spacing w:val="-13"/>
        </w:rPr>
        <w:t xml:space="preserve"> </w:t>
      </w:r>
      <w:r>
        <w:t>as</w:t>
      </w:r>
      <w:r>
        <w:rPr>
          <w:spacing w:val="-14"/>
        </w:rPr>
        <w:t xml:space="preserve"> </w:t>
      </w:r>
      <w:r>
        <w:t>consorting</w:t>
      </w:r>
      <w:r>
        <w:rPr>
          <w:spacing w:val="-14"/>
        </w:rPr>
        <w:t xml:space="preserve"> </w:t>
      </w:r>
      <w:r>
        <w:t>with</w:t>
      </w:r>
      <w:r>
        <w:rPr>
          <w:spacing w:val="-13"/>
        </w:rPr>
        <w:t xml:space="preserve"> </w:t>
      </w:r>
      <w:r>
        <w:t>at</w:t>
      </w:r>
      <w:r>
        <w:rPr>
          <w:spacing w:val="-13"/>
        </w:rPr>
        <w:t xml:space="preserve"> </w:t>
      </w:r>
      <w:r>
        <w:t>least</w:t>
      </w:r>
      <w:r>
        <w:rPr>
          <w:spacing w:val="-14"/>
        </w:rPr>
        <w:t xml:space="preserve"> </w:t>
      </w:r>
      <w:r>
        <w:t>two</w:t>
      </w:r>
      <w:r>
        <w:rPr>
          <w:spacing w:val="-13"/>
        </w:rPr>
        <w:t xml:space="preserve"> </w:t>
      </w:r>
      <w:r>
        <w:t>convicted</w:t>
      </w:r>
      <w:r>
        <w:rPr>
          <w:spacing w:val="-12"/>
        </w:rPr>
        <w:t xml:space="preserve"> </w:t>
      </w:r>
      <w:r>
        <w:t>offenders</w:t>
      </w:r>
      <w:r w:rsidR="00BE4E22">
        <w:t xml:space="preserve"> (whether together or separately),</w:t>
      </w:r>
      <w:r>
        <w:t xml:space="preserve"> on at least two occasions. It also details when an official warning ceases to have effect, and various other definitions for this section.</w:t>
      </w:r>
    </w:p>
    <w:p w14:paraId="7E7C0E83" w14:textId="77777777" w:rsidR="00A32F77" w:rsidRDefault="00A32F77" w:rsidP="00633015">
      <w:pPr>
        <w:pStyle w:val="BodyText"/>
        <w:spacing w:before="1" w:line="276" w:lineRule="auto"/>
      </w:pPr>
    </w:p>
    <w:p w14:paraId="6FA4E158" w14:textId="005B89B4" w:rsidR="00515AF8" w:rsidRDefault="00383211" w:rsidP="00633015">
      <w:pPr>
        <w:pStyle w:val="BodyText"/>
        <w:spacing w:before="1" w:line="276" w:lineRule="auto"/>
      </w:pPr>
      <w:r>
        <w:t xml:space="preserve">Section </w:t>
      </w:r>
      <w:r w:rsidR="004604C4">
        <w:t xml:space="preserve">85 details certain consorting </w:t>
      </w:r>
      <w:r w:rsidR="0011328B">
        <w:t xml:space="preserve">circumstances </w:t>
      </w:r>
      <w:r w:rsidR="004604C4">
        <w:t xml:space="preserve">which </w:t>
      </w:r>
      <w:r w:rsidR="0011328B">
        <w:t>are</w:t>
      </w:r>
      <w:r w:rsidR="004604C4">
        <w:t xml:space="preserve"> to be disregarded when applying s</w:t>
      </w:r>
      <w:r>
        <w:t xml:space="preserve"> </w:t>
      </w:r>
      <w:r w:rsidR="004604C4">
        <w:t>84</w:t>
      </w:r>
      <w:r w:rsidR="00BE4E22">
        <w:t>, provided the contact is, in the view of the court ‘reasonable in the circumstances.’</w:t>
      </w:r>
      <w:r w:rsidR="00555977">
        <w:t xml:space="preserve"> T</w:t>
      </w:r>
      <w:r w:rsidR="004604C4">
        <w:t xml:space="preserve">hese </w:t>
      </w:r>
      <w:r w:rsidR="0011328B">
        <w:t>circumstanc</w:t>
      </w:r>
      <w:r w:rsidR="00555977">
        <w:t>e</w:t>
      </w:r>
      <w:r w:rsidR="0011328B">
        <w:t xml:space="preserve">s </w:t>
      </w:r>
      <w:r w:rsidR="004604C4">
        <w:t xml:space="preserve">include </w:t>
      </w:r>
      <w:r w:rsidR="00BE4E22">
        <w:t xml:space="preserve">a series of </w:t>
      </w:r>
      <w:r w:rsidR="004604C4">
        <w:t xml:space="preserve">legitimate </w:t>
      </w:r>
      <w:r w:rsidR="00BE4E22">
        <w:t xml:space="preserve">forms of </w:t>
      </w:r>
      <w:r w:rsidR="004604C4">
        <w:t>association</w:t>
      </w:r>
      <w:r w:rsidR="00BE4E22">
        <w:t>, including amongst others,</w:t>
      </w:r>
      <w:r w:rsidR="004604C4">
        <w:t xml:space="preserve"> meeting family members, accessing health or welfare services </w:t>
      </w:r>
      <w:r w:rsidR="004604C4">
        <w:rPr>
          <w:spacing w:val="-2"/>
        </w:rPr>
        <w:t>including housing, employment, rental or financial services including rehabilitation, counselling</w:t>
      </w:r>
      <w:r w:rsidR="00BE4E22">
        <w:rPr>
          <w:spacing w:val="-2"/>
        </w:rPr>
        <w:t xml:space="preserve"> </w:t>
      </w:r>
      <w:r w:rsidR="00FD1F81">
        <w:rPr>
          <w:spacing w:val="-2"/>
        </w:rPr>
        <w:t>and</w:t>
      </w:r>
      <w:r w:rsidR="004604C4">
        <w:rPr>
          <w:spacing w:val="-2"/>
        </w:rPr>
        <w:t xml:space="preserve"> </w:t>
      </w:r>
      <w:r w:rsidR="004604C4">
        <w:t>drug</w:t>
      </w:r>
      <w:r w:rsidR="004604C4">
        <w:rPr>
          <w:spacing w:val="-1"/>
        </w:rPr>
        <w:t xml:space="preserve"> </w:t>
      </w:r>
      <w:r w:rsidR="004604C4">
        <w:t>and alcohol</w:t>
      </w:r>
      <w:r w:rsidR="004604C4">
        <w:rPr>
          <w:spacing w:val="-1"/>
        </w:rPr>
        <w:t xml:space="preserve"> </w:t>
      </w:r>
      <w:r w:rsidR="004604C4">
        <w:t>welfare</w:t>
      </w:r>
      <w:r w:rsidR="004604C4">
        <w:rPr>
          <w:spacing w:val="-1"/>
        </w:rPr>
        <w:t xml:space="preserve"> </w:t>
      </w:r>
      <w:r w:rsidR="004604C4">
        <w:t>services.</w:t>
      </w:r>
      <w:r w:rsidR="004604C4">
        <w:rPr>
          <w:spacing w:val="-1"/>
        </w:rPr>
        <w:t xml:space="preserve"> </w:t>
      </w:r>
    </w:p>
    <w:p w14:paraId="7EA813AE" w14:textId="77777777" w:rsidR="00EA1591" w:rsidRDefault="00EA1591" w:rsidP="00633015">
      <w:pPr>
        <w:pStyle w:val="BodyText"/>
        <w:spacing w:before="38" w:line="276" w:lineRule="auto"/>
      </w:pPr>
    </w:p>
    <w:p w14:paraId="18654171" w14:textId="60141CF7" w:rsidR="00515AF8" w:rsidRDefault="004604C4" w:rsidP="00EA1591">
      <w:pPr>
        <w:pStyle w:val="BodyText"/>
        <w:keepNext/>
        <w:spacing w:before="38" w:line="276" w:lineRule="auto"/>
      </w:pPr>
      <w:r>
        <w:lastRenderedPageBreak/>
        <w:t>It</w:t>
      </w:r>
      <w:r>
        <w:rPr>
          <w:spacing w:val="-12"/>
        </w:rPr>
        <w:t xml:space="preserve"> </w:t>
      </w:r>
      <w:r>
        <w:t>also</w:t>
      </w:r>
      <w:r>
        <w:rPr>
          <w:spacing w:val="-12"/>
        </w:rPr>
        <w:t xml:space="preserve"> </w:t>
      </w:r>
      <w:r>
        <w:t>specifically</w:t>
      </w:r>
      <w:r>
        <w:rPr>
          <w:spacing w:val="-11"/>
        </w:rPr>
        <w:t xml:space="preserve"> </w:t>
      </w:r>
      <w:r>
        <w:t>recognises</w:t>
      </w:r>
      <w:r>
        <w:rPr>
          <w:spacing w:val="-11"/>
        </w:rPr>
        <w:t xml:space="preserve"> </w:t>
      </w:r>
      <w:r>
        <w:t>that,</w:t>
      </w:r>
      <w:r>
        <w:rPr>
          <w:spacing w:val="-11"/>
        </w:rPr>
        <w:t xml:space="preserve"> </w:t>
      </w:r>
      <w:r>
        <w:t>for</w:t>
      </w:r>
      <w:r>
        <w:rPr>
          <w:spacing w:val="-11"/>
        </w:rPr>
        <w:t xml:space="preserve"> </w:t>
      </w:r>
      <w:r>
        <w:t>a</w:t>
      </w:r>
      <w:r>
        <w:rPr>
          <w:spacing w:val="-11"/>
        </w:rPr>
        <w:t xml:space="preserve"> </w:t>
      </w:r>
      <w:r>
        <w:t>defendant</w:t>
      </w:r>
      <w:r>
        <w:rPr>
          <w:spacing w:val="-12"/>
        </w:rPr>
        <w:t xml:space="preserve"> </w:t>
      </w:r>
      <w:r>
        <w:t>who</w:t>
      </w:r>
      <w:r>
        <w:rPr>
          <w:spacing w:val="-12"/>
        </w:rPr>
        <w:t xml:space="preserve"> </w:t>
      </w:r>
      <w:r>
        <w:t>is</w:t>
      </w:r>
      <w:r>
        <w:rPr>
          <w:spacing w:val="-11"/>
        </w:rPr>
        <w:t xml:space="preserve"> </w:t>
      </w:r>
      <w:r>
        <w:t>an</w:t>
      </w:r>
      <w:r>
        <w:rPr>
          <w:spacing w:val="-11"/>
        </w:rPr>
        <w:t xml:space="preserve"> </w:t>
      </w:r>
      <w:r>
        <w:t>Aboriginal</w:t>
      </w:r>
      <w:r>
        <w:rPr>
          <w:spacing w:val="-11"/>
        </w:rPr>
        <w:t xml:space="preserve"> </w:t>
      </w:r>
      <w:r>
        <w:t>or</w:t>
      </w:r>
      <w:r>
        <w:rPr>
          <w:spacing w:val="-10"/>
        </w:rPr>
        <w:t xml:space="preserve"> </w:t>
      </w:r>
      <w:r>
        <w:t>Torres</w:t>
      </w:r>
      <w:r>
        <w:rPr>
          <w:spacing w:val="-11"/>
        </w:rPr>
        <w:t xml:space="preserve"> </w:t>
      </w:r>
      <w:r>
        <w:t>Strait</w:t>
      </w:r>
      <w:r>
        <w:rPr>
          <w:spacing w:val="-11"/>
        </w:rPr>
        <w:t xml:space="preserve"> </w:t>
      </w:r>
      <w:r>
        <w:t>Islander, the exception includes contact with that person’s extended family kin according to the indigenous kinship system of the defendant’s culture.</w:t>
      </w:r>
    </w:p>
    <w:p w14:paraId="23C8AE04" w14:textId="77777777" w:rsidR="00A32F77" w:rsidRDefault="00A32F77" w:rsidP="00633015">
      <w:pPr>
        <w:pStyle w:val="BodyText"/>
        <w:spacing w:before="1" w:line="276" w:lineRule="auto"/>
      </w:pPr>
    </w:p>
    <w:p w14:paraId="42FAC961" w14:textId="1009DDC5" w:rsidR="00515AF8" w:rsidRDefault="00383211" w:rsidP="00633015">
      <w:pPr>
        <w:pStyle w:val="BodyText"/>
        <w:spacing w:before="1" w:line="276" w:lineRule="auto"/>
      </w:pPr>
      <w:r>
        <w:t xml:space="preserve">Section </w:t>
      </w:r>
      <w:r w:rsidR="004604C4">
        <w:t>86</w:t>
      </w:r>
      <w:r w:rsidR="004604C4">
        <w:rPr>
          <w:spacing w:val="-10"/>
        </w:rPr>
        <w:t xml:space="preserve"> </w:t>
      </w:r>
      <w:r w:rsidR="004604C4">
        <w:t>provides</w:t>
      </w:r>
      <w:r w:rsidR="004604C4">
        <w:rPr>
          <w:spacing w:val="-8"/>
        </w:rPr>
        <w:t xml:space="preserve"> </w:t>
      </w:r>
      <w:r w:rsidR="004604C4">
        <w:t>for</w:t>
      </w:r>
      <w:r w:rsidR="004604C4">
        <w:rPr>
          <w:spacing w:val="-9"/>
        </w:rPr>
        <w:t xml:space="preserve"> </w:t>
      </w:r>
      <w:r w:rsidR="004604C4">
        <w:t>a</w:t>
      </w:r>
      <w:r w:rsidR="004604C4">
        <w:rPr>
          <w:spacing w:val="-9"/>
        </w:rPr>
        <w:t xml:space="preserve"> </w:t>
      </w:r>
      <w:r w:rsidR="004604C4">
        <w:t>review</w:t>
      </w:r>
      <w:r w:rsidR="004604C4">
        <w:rPr>
          <w:spacing w:val="-9"/>
        </w:rPr>
        <w:t xml:space="preserve"> </w:t>
      </w:r>
      <w:r w:rsidR="004604C4">
        <w:t>of</w:t>
      </w:r>
      <w:r w:rsidR="004604C4">
        <w:rPr>
          <w:spacing w:val="-9"/>
        </w:rPr>
        <w:t xml:space="preserve"> </w:t>
      </w:r>
      <w:r w:rsidR="004604C4">
        <w:t>the</w:t>
      </w:r>
      <w:r w:rsidR="004604C4">
        <w:rPr>
          <w:spacing w:val="-8"/>
        </w:rPr>
        <w:t xml:space="preserve"> </w:t>
      </w:r>
      <w:r w:rsidR="004604C4">
        <w:t>operation</w:t>
      </w:r>
      <w:r w:rsidR="004604C4">
        <w:rPr>
          <w:spacing w:val="-9"/>
        </w:rPr>
        <w:t xml:space="preserve"> </w:t>
      </w:r>
      <w:r w:rsidR="004604C4">
        <w:t>of</w:t>
      </w:r>
      <w:r w:rsidR="004604C4">
        <w:rPr>
          <w:spacing w:val="-9"/>
        </w:rPr>
        <w:t xml:space="preserve"> </w:t>
      </w:r>
      <w:r w:rsidR="004604C4">
        <w:t>th</w:t>
      </w:r>
      <w:r w:rsidR="00E16ADB">
        <w:t>e new provisions introduced by this Act,</w:t>
      </w:r>
      <w:r w:rsidR="004604C4">
        <w:rPr>
          <w:spacing w:val="-9"/>
        </w:rPr>
        <w:t xml:space="preserve"> </w:t>
      </w:r>
      <w:r w:rsidR="004604C4">
        <w:t>by</w:t>
      </w:r>
      <w:r w:rsidR="004604C4">
        <w:rPr>
          <w:spacing w:val="-8"/>
        </w:rPr>
        <w:t xml:space="preserve"> </w:t>
      </w:r>
      <w:r w:rsidR="004604C4">
        <w:t>the</w:t>
      </w:r>
      <w:r w:rsidR="004604C4">
        <w:rPr>
          <w:spacing w:val="-8"/>
        </w:rPr>
        <w:t xml:space="preserve"> </w:t>
      </w:r>
      <w:r w:rsidR="004604C4">
        <w:t>Ombudsman</w:t>
      </w:r>
      <w:r w:rsidR="004604C4">
        <w:rPr>
          <w:spacing w:val="-8"/>
        </w:rPr>
        <w:t xml:space="preserve"> </w:t>
      </w:r>
      <w:r w:rsidR="004604C4">
        <w:t>as</w:t>
      </w:r>
      <w:r w:rsidR="004604C4">
        <w:rPr>
          <w:spacing w:val="-9"/>
        </w:rPr>
        <w:t xml:space="preserve"> </w:t>
      </w:r>
      <w:r w:rsidR="004604C4">
        <w:t>soon</w:t>
      </w:r>
      <w:r w:rsidR="004604C4">
        <w:rPr>
          <w:spacing w:val="-9"/>
        </w:rPr>
        <w:t xml:space="preserve"> </w:t>
      </w:r>
      <w:r w:rsidR="004604C4">
        <w:t>as</w:t>
      </w:r>
      <w:r w:rsidR="004604C4">
        <w:rPr>
          <w:spacing w:val="-9"/>
        </w:rPr>
        <w:t xml:space="preserve"> </w:t>
      </w:r>
      <w:r w:rsidR="004604C4">
        <w:t>practicable after the end of the 2</w:t>
      </w:r>
      <w:r w:rsidR="004604C4">
        <w:rPr>
          <w:vertAlign w:val="superscript"/>
        </w:rPr>
        <w:t>nd</w:t>
      </w:r>
      <w:r w:rsidR="004604C4">
        <w:t xml:space="preserve"> year of operation.</w:t>
      </w:r>
    </w:p>
    <w:p w14:paraId="2A0C5D97" w14:textId="77777777" w:rsidR="00515AF8" w:rsidRDefault="00515AF8" w:rsidP="00633015">
      <w:pPr>
        <w:pStyle w:val="BodyText"/>
      </w:pPr>
    </w:p>
    <w:p w14:paraId="447B079B" w14:textId="77777777" w:rsidR="00515AF8" w:rsidRDefault="004604C4" w:rsidP="00633015">
      <w:pPr>
        <w:pStyle w:val="Heading1"/>
        <w:tabs>
          <w:tab w:val="left" w:pos="2275"/>
        </w:tabs>
        <w:spacing w:before="1"/>
        <w:ind w:left="0"/>
      </w:pPr>
      <w:r>
        <w:t>Clause</w:t>
      </w:r>
      <w:r>
        <w:rPr>
          <w:spacing w:val="-5"/>
        </w:rPr>
        <w:t xml:space="preserve"> </w:t>
      </w:r>
      <w:r>
        <w:rPr>
          <w:spacing w:val="-10"/>
        </w:rPr>
        <w:t>6</w:t>
      </w:r>
      <w:r>
        <w:tab/>
      </w:r>
      <w:r>
        <w:rPr>
          <w:spacing w:val="-2"/>
        </w:rPr>
        <w:t>Dictionary</w:t>
      </w:r>
    </w:p>
    <w:p w14:paraId="3EDF8B5E" w14:textId="77777777" w:rsidR="00515AF8" w:rsidRDefault="004604C4" w:rsidP="00633015">
      <w:pPr>
        <w:pStyle w:val="BodyText"/>
        <w:spacing w:before="164"/>
      </w:pPr>
      <w:r>
        <w:t>This</w:t>
      </w:r>
      <w:r>
        <w:rPr>
          <w:spacing w:val="-3"/>
        </w:rPr>
        <w:t xml:space="preserve"> </w:t>
      </w:r>
      <w:r>
        <w:t>section includes</w:t>
      </w:r>
      <w:r>
        <w:rPr>
          <w:spacing w:val="-2"/>
        </w:rPr>
        <w:t xml:space="preserve"> </w:t>
      </w:r>
      <w:r>
        <w:t>the</w:t>
      </w:r>
      <w:r>
        <w:rPr>
          <w:spacing w:val="-4"/>
        </w:rPr>
        <w:t xml:space="preserve"> </w:t>
      </w:r>
      <w:r>
        <w:t>new</w:t>
      </w:r>
      <w:r>
        <w:rPr>
          <w:spacing w:val="-1"/>
        </w:rPr>
        <w:t xml:space="preserve"> </w:t>
      </w:r>
      <w:r>
        <w:t>definition</w:t>
      </w:r>
      <w:r>
        <w:rPr>
          <w:spacing w:val="-3"/>
        </w:rPr>
        <w:t xml:space="preserve"> </w:t>
      </w:r>
      <w:r>
        <w:t>of</w:t>
      </w:r>
      <w:r>
        <w:rPr>
          <w:spacing w:val="-2"/>
        </w:rPr>
        <w:t xml:space="preserve"> </w:t>
      </w:r>
      <w:r>
        <w:t>‘consort’</w:t>
      </w:r>
      <w:r>
        <w:rPr>
          <w:spacing w:val="-2"/>
        </w:rPr>
        <w:t xml:space="preserve"> </w:t>
      </w:r>
      <w:r>
        <w:t>for</w:t>
      </w:r>
      <w:r>
        <w:rPr>
          <w:spacing w:val="-1"/>
        </w:rPr>
        <w:t xml:space="preserve"> </w:t>
      </w:r>
      <w:r>
        <w:t>part</w:t>
      </w:r>
      <w:r>
        <w:rPr>
          <w:spacing w:val="-2"/>
        </w:rPr>
        <w:t xml:space="preserve"> </w:t>
      </w:r>
      <w:r>
        <w:t>5A</w:t>
      </w:r>
      <w:r>
        <w:rPr>
          <w:spacing w:val="-1"/>
        </w:rPr>
        <w:t xml:space="preserve"> </w:t>
      </w:r>
      <w:r>
        <w:rPr>
          <w:spacing w:val="-2"/>
        </w:rPr>
        <w:t>(Consorting).</w:t>
      </w:r>
    </w:p>
    <w:sectPr w:rsidR="00515AF8" w:rsidSect="009C27E7">
      <w:footerReference w:type="default" r:id="rId14"/>
      <w:pgSz w:w="11910" w:h="16840" w:code="9"/>
      <w:pgMar w:top="1440" w:right="1304" w:bottom="1440" w:left="130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F8435" w14:textId="77777777" w:rsidR="00E94C6E" w:rsidRDefault="00E94C6E">
      <w:r>
        <w:separator/>
      </w:r>
    </w:p>
  </w:endnote>
  <w:endnote w:type="continuationSeparator" w:id="0">
    <w:p w14:paraId="7AB5B7A9" w14:textId="77777777" w:rsidR="00E94C6E" w:rsidRDefault="00E94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1146D" w14:textId="77777777" w:rsidR="00567E8A" w:rsidRDefault="00567E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585AF" w14:textId="1462EF3D" w:rsidR="00567E8A" w:rsidRPr="00567E8A" w:rsidRDefault="00567E8A" w:rsidP="00567E8A">
    <w:pPr>
      <w:pStyle w:val="Footer"/>
      <w:jc w:val="center"/>
      <w:rPr>
        <w:rFonts w:ascii="Arial" w:hAnsi="Arial" w:cs="Arial"/>
        <w:sz w:val="14"/>
      </w:rPr>
    </w:pPr>
    <w:r w:rsidRPr="00567E8A">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E01AB" w14:textId="77777777" w:rsidR="00567E8A" w:rsidRDefault="00567E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419563"/>
      <w:docPartObj>
        <w:docPartGallery w:val="Page Numbers (Bottom of Page)"/>
        <w:docPartUnique/>
      </w:docPartObj>
    </w:sdtPr>
    <w:sdtEndPr>
      <w:rPr>
        <w:rFonts w:ascii="Arial" w:hAnsi="Arial" w:cs="Arial"/>
        <w:noProof/>
        <w:sz w:val="14"/>
        <w:szCs w:val="14"/>
      </w:rPr>
    </w:sdtEndPr>
    <w:sdtContent>
      <w:p w14:paraId="33976840" w14:textId="77777777" w:rsidR="009C27E7" w:rsidRDefault="00EA1591">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10CAF69A" w14:textId="77777777" w:rsidR="00567E8A" w:rsidRDefault="00E94C6E" w:rsidP="009C27E7">
        <w:pPr>
          <w:pStyle w:val="Footer"/>
          <w:jc w:val="center"/>
          <w:rPr>
            <w:rFonts w:ascii="Arial" w:hAnsi="Arial" w:cs="Arial"/>
            <w:noProof/>
            <w:sz w:val="14"/>
            <w:szCs w:val="14"/>
          </w:rPr>
        </w:pPr>
      </w:p>
    </w:sdtContent>
  </w:sdt>
  <w:p w14:paraId="4F6D036F" w14:textId="5563201A" w:rsidR="00EA1591" w:rsidRPr="00567E8A" w:rsidRDefault="00567E8A" w:rsidP="00567E8A">
    <w:pPr>
      <w:pStyle w:val="Footer"/>
      <w:jc w:val="center"/>
      <w:rPr>
        <w:rFonts w:ascii="Arial" w:hAnsi="Arial" w:cs="Arial"/>
        <w:sz w:val="14"/>
        <w:szCs w:val="14"/>
      </w:rPr>
    </w:pPr>
    <w:r w:rsidRPr="00567E8A">
      <w:rPr>
        <w:rFonts w:ascii="Arial" w:hAnsi="Arial" w:cs="Arial"/>
        <w:noProof/>
        <w:sz w:val="14"/>
        <w:szCs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B260B" w14:textId="77777777" w:rsidR="00E94C6E" w:rsidRDefault="00E94C6E">
      <w:r>
        <w:separator/>
      </w:r>
    </w:p>
  </w:footnote>
  <w:footnote w:type="continuationSeparator" w:id="0">
    <w:p w14:paraId="51C7A46E" w14:textId="77777777" w:rsidR="00E94C6E" w:rsidRDefault="00E94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C860" w14:textId="77777777" w:rsidR="00567E8A" w:rsidRDefault="00567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2F512" w14:textId="77777777" w:rsidR="00567E8A" w:rsidRDefault="00567E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7082F" w14:textId="77777777" w:rsidR="00567E8A" w:rsidRDefault="00567E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1D6C"/>
    <w:multiLevelType w:val="hybridMultilevel"/>
    <w:tmpl w:val="E9F02B02"/>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1" w15:restartNumberingAfterBreak="0">
    <w:nsid w:val="036204DD"/>
    <w:multiLevelType w:val="hybridMultilevel"/>
    <w:tmpl w:val="840ADE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B475FA7"/>
    <w:multiLevelType w:val="hybridMultilevel"/>
    <w:tmpl w:val="8D4ABD5E"/>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11B9176B"/>
    <w:multiLevelType w:val="hybridMultilevel"/>
    <w:tmpl w:val="9CF03438"/>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01A4CCB"/>
    <w:multiLevelType w:val="hybridMultilevel"/>
    <w:tmpl w:val="B3E87B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3FB2B68"/>
    <w:multiLevelType w:val="hybridMultilevel"/>
    <w:tmpl w:val="9AB24C88"/>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50103124"/>
    <w:multiLevelType w:val="hybridMultilevel"/>
    <w:tmpl w:val="BB900242"/>
    <w:lvl w:ilvl="0" w:tplc="21C28CB0">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DBA4987"/>
    <w:multiLevelType w:val="hybridMultilevel"/>
    <w:tmpl w:val="7A9668D6"/>
    <w:lvl w:ilvl="0" w:tplc="0C09000F">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FE20FB4"/>
    <w:multiLevelType w:val="hybridMultilevel"/>
    <w:tmpl w:val="942281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0D91095"/>
    <w:multiLevelType w:val="hybridMultilevel"/>
    <w:tmpl w:val="B48AB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1F92C45"/>
    <w:multiLevelType w:val="hybridMultilevel"/>
    <w:tmpl w:val="28DCC246"/>
    <w:lvl w:ilvl="0" w:tplc="406029CE">
      <w:start w:val="1"/>
      <w:numFmt w:val="decimal"/>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35460431">
    <w:abstractNumId w:val="8"/>
  </w:num>
  <w:num w:numId="2" w16cid:durableId="1224874686">
    <w:abstractNumId w:val="4"/>
  </w:num>
  <w:num w:numId="3" w16cid:durableId="1485663455">
    <w:abstractNumId w:val="9"/>
  </w:num>
  <w:num w:numId="4" w16cid:durableId="1027020937">
    <w:abstractNumId w:val="0"/>
  </w:num>
  <w:num w:numId="5" w16cid:durableId="2126535660">
    <w:abstractNumId w:val="1"/>
  </w:num>
  <w:num w:numId="6" w16cid:durableId="1460687674">
    <w:abstractNumId w:val="10"/>
  </w:num>
  <w:num w:numId="7" w16cid:durableId="2110466257">
    <w:abstractNumId w:val="2"/>
  </w:num>
  <w:num w:numId="8" w16cid:durableId="639765976">
    <w:abstractNumId w:val="3"/>
  </w:num>
  <w:num w:numId="9" w16cid:durableId="414281151">
    <w:abstractNumId w:val="6"/>
  </w:num>
  <w:num w:numId="10" w16cid:durableId="412625237">
    <w:abstractNumId w:val="5"/>
  </w:num>
  <w:num w:numId="11" w16cid:durableId="21167103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AF8"/>
    <w:rsid w:val="00027AAF"/>
    <w:rsid w:val="000372CE"/>
    <w:rsid w:val="00037BA3"/>
    <w:rsid w:val="00084953"/>
    <w:rsid w:val="000910EF"/>
    <w:rsid w:val="00094195"/>
    <w:rsid w:val="000E6F7E"/>
    <w:rsid w:val="000E7BEA"/>
    <w:rsid w:val="000F2902"/>
    <w:rsid w:val="001020BD"/>
    <w:rsid w:val="0011328B"/>
    <w:rsid w:val="001512C6"/>
    <w:rsid w:val="00163055"/>
    <w:rsid w:val="001715DB"/>
    <w:rsid w:val="001B4246"/>
    <w:rsid w:val="001C47D9"/>
    <w:rsid w:val="00212B74"/>
    <w:rsid w:val="00214AF8"/>
    <w:rsid w:val="00226613"/>
    <w:rsid w:val="002328D0"/>
    <w:rsid w:val="00260BBE"/>
    <w:rsid w:val="00260F43"/>
    <w:rsid w:val="002634BD"/>
    <w:rsid w:val="00275B73"/>
    <w:rsid w:val="002B0F2F"/>
    <w:rsid w:val="002B75F7"/>
    <w:rsid w:val="002C6F9F"/>
    <w:rsid w:val="002C7554"/>
    <w:rsid w:val="002E5142"/>
    <w:rsid w:val="00310D51"/>
    <w:rsid w:val="00310EC4"/>
    <w:rsid w:val="00311D60"/>
    <w:rsid w:val="00344E0D"/>
    <w:rsid w:val="00345D0E"/>
    <w:rsid w:val="00383211"/>
    <w:rsid w:val="003856EE"/>
    <w:rsid w:val="00395310"/>
    <w:rsid w:val="003A5580"/>
    <w:rsid w:val="003A5CE7"/>
    <w:rsid w:val="003B6D5F"/>
    <w:rsid w:val="003D52E7"/>
    <w:rsid w:val="003E0882"/>
    <w:rsid w:val="003F1EA0"/>
    <w:rsid w:val="004035EE"/>
    <w:rsid w:val="00413AF3"/>
    <w:rsid w:val="004151C9"/>
    <w:rsid w:val="004202A7"/>
    <w:rsid w:val="00441895"/>
    <w:rsid w:val="004604C4"/>
    <w:rsid w:val="00460591"/>
    <w:rsid w:val="00462577"/>
    <w:rsid w:val="0046507B"/>
    <w:rsid w:val="00473C50"/>
    <w:rsid w:val="004B174B"/>
    <w:rsid w:val="004C56B4"/>
    <w:rsid w:val="004D67FA"/>
    <w:rsid w:val="004E4949"/>
    <w:rsid w:val="00515AF8"/>
    <w:rsid w:val="005377B1"/>
    <w:rsid w:val="00555977"/>
    <w:rsid w:val="00567E8A"/>
    <w:rsid w:val="00586306"/>
    <w:rsid w:val="00597D89"/>
    <w:rsid w:val="005B46B0"/>
    <w:rsid w:val="00603066"/>
    <w:rsid w:val="00610B6C"/>
    <w:rsid w:val="00614858"/>
    <w:rsid w:val="00620CE0"/>
    <w:rsid w:val="00633015"/>
    <w:rsid w:val="006552AF"/>
    <w:rsid w:val="00674860"/>
    <w:rsid w:val="00696B3A"/>
    <w:rsid w:val="006C167C"/>
    <w:rsid w:val="006F6AB9"/>
    <w:rsid w:val="0072661A"/>
    <w:rsid w:val="00726D76"/>
    <w:rsid w:val="0072750F"/>
    <w:rsid w:val="00757E87"/>
    <w:rsid w:val="0078224A"/>
    <w:rsid w:val="007E126C"/>
    <w:rsid w:val="007E6966"/>
    <w:rsid w:val="00845632"/>
    <w:rsid w:val="008474FB"/>
    <w:rsid w:val="008637DF"/>
    <w:rsid w:val="00865AD6"/>
    <w:rsid w:val="00877813"/>
    <w:rsid w:val="008A2F29"/>
    <w:rsid w:val="008D7DF7"/>
    <w:rsid w:val="00907705"/>
    <w:rsid w:val="00931C1D"/>
    <w:rsid w:val="00944DDD"/>
    <w:rsid w:val="009455DC"/>
    <w:rsid w:val="00991C65"/>
    <w:rsid w:val="009A5916"/>
    <w:rsid w:val="009C27E7"/>
    <w:rsid w:val="009F416E"/>
    <w:rsid w:val="00A04698"/>
    <w:rsid w:val="00A2195A"/>
    <w:rsid w:val="00A32F77"/>
    <w:rsid w:val="00A33F59"/>
    <w:rsid w:val="00A5153C"/>
    <w:rsid w:val="00A64954"/>
    <w:rsid w:val="00A80010"/>
    <w:rsid w:val="00A95D36"/>
    <w:rsid w:val="00AA41DA"/>
    <w:rsid w:val="00AC5D8A"/>
    <w:rsid w:val="00AF50D6"/>
    <w:rsid w:val="00B12330"/>
    <w:rsid w:val="00B242F7"/>
    <w:rsid w:val="00B30DA1"/>
    <w:rsid w:val="00B323EC"/>
    <w:rsid w:val="00B336D1"/>
    <w:rsid w:val="00B561EB"/>
    <w:rsid w:val="00B56560"/>
    <w:rsid w:val="00B81150"/>
    <w:rsid w:val="00B867E5"/>
    <w:rsid w:val="00BC2CF6"/>
    <w:rsid w:val="00BE4E22"/>
    <w:rsid w:val="00C01BA5"/>
    <w:rsid w:val="00C211CC"/>
    <w:rsid w:val="00C52052"/>
    <w:rsid w:val="00C60757"/>
    <w:rsid w:val="00C8084C"/>
    <w:rsid w:val="00C92689"/>
    <w:rsid w:val="00C94D89"/>
    <w:rsid w:val="00CA2A6E"/>
    <w:rsid w:val="00CA41A5"/>
    <w:rsid w:val="00CA7ED2"/>
    <w:rsid w:val="00CF59BD"/>
    <w:rsid w:val="00D239ED"/>
    <w:rsid w:val="00D3306A"/>
    <w:rsid w:val="00D63F33"/>
    <w:rsid w:val="00D67C14"/>
    <w:rsid w:val="00D75E17"/>
    <w:rsid w:val="00DD054C"/>
    <w:rsid w:val="00DE0C4A"/>
    <w:rsid w:val="00DF7D2F"/>
    <w:rsid w:val="00E10BD8"/>
    <w:rsid w:val="00E135F7"/>
    <w:rsid w:val="00E16ADB"/>
    <w:rsid w:val="00E16FAE"/>
    <w:rsid w:val="00E178C5"/>
    <w:rsid w:val="00E26B92"/>
    <w:rsid w:val="00E36A4D"/>
    <w:rsid w:val="00E656F5"/>
    <w:rsid w:val="00E77696"/>
    <w:rsid w:val="00E8411D"/>
    <w:rsid w:val="00E94C6E"/>
    <w:rsid w:val="00E966F6"/>
    <w:rsid w:val="00EA0F4E"/>
    <w:rsid w:val="00EA1591"/>
    <w:rsid w:val="00EE7C69"/>
    <w:rsid w:val="00F04DA8"/>
    <w:rsid w:val="00F20440"/>
    <w:rsid w:val="00F26D2D"/>
    <w:rsid w:val="00F503F9"/>
    <w:rsid w:val="00F551EB"/>
    <w:rsid w:val="00F7180D"/>
    <w:rsid w:val="00FA5171"/>
    <w:rsid w:val="00FC40D0"/>
    <w:rsid w:val="00FD1F81"/>
    <w:rsid w:val="00FE22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BF5022"/>
  <w15:docId w15:val="{86DE4DA4-694C-4540-BB9A-FA413F09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15"/>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2750F"/>
    <w:pPr>
      <w:tabs>
        <w:tab w:val="center" w:pos="4513"/>
        <w:tab w:val="right" w:pos="9026"/>
      </w:tabs>
    </w:pPr>
  </w:style>
  <w:style w:type="character" w:customStyle="1" w:styleId="HeaderChar">
    <w:name w:val="Header Char"/>
    <w:basedOn w:val="DefaultParagraphFont"/>
    <w:link w:val="Header"/>
    <w:uiPriority w:val="99"/>
    <w:rsid w:val="0072750F"/>
    <w:rPr>
      <w:rFonts w:ascii="Calibri" w:eastAsia="Calibri" w:hAnsi="Calibri" w:cs="Calibri"/>
    </w:rPr>
  </w:style>
  <w:style w:type="paragraph" w:styleId="Footer">
    <w:name w:val="footer"/>
    <w:basedOn w:val="Normal"/>
    <w:link w:val="FooterChar"/>
    <w:uiPriority w:val="99"/>
    <w:unhideWhenUsed/>
    <w:rsid w:val="0072750F"/>
    <w:pPr>
      <w:tabs>
        <w:tab w:val="center" w:pos="4513"/>
        <w:tab w:val="right" w:pos="9026"/>
      </w:tabs>
    </w:pPr>
  </w:style>
  <w:style w:type="character" w:customStyle="1" w:styleId="FooterChar">
    <w:name w:val="Footer Char"/>
    <w:basedOn w:val="DefaultParagraphFont"/>
    <w:link w:val="Footer"/>
    <w:uiPriority w:val="99"/>
    <w:rsid w:val="0072750F"/>
    <w:rPr>
      <w:rFonts w:ascii="Calibri" w:eastAsia="Calibri" w:hAnsi="Calibri" w:cs="Calibri"/>
    </w:rPr>
  </w:style>
  <w:style w:type="paragraph" w:styleId="FootnoteText">
    <w:name w:val="footnote text"/>
    <w:basedOn w:val="Normal"/>
    <w:link w:val="FootnoteTextChar"/>
    <w:uiPriority w:val="99"/>
    <w:semiHidden/>
    <w:unhideWhenUsed/>
    <w:rsid w:val="00EA1591"/>
    <w:rPr>
      <w:sz w:val="20"/>
      <w:szCs w:val="20"/>
    </w:rPr>
  </w:style>
  <w:style w:type="character" w:customStyle="1" w:styleId="FootnoteTextChar">
    <w:name w:val="Footnote Text Char"/>
    <w:basedOn w:val="DefaultParagraphFont"/>
    <w:link w:val="FootnoteText"/>
    <w:uiPriority w:val="99"/>
    <w:semiHidden/>
    <w:rsid w:val="00EA1591"/>
    <w:rPr>
      <w:rFonts w:ascii="Calibri" w:eastAsia="Calibri" w:hAnsi="Calibri" w:cs="Calibri"/>
      <w:sz w:val="20"/>
      <w:szCs w:val="20"/>
    </w:rPr>
  </w:style>
  <w:style w:type="character" w:styleId="FootnoteReference">
    <w:name w:val="footnote reference"/>
    <w:basedOn w:val="DefaultParagraphFont"/>
    <w:uiPriority w:val="99"/>
    <w:semiHidden/>
    <w:unhideWhenUsed/>
    <w:rsid w:val="00EA1591"/>
    <w:rPr>
      <w:vertAlign w:val="superscript"/>
    </w:rPr>
  </w:style>
  <w:style w:type="character" w:styleId="CommentReference">
    <w:name w:val="annotation reference"/>
    <w:basedOn w:val="DefaultParagraphFont"/>
    <w:uiPriority w:val="99"/>
    <w:semiHidden/>
    <w:unhideWhenUsed/>
    <w:rsid w:val="00FC40D0"/>
    <w:rPr>
      <w:sz w:val="16"/>
      <w:szCs w:val="16"/>
    </w:rPr>
  </w:style>
  <w:style w:type="paragraph" w:styleId="CommentText">
    <w:name w:val="annotation text"/>
    <w:basedOn w:val="Normal"/>
    <w:link w:val="CommentTextChar"/>
    <w:uiPriority w:val="99"/>
    <w:unhideWhenUsed/>
    <w:rsid w:val="00FC40D0"/>
    <w:rPr>
      <w:sz w:val="20"/>
      <w:szCs w:val="20"/>
    </w:rPr>
  </w:style>
  <w:style w:type="character" w:customStyle="1" w:styleId="CommentTextChar">
    <w:name w:val="Comment Text Char"/>
    <w:basedOn w:val="DefaultParagraphFont"/>
    <w:link w:val="CommentText"/>
    <w:uiPriority w:val="99"/>
    <w:rsid w:val="00FC40D0"/>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C40D0"/>
    <w:rPr>
      <w:b/>
      <w:bCs/>
    </w:rPr>
  </w:style>
  <w:style w:type="character" w:customStyle="1" w:styleId="CommentSubjectChar">
    <w:name w:val="Comment Subject Char"/>
    <w:basedOn w:val="CommentTextChar"/>
    <w:link w:val="CommentSubject"/>
    <w:uiPriority w:val="99"/>
    <w:semiHidden/>
    <w:rsid w:val="00FC40D0"/>
    <w:rPr>
      <w:rFonts w:ascii="Calibri" w:eastAsia="Calibri" w:hAnsi="Calibri" w:cs="Calibri"/>
      <w:b/>
      <w:bCs/>
      <w:sz w:val="20"/>
      <w:szCs w:val="20"/>
    </w:rPr>
  </w:style>
  <w:style w:type="paragraph" w:styleId="Revision">
    <w:name w:val="Revision"/>
    <w:hidden/>
    <w:uiPriority w:val="99"/>
    <w:semiHidden/>
    <w:rsid w:val="001020BD"/>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1"/>
    <w:rsid w:val="002B0F2F"/>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878037">
      <w:bodyDiv w:val="1"/>
      <w:marLeft w:val="0"/>
      <w:marRight w:val="0"/>
      <w:marTop w:val="0"/>
      <w:marBottom w:val="0"/>
      <w:divBdr>
        <w:top w:val="none" w:sz="0" w:space="0" w:color="auto"/>
        <w:left w:val="none" w:sz="0" w:space="0" w:color="auto"/>
        <w:bottom w:val="none" w:sz="0" w:space="0" w:color="auto"/>
        <w:right w:val="none" w:sz="0" w:space="0" w:color="auto"/>
      </w:divBdr>
    </w:div>
    <w:div w:id="14803412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FFA40-2B6E-481C-88BE-F3B2137E5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4753</Words>
  <Characters>25667</Characters>
  <Application>Microsoft Office Word</Application>
  <DocSecurity>0</DocSecurity>
  <Lines>470</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Moxon, KarenL</dc:creator>
  <cp:lastModifiedBy>PCODCS</cp:lastModifiedBy>
  <cp:revision>4</cp:revision>
  <cp:lastPrinted>2024-08-06T23:42:00Z</cp:lastPrinted>
  <dcterms:created xsi:type="dcterms:W3CDTF">2026-10-20T23:07:00Z</dcterms:created>
  <dcterms:modified xsi:type="dcterms:W3CDTF">2026-10-20T23:07:00Z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LastSaved">
    <vt:filetime>2024-08-06T00:00:00Z</vt:filetime>
  </property>
  <property fmtid="{D5CDD505-2E9C-101B-9397-08002B2CF9AE}" pid="4" name="MSIP_Label_69af8531-eb46-4968-8cb3-105d2f5ea87e_Enabled">
    <vt:lpwstr>true</vt:lpwstr>
  </property>
  <property fmtid="{D5CDD505-2E9C-101B-9397-08002B2CF9AE}" pid="5" name="MSIP_Label_69af8531-eb46-4968-8cb3-105d2f5ea87e_SetDate">
    <vt:lpwstr>2024-08-27T05:27:10Z</vt:lpwstr>
  </property>
  <property fmtid="{D5CDD505-2E9C-101B-9397-08002B2CF9AE}" pid="6" name="MSIP_Label_69af8531-eb46-4968-8cb3-105d2f5ea87e_Method">
    <vt:lpwstr>Standard</vt:lpwstr>
  </property>
  <property fmtid="{D5CDD505-2E9C-101B-9397-08002B2CF9AE}" pid="7" name="MSIP_Label_69af8531-eb46-4968-8cb3-105d2f5ea87e_Name">
    <vt:lpwstr>Official - No Marking</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ActionId">
    <vt:lpwstr>835257fc-cec3-4fbd-b5e8-0e07bd877f42</vt:lpwstr>
  </property>
  <property fmtid="{D5CDD505-2E9C-101B-9397-08002B2CF9AE}" pid="10" name="MSIP_Label_69af8531-eb46-4968-8cb3-105d2f5ea87e_ContentBits">
    <vt:lpwstr>0</vt:lpwstr>
  </property>
</Properties>
</file>