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F9535" w14:textId="1581BC18" w:rsidR="00C17FAB" w:rsidRDefault="00C17FA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697BD7EF" w14:textId="14B2E5C6" w:rsidR="00C17FAB" w:rsidRPr="005501B0" w:rsidRDefault="00D5027A">
      <w:pPr>
        <w:pStyle w:val="Billname"/>
        <w:spacing w:before="700"/>
        <w:rPr>
          <w:color w:val="00B050"/>
          <w:sz w:val="20"/>
        </w:rPr>
      </w:pPr>
      <w:r>
        <w:t>Public Place Names</w:t>
      </w:r>
      <w:r w:rsidR="00FD75CE">
        <w:t xml:space="preserve"> </w:t>
      </w:r>
      <w:r>
        <w:t>(</w:t>
      </w:r>
      <w:r w:rsidR="00E11CCE">
        <w:t>Whitlam</w:t>
      </w:r>
      <w:r>
        <w:t>) Determination</w:t>
      </w:r>
      <w:r w:rsidR="00FD75CE">
        <w:t xml:space="preserve"> </w:t>
      </w:r>
      <w:r w:rsidR="001602BD">
        <w:t>202</w:t>
      </w:r>
      <w:r w:rsidR="006E534C">
        <w:t>6</w:t>
      </w:r>
    </w:p>
    <w:p w14:paraId="4F17E92E" w14:textId="3DFE8CFA" w:rsidR="00C17FAB" w:rsidRDefault="002D7C60" w:rsidP="00DA3B00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1602BD">
        <w:rPr>
          <w:rFonts w:ascii="Arial" w:hAnsi="Arial" w:cs="Arial"/>
          <w:b/>
          <w:bCs/>
        </w:rPr>
        <w:t>202</w:t>
      </w:r>
      <w:r w:rsidR="006E534C">
        <w:rPr>
          <w:rFonts w:ascii="Arial" w:hAnsi="Arial" w:cs="Arial"/>
          <w:b/>
          <w:bCs/>
        </w:rPr>
        <w:t>6</w:t>
      </w:r>
      <w:r w:rsidR="00C17FAB">
        <w:rPr>
          <w:rFonts w:ascii="Arial" w:hAnsi="Arial" w:cs="Arial"/>
          <w:b/>
          <w:bCs/>
        </w:rPr>
        <w:t>–</w:t>
      </w:r>
      <w:r w:rsidR="004C7B02">
        <w:rPr>
          <w:rFonts w:ascii="Arial" w:hAnsi="Arial" w:cs="Arial"/>
          <w:b/>
          <w:bCs/>
        </w:rPr>
        <w:t>229</w:t>
      </w:r>
    </w:p>
    <w:p w14:paraId="63595F21" w14:textId="77777777" w:rsidR="00C17FAB" w:rsidRDefault="00C17FAB" w:rsidP="00DA3B00">
      <w:pPr>
        <w:pStyle w:val="madeunder"/>
        <w:spacing w:before="300" w:after="0"/>
      </w:pPr>
      <w:r>
        <w:t xml:space="preserve">made under the  </w:t>
      </w:r>
    </w:p>
    <w:p w14:paraId="76A35186" w14:textId="77777777" w:rsidR="00C17FAB" w:rsidRDefault="00D5027A" w:rsidP="00DA3B00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Public Place Names Act 1989</w:t>
      </w:r>
      <w:r w:rsidR="00C17FAB">
        <w:rPr>
          <w:rFonts w:cs="Arial"/>
          <w:sz w:val="20"/>
        </w:rPr>
        <w:t xml:space="preserve">, </w:t>
      </w:r>
      <w:r>
        <w:rPr>
          <w:rFonts w:cs="Arial"/>
          <w:sz w:val="20"/>
        </w:rPr>
        <w:t>s 3 (Minister to determine names</w:t>
      </w:r>
      <w:r w:rsidR="00C17FAB">
        <w:rPr>
          <w:rFonts w:cs="Arial"/>
          <w:sz w:val="20"/>
        </w:rPr>
        <w:t>)</w:t>
      </w:r>
    </w:p>
    <w:p w14:paraId="727B6807" w14:textId="77777777" w:rsidR="00C17FAB" w:rsidRDefault="00C17FAB">
      <w:pPr>
        <w:spacing w:before="360"/>
        <w:ind w:right="565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EXPLANATORY STATEMENT</w:t>
      </w:r>
    </w:p>
    <w:p w14:paraId="0352D98B" w14:textId="77777777" w:rsidR="00C17FAB" w:rsidRDefault="00C17FAB">
      <w:pPr>
        <w:pStyle w:val="N-line3"/>
        <w:pBdr>
          <w:bottom w:val="none" w:sz="0" w:space="0" w:color="auto"/>
        </w:pBdr>
      </w:pPr>
    </w:p>
    <w:p w14:paraId="1C706CDC" w14:textId="77777777" w:rsidR="00C17FAB" w:rsidRDefault="00C17FAB">
      <w:pPr>
        <w:pStyle w:val="N-line3"/>
        <w:pBdr>
          <w:top w:val="single" w:sz="12" w:space="1" w:color="auto"/>
          <w:bottom w:val="none" w:sz="0" w:space="0" w:color="auto"/>
        </w:pBdr>
      </w:pPr>
    </w:p>
    <w:p w14:paraId="30068A30" w14:textId="6D78A70C" w:rsidR="004910E7" w:rsidRPr="00F969AA" w:rsidRDefault="004910E7" w:rsidP="004910E7">
      <w:r w:rsidRPr="008E335B">
        <w:rPr>
          <w:rFonts w:cs="Times-Roman"/>
          <w:lang w:eastAsia="en-AU"/>
        </w:rPr>
        <w:t xml:space="preserve">This explanatory statement relates to the </w:t>
      </w:r>
      <w:r w:rsidRPr="00BB744F">
        <w:rPr>
          <w:i/>
        </w:rPr>
        <w:t>Public Place Names (</w:t>
      </w:r>
      <w:r w:rsidR="00E11CCE">
        <w:rPr>
          <w:i/>
        </w:rPr>
        <w:t>Whitlam</w:t>
      </w:r>
      <w:r w:rsidRPr="00BB744F">
        <w:rPr>
          <w:i/>
        </w:rPr>
        <w:t xml:space="preserve">) Determination </w:t>
      </w:r>
      <w:r>
        <w:rPr>
          <w:i/>
        </w:rPr>
        <w:t xml:space="preserve">2026 </w:t>
      </w:r>
      <w:r w:rsidRPr="008E335B">
        <w:rPr>
          <w:rFonts w:cs="Times-Roman"/>
          <w:lang w:eastAsia="en-AU"/>
        </w:rPr>
        <w:t xml:space="preserve">as made by the delegate of the Minister and presented to the </w:t>
      </w:r>
      <w:r>
        <w:rPr>
          <w:rFonts w:cs="Times-Roman"/>
          <w:lang w:eastAsia="en-AU"/>
        </w:rPr>
        <w:br w:type="textWrapping" w:clear="all"/>
      </w:r>
      <w:r w:rsidRPr="008E335B">
        <w:rPr>
          <w:rFonts w:cs="Times-Roman"/>
          <w:lang w:eastAsia="en-AU"/>
        </w:rPr>
        <w:t>ACT Legislative Assembly</w:t>
      </w:r>
      <w:r>
        <w:rPr>
          <w:rFonts w:cs="Times-Roman"/>
          <w:lang w:eastAsia="en-AU"/>
        </w:rPr>
        <w:t xml:space="preserve"> (the </w:t>
      </w:r>
      <w:r w:rsidRPr="006751D3">
        <w:rPr>
          <w:rFonts w:cs="Times-Roman"/>
          <w:b/>
          <w:bCs/>
          <w:i/>
          <w:iCs/>
          <w:lang w:eastAsia="en-AU"/>
        </w:rPr>
        <w:t>Assembly</w:t>
      </w:r>
      <w:r>
        <w:rPr>
          <w:rFonts w:cs="Times-Roman"/>
          <w:lang w:eastAsia="en-AU"/>
        </w:rPr>
        <w:t>)</w:t>
      </w:r>
      <w:r w:rsidRPr="008E335B">
        <w:rPr>
          <w:rFonts w:cs="Times-Roman"/>
          <w:lang w:eastAsia="en-AU"/>
        </w:rPr>
        <w:t>. It has been prepared in order to assist the reader of the disallowable instrument. It does not form part of the disallowable instrument and has not been endorsed by the Assembly.</w:t>
      </w:r>
    </w:p>
    <w:p w14:paraId="200CF2B7" w14:textId="77777777" w:rsidR="00D5027A" w:rsidRDefault="00D5027A" w:rsidP="00D5027A"/>
    <w:bookmarkEnd w:id="0"/>
    <w:p w14:paraId="6E100577" w14:textId="77777777" w:rsidR="007436DC" w:rsidRDefault="007436DC" w:rsidP="007436DC">
      <w:pPr>
        <w:rPr>
          <w:rFonts w:ascii="Arial" w:hAnsi="Arial" w:cs="Arial"/>
          <w:b/>
        </w:rPr>
      </w:pPr>
      <w:r w:rsidRPr="00BB744F">
        <w:rPr>
          <w:rFonts w:ascii="Arial" w:hAnsi="Arial" w:cs="Arial"/>
          <w:b/>
        </w:rPr>
        <w:t>Overview</w:t>
      </w:r>
    </w:p>
    <w:p w14:paraId="77AE9D83" w14:textId="77777777" w:rsidR="007436DC" w:rsidRDefault="007436DC" w:rsidP="007436DC">
      <w:pPr>
        <w:rPr>
          <w:rFonts w:ascii="Arial" w:hAnsi="Arial" w:cs="Arial"/>
          <w:b/>
        </w:rPr>
      </w:pPr>
    </w:p>
    <w:p w14:paraId="00DDB164" w14:textId="77777777" w:rsidR="007436DC" w:rsidRDefault="007436DC" w:rsidP="007436DC">
      <w:pPr>
        <w:rPr>
          <w:b/>
          <w:i/>
        </w:rPr>
      </w:pPr>
      <w:r w:rsidRPr="00BB744F">
        <w:rPr>
          <w:b/>
          <w:i/>
        </w:rPr>
        <w:t>Background</w:t>
      </w:r>
    </w:p>
    <w:p w14:paraId="687FF8A4" w14:textId="77777777" w:rsidR="004910E7" w:rsidRPr="00BB744F" w:rsidRDefault="004910E7" w:rsidP="007436DC">
      <w:pPr>
        <w:rPr>
          <w:b/>
          <w:i/>
        </w:rPr>
      </w:pPr>
    </w:p>
    <w:p w14:paraId="53EAF41C" w14:textId="77777777" w:rsidR="007436DC" w:rsidRPr="00052E11" w:rsidRDefault="007436DC" w:rsidP="007436DC">
      <w:r>
        <w:t xml:space="preserve">The </w:t>
      </w:r>
      <w:r w:rsidRPr="00C05D4B">
        <w:rPr>
          <w:i/>
        </w:rPr>
        <w:t>Public Place Names Act 1989</w:t>
      </w:r>
      <w:r>
        <w:t xml:space="preserve"> (the </w:t>
      </w:r>
      <w:r w:rsidRPr="006751D3">
        <w:rPr>
          <w:b/>
          <w:bCs/>
          <w:i/>
        </w:rPr>
        <w:t>Act</w:t>
      </w:r>
      <w:r w:rsidRPr="00BC616B">
        <w:t>)</w:t>
      </w:r>
      <w:r>
        <w:t xml:space="preserve"> sets out the process and criteria for the naming of divisions and public </w:t>
      </w:r>
      <w:r w:rsidRPr="00B86A16">
        <w:t>places</w:t>
      </w:r>
      <w:r>
        <w:t>. Section 2 of the Act defines a “public place” as including “an avenue, road, street, geographical feature or place that the public is entitled to use, and any unleased land”.</w:t>
      </w:r>
    </w:p>
    <w:p w14:paraId="77A3CB82" w14:textId="77777777" w:rsidR="007436DC" w:rsidRDefault="007436DC" w:rsidP="007436DC"/>
    <w:p w14:paraId="61C330C3" w14:textId="77777777" w:rsidR="007436DC" w:rsidRDefault="007436DC" w:rsidP="007436DC">
      <w:r>
        <w:t xml:space="preserve">Section </w:t>
      </w:r>
      <w:r w:rsidRPr="00B86A16">
        <w:t xml:space="preserve">3 </w:t>
      </w:r>
      <w:r>
        <w:t xml:space="preserve">of the Act gives </w:t>
      </w:r>
      <w:r w:rsidRPr="00B86A16">
        <w:t xml:space="preserve">the Minister </w:t>
      </w:r>
      <w:r>
        <w:t>the power to</w:t>
      </w:r>
      <w:r w:rsidRPr="00B86A16">
        <w:t xml:space="preserve"> determine the name of a division or public place. </w:t>
      </w:r>
      <w:r>
        <w:t>The determination of the Minister is a disallowable instrument and as such must be notified</w:t>
      </w:r>
      <w:r w:rsidRPr="00DF60B5">
        <w:t xml:space="preserve"> </w:t>
      </w:r>
      <w:r>
        <w:t>in the ACT Legislation Register.</w:t>
      </w:r>
    </w:p>
    <w:p w14:paraId="18329078" w14:textId="77777777" w:rsidR="007436DC" w:rsidRDefault="007436DC" w:rsidP="007436DC"/>
    <w:p w14:paraId="66DD0716" w14:textId="77777777" w:rsidR="007436DC" w:rsidRPr="00636EC4" w:rsidRDefault="007436DC" w:rsidP="007436DC">
      <w:pPr>
        <w:rPr>
          <w:sz w:val="20"/>
        </w:rPr>
      </w:pPr>
      <w:r>
        <w:t xml:space="preserve">The factors that the Minister must have regard to in determining a name are set out in sections 2, 3 and 4 of the Act. Section 3 (3) (a) of the Act requires the Minister to consider the </w:t>
      </w:r>
      <w:r>
        <w:rPr>
          <w:i/>
        </w:rPr>
        <w:t>Public Place Names (Naming of public p</w:t>
      </w:r>
      <w:r w:rsidRPr="00B32837">
        <w:rPr>
          <w:i/>
        </w:rPr>
        <w:t>laces) Guidelines 20</w:t>
      </w:r>
      <w:r>
        <w:rPr>
          <w:i/>
        </w:rPr>
        <w:t>21</w:t>
      </w:r>
      <w:r w:rsidRPr="00B32837">
        <w:t xml:space="preserve"> </w:t>
      </w:r>
      <w:r>
        <w:t xml:space="preserve">(the </w:t>
      </w:r>
      <w:r w:rsidRPr="006751D3">
        <w:rPr>
          <w:b/>
          <w:bCs/>
          <w:i/>
        </w:rPr>
        <w:t>guidelines</w:t>
      </w:r>
      <w:r>
        <w:t xml:space="preserve">) when naming a public place. The guidelines are made under section 4A of the Act and are </w:t>
      </w:r>
      <w:r w:rsidRPr="00B32837">
        <w:t xml:space="preserve">notified </w:t>
      </w:r>
      <w:r>
        <w:rPr>
          <w:rFonts w:cs="Arial"/>
          <w:bCs/>
          <w:szCs w:val="24"/>
        </w:rPr>
        <w:t xml:space="preserve">at </w:t>
      </w:r>
      <w:hyperlink r:id="rId8" w:history="1">
        <w:r w:rsidRPr="006F543C">
          <w:rPr>
            <w:rStyle w:val="Hyperlink"/>
            <w:rFonts w:cs="Arial"/>
            <w:szCs w:val="24"/>
          </w:rPr>
          <w:t>www.legislation.act.gov.au/ni/2021-72/</w:t>
        </w:r>
      </w:hyperlink>
      <w:r w:rsidRPr="00636EC4">
        <w:rPr>
          <w:rStyle w:val="Hyperlink"/>
          <w:rFonts w:cs="Arial"/>
          <w:color w:val="auto"/>
          <w:szCs w:val="24"/>
          <w:u w:val="none"/>
        </w:rPr>
        <w:t>.</w:t>
      </w:r>
    </w:p>
    <w:p w14:paraId="4865B95F" w14:textId="77777777" w:rsidR="007436DC" w:rsidRDefault="007436DC" w:rsidP="007436DC"/>
    <w:p w14:paraId="01855E50" w14:textId="77777777" w:rsidR="007436DC" w:rsidRDefault="007436DC" w:rsidP="007436DC">
      <w:pPr>
        <w:rPr>
          <w:b/>
          <w:i/>
        </w:rPr>
      </w:pPr>
      <w:r w:rsidRPr="00BB744F">
        <w:rPr>
          <w:b/>
          <w:i/>
        </w:rPr>
        <w:t>The Determination</w:t>
      </w:r>
    </w:p>
    <w:p w14:paraId="3BBC5C70" w14:textId="77777777" w:rsidR="004910E7" w:rsidRPr="00BB744F" w:rsidRDefault="004910E7" w:rsidP="007436DC">
      <w:pPr>
        <w:rPr>
          <w:b/>
          <w:i/>
        </w:rPr>
      </w:pPr>
    </w:p>
    <w:p w14:paraId="747FCCA5" w14:textId="72135819" w:rsidR="007436DC" w:rsidRDefault="007436DC" w:rsidP="007436DC">
      <w:r>
        <w:t xml:space="preserve">The </w:t>
      </w:r>
      <w:r w:rsidRPr="00BB744F">
        <w:rPr>
          <w:i/>
        </w:rPr>
        <w:t>Public Place Names (</w:t>
      </w:r>
      <w:r w:rsidR="00E11CCE">
        <w:rPr>
          <w:i/>
        </w:rPr>
        <w:t>Whitlam</w:t>
      </w:r>
      <w:r w:rsidRPr="00BB744F">
        <w:rPr>
          <w:i/>
        </w:rPr>
        <w:t xml:space="preserve">) Determination </w:t>
      </w:r>
      <w:r>
        <w:rPr>
          <w:i/>
        </w:rPr>
        <w:t>202</w:t>
      </w:r>
      <w:r w:rsidR="006E534C">
        <w:rPr>
          <w:i/>
        </w:rPr>
        <w:t>6</w:t>
      </w:r>
      <w:r>
        <w:rPr>
          <w:i/>
        </w:rPr>
        <w:t xml:space="preserve"> </w:t>
      </w:r>
      <w:r>
        <w:t xml:space="preserve">(the </w:t>
      </w:r>
      <w:r w:rsidRPr="0086694D">
        <w:rPr>
          <w:b/>
          <w:bCs/>
          <w:i/>
          <w:iCs/>
        </w:rPr>
        <w:t>determination</w:t>
      </w:r>
      <w:r>
        <w:t>) determines the names of</w:t>
      </w:r>
      <w:r w:rsidR="00E11CCE">
        <w:t xml:space="preserve"> 11 roads </w:t>
      </w:r>
      <w:r>
        <w:t>for the public places indicated in the diagram in the schedule to the determination.</w:t>
      </w:r>
    </w:p>
    <w:p w14:paraId="65DACEE0" w14:textId="77777777" w:rsidR="007436DC" w:rsidRDefault="007436DC" w:rsidP="007436DC"/>
    <w:p w14:paraId="2540798E" w14:textId="03A0FE87" w:rsidR="007436DC" w:rsidRDefault="007436DC" w:rsidP="007436DC">
      <w:r>
        <w:lastRenderedPageBreak/>
        <w:t xml:space="preserve">The names are consistent with the </w:t>
      </w:r>
      <w:r w:rsidRPr="00FC0568">
        <w:t xml:space="preserve">theme for </w:t>
      </w:r>
      <w:r w:rsidR="00E11CCE">
        <w:t>Whitlam w</w:t>
      </w:r>
      <w:r>
        <w:t>hich is ‘</w:t>
      </w:r>
      <w:r w:rsidR="00E11CCE">
        <w:t>Arts and Culture</w:t>
      </w:r>
      <w:r>
        <w:t xml:space="preserve">’. The purpose of this determination is to </w:t>
      </w:r>
      <w:r w:rsidR="00E11CCE" w:rsidRPr="00E11CCE">
        <w:t xml:space="preserve">commemorate </w:t>
      </w:r>
      <w:r w:rsidR="003A7421">
        <w:t>t</w:t>
      </w:r>
      <w:r w:rsidR="003A7421" w:rsidRPr="003A7421">
        <w:t xml:space="preserve">he names of ten people and one non-personal name that reflect </w:t>
      </w:r>
      <w:r w:rsidR="00CE766B">
        <w:t xml:space="preserve">important </w:t>
      </w:r>
      <w:r w:rsidR="003A7421" w:rsidRPr="003A7421">
        <w:t>contributions to Australia’s cultural life and the arts</w:t>
      </w:r>
      <w:r w:rsidR="00FD7A3D">
        <w:t>.</w:t>
      </w:r>
    </w:p>
    <w:p w14:paraId="1627F888" w14:textId="77777777" w:rsidR="007436DC" w:rsidRDefault="007436DC" w:rsidP="007436DC"/>
    <w:p w14:paraId="1DB0A1D2" w14:textId="37145BC7" w:rsidR="007436DC" w:rsidRPr="005C6CCD" w:rsidRDefault="007436DC" w:rsidP="007436DC">
      <w:pPr>
        <w:pStyle w:val="Default"/>
      </w:pPr>
      <w:r w:rsidRPr="006751D3">
        <w:t xml:space="preserve">This determination is consistent with </w:t>
      </w:r>
      <w:r w:rsidRPr="00393620">
        <w:t xml:space="preserve">section 4 (2) </w:t>
      </w:r>
      <w:r>
        <w:t>(</w:t>
      </w:r>
      <w:r w:rsidR="00FD7A3D">
        <w:t>b</w:t>
      </w:r>
      <w:r>
        <w:t>)</w:t>
      </w:r>
      <w:r w:rsidRPr="00393620">
        <w:t xml:space="preserve"> of the Act </w:t>
      </w:r>
      <w:r w:rsidRPr="006751D3">
        <w:t>and the requirement of the Minister (or delegate) to have regard</w:t>
      </w:r>
      <w:r>
        <w:t xml:space="preserve"> to </w:t>
      </w:r>
      <w:r w:rsidR="00E11CCE" w:rsidRPr="00E11CCE">
        <w:t xml:space="preserve">the names of persons who have made notable contributions to the existence of Australia as a nation. </w:t>
      </w:r>
      <w:r w:rsidRPr="006751D3">
        <w:t>This determination is also consistent with the guidelines.</w:t>
      </w:r>
    </w:p>
    <w:p w14:paraId="1C3CAA57" w14:textId="77777777" w:rsidR="007436DC" w:rsidRDefault="007436DC" w:rsidP="007436DC"/>
    <w:p w14:paraId="5E5F9628" w14:textId="6B27A513" w:rsidR="007436DC" w:rsidRPr="00D15725" w:rsidRDefault="007436DC" w:rsidP="007436DC">
      <w:r w:rsidRPr="00B32837">
        <w:rPr>
          <w:u w:val="single"/>
        </w:rPr>
        <w:t>Consultation</w:t>
      </w:r>
    </w:p>
    <w:p w14:paraId="785A4EC2" w14:textId="2E259008" w:rsidR="007436DC" w:rsidRPr="000B1EF4" w:rsidRDefault="007436DC" w:rsidP="007436DC">
      <w:r w:rsidRPr="00B32837">
        <w:t>If a public place is proposed to be named after a particular person</w:t>
      </w:r>
      <w:r w:rsidR="004910E7">
        <w:t>,</w:t>
      </w:r>
      <w:r w:rsidRPr="00B32837">
        <w:t xml:space="preserve"> reasonable steps</w:t>
      </w:r>
      <w:r>
        <w:t xml:space="preserve"> should be </w:t>
      </w:r>
      <w:r w:rsidRPr="00B32837">
        <w:t xml:space="preserve">taken to obtain prior permission from the person’s relatives, </w:t>
      </w:r>
      <w:r>
        <w:t>associates, an appropriate cultural group,</w:t>
      </w:r>
      <w:r w:rsidRPr="00B32837">
        <w:t xml:space="preserve"> or a relevant professional organisation</w:t>
      </w:r>
      <w:r>
        <w:t xml:space="preserve">, under </w:t>
      </w:r>
      <w:r w:rsidRPr="006751D3">
        <w:t>clause 8</w:t>
      </w:r>
      <w:r>
        <w:t xml:space="preserve"> of the guidelines. </w:t>
      </w:r>
      <w:r w:rsidRPr="00342F4E">
        <w:t>Consultation was undertaken in this instance in accordance with the guideline</w:t>
      </w:r>
      <w:r w:rsidRPr="000B1EF4">
        <w:t>s.</w:t>
      </w:r>
    </w:p>
    <w:p w14:paraId="14107279" w14:textId="3B8C6F93" w:rsidR="007436DC" w:rsidRPr="00342F4E" w:rsidRDefault="007436DC" w:rsidP="007436DC"/>
    <w:p w14:paraId="7B729D76" w14:textId="77777777" w:rsidR="007436DC" w:rsidRDefault="007436DC" w:rsidP="007436DC">
      <w:pPr>
        <w:rPr>
          <w:u w:val="single"/>
        </w:rPr>
      </w:pPr>
      <w:r>
        <w:rPr>
          <w:u w:val="single"/>
        </w:rPr>
        <w:t>Gender representation</w:t>
      </w:r>
    </w:p>
    <w:p w14:paraId="2D6686B5" w14:textId="780FDC26" w:rsidR="007436DC" w:rsidRDefault="007436DC" w:rsidP="007436DC">
      <w:pPr>
        <w:rPr>
          <w:iCs/>
          <w:color w:val="000000" w:themeColor="text1"/>
        </w:rPr>
      </w:pPr>
      <w:r w:rsidRPr="00267EC8">
        <w:t xml:space="preserve">Section 3 (2) (b) of the Act requires that the Minister (or delegate) consider whether the names of women are well-represented when making a determination about the naming of a public place. </w:t>
      </w:r>
      <w:r w:rsidR="00A335A1" w:rsidRPr="000021BD">
        <w:t>Since</w:t>
      </w:r>
      <w:r w:rsidR="000021BD" w:rsidRPr="000021BD">
        <w:t xml:space="preserve"> 2016</w:t>
      </w:r>
      <w:r w:rsidR="00A335A1" w:rsidRPr="000021BD">
        <w:t xml:space="preserve">, the names of </w:t>
      </w:r>
      <w:bookmarkStart w:id="1" w:name="_Hlk213762880"/>
      <w:r w:rsidR="000021BD" w:rsidRPr="000021BD">
        <w:t xml:space="preserve">212 </w:t>
      </w:r>
      <w:bookmarkEnd w:id="1"/>
      <w:r w:rsidR="00A335A1" w:rsidRPr="000021BD">
        <w:t xml:space="preserve">women and </w:t>
      </w:r>
      <w:r w:rsidR="000021BD" w:rsidRPr="000021BD">
        <w:t xml:space="preserve">222 </w:t>
      </w:r>
      <w:r w:rsidR="00A335A1" w:rsidRPr="000021BD">
        <w:t>men have been commemorated under the Act across the ACT. In the Division of</w:t>
      </w:r>
      <w:r w:rsidR="000021BD" w:rsidRPr="000021BD">
        <w:t xml:space="preserve"> Whitlam,</w:t>
      </w:r>
      <w:r w:rsidR="00A335A1" w:rsidRPr="000021BD">
        <w:t xml:space="preserve"> the names of </w:t>
      </w:r>
      <w:r w:rsidR="000021BD" w:rsidRPr="000021BD">
        <w:t>58</w:t>
      </w:r>
      <w:r w:rsidR="00A335A1" w:rsidRPr="000021BD">
        <w:t xml:space="preserve"> women and </w:t>
      </w:r>
      <w:r w:rsidR="000021BD" w:rsidRPr="000021BD">
        <w:t xml:space="preserve">38 </w:t>
      </w:r>
      <w:r w:rsidR="00A335A1" w:rsidRPr="000021BD">
        <w:t xml:space="preserve">men have been commemorated. </w:t>
      </w:r>
      <w:r w:rsidRPr="00FD7A3D">
        <w:rPr>
          <w:iCs/>
          <w:color w:val="000000" w:themeColor="text1"/>
        </w:rPr>
        <w:t>This instrument commemorates the names of</w:t>
      </w:r>
      <w:r w:rsidR="00FD7A3D">
        <w:rPr>
          <w:iCs/>
          <w:color w:val="000000" w:themeColor="text1"/>
        </w:rPr>
        <w:t xml:space="preserve"> six</w:t>
      </w:r>
      <w:r w:rsidRPr="00FD7A3D">
        <w:rPr>
          <w:iCs/>
          <w:color w:val="000000" w:themeColor="text1"/>
        </w:rPr>
        <w:t xml:space="preserve"> women and </w:t>
      </w:r>
      <w:r w:rsidR="00FD7A3D">
        <w:rPr>
          <w:iCs/>
          <w:color w:val="000000" w:themeColor="text1"/>
        </w:rPr>
        <w:t xml:space="preserve">four </w:t>
      </w:r>
      <w:r w:rsidRPr="00FD7A3D">
        <w:rPr>
          <w:iCs/>
          <w:color w:val="000000" w:themeColor="text1"/>
        </w:rPr>
        <w:t>men.</w:t>
      </w:r>
    </w:p>
    <w:p w14:paraId="654B7AE0" w14:textId="77777777" w:rsidR="007436DC" w:rsidRPr="0066502B" w:rsidRDefault="007436DC" w:rsidP="007436DC"/>
    <w:p w14:paraId="514A90D0" w14:textId="1EEB570B" w:rsidR="007436DC" w:rsidRPr="004910E7" w:rsidRDefault="007436DC" w:rsidP="007436DC">
      <w:pPr>
        <w:keepNext/>
        <w:rPr>
          <w:rFonts w:ascii="Arial" w:hAnsi="Arial" w:cs="Arial"/>
          <w:b/>
          <w:bCs/>
          <w:i/>
          <w:iCs/>
        </w:rPr>
      </w:pPr>
      <w:r w:rsidRPr="004910E7">
        <w:rPr>
          <w:rFonts w:ascii="Arial" w:hAnsi="Arial" w:cs="Arial"/>
          <w:b/>
          <w:bCs/>
        </w:rPr>
        <w:t>Regulatory Impact Statement</w:t>
      </w:r>
    </w:p>
    <w:p w14:paraId="3A6CB4ED" w14:textId="77777777" w:rsidR="004910E7" w:rsidRDefault="004910E7" w:rsidP="007436DC"/>
    <w:p w14:paraId="34A26B35" w14:textId="6AF4BC9E" w:rsidR="007436DC" w:rsidRDefault="007436DC" w:rsidP="007436DC">
      <w:r>
        <w:t xml:space="preserve">The </w:t>
      </w:r>
      <w:r w:rsidRPr="00070613">
        <w:rPr>
          <w:i/>
        </w:rPr>
        <w:t>Legislation Act 2001</w:t>
      </w:r>
      <w:r>
        <w:t xml:space="preserve"> (</w:t>
      </w:r>
      <w:r w:rsidRPr="006751D3">
        <w:rPr>
          <w:b/>
          <w:bCs/>
          <w:i/>
          <w:iCs/>
        </w:rPr>
        <w:t>Legislation Act</w:t>
      </w:r>
      <w:r>
        <w:t xml:space="preserve">) requires a </w:t>
      </w:r>
      <w:r w:rsidR="004910E7" w:rsidRPr="004910E7">
        <w:t xml:space="preserve">regulatory impact statement </w:t>
      </w:r>
      <w:r w:rsidR="004910E7">
        <w:t>(</w:t>
      </w:r>
      <w:r>
        <w:t>RIS</w:t>
      </w:r>
      <w:r w:rsidR="004910E7">
        <w:t>)</w:t>
      </w:r>
      <w:r>
        <w:t xml:space="preserve"> for regulations and disallowable instruments subject to specified exceptions. In this case, a RIS </w:t>
      </w:r>
      <w:r w:rsidRPr="008E335B">
        <w:t>is not required</w:t>
      </w:r>
      <w:r>
        <w:t xml:space="preserve"> because the determination does not impose any appreciable costs on the community or part of the community (section 34 (1) of the Legislation Act). Further, a RIS is not required because, while the determination of place names is culturally and socially significant, it </w:t>
      </w:r>
      <w:r w:rsidRPr="005A4979">
        <w:t>does not adversely affect rights or impose liabilities on a person</w:t>
      </w:r>
      <w:r>
        <w:t xml:space="preserve"> (section 36 (1) (b) of the Legislation Act)</w:t>
      </w:r>
      <w:r w:rsidRPr="005A4979">
        <w:t>.</w:t>
      </w:r>
    </w:p>
    <w:p w14:paraId="55F79C74" w14:textId="77777777" w:rsidR="007436DC" w:rsidRPr="0066502B" w:rsidRDefault="007436DC" w:rsidP="007436DC">
      <w:pPr>
        <w:rPr>
          <w:u w:val="single"/>
        </w:rPr>
      </w:pPr>
    </w:p>
    <w:p w14:paraId="173A03EE" w14:textId="77777777" w:rsidR="007436DC" w:rsidRPr="004910E7" w:rsidRDefault="007436DC" w:rsidP="007436DC">
      <w:pPr>
        <w:keepNext/>
        <w:rPr>
          <w:rFonts w:ascii="Arial" w:hAnsi="Arial" w:cs="Arial"/>
          <w:b/>
          <w:bCs/>
        </w:rPr>
      </w:pPr>
      <w:r w:rsidRPr="004910E7">
        <w:rPr>
          <w:rFonts w:ascii="Arial" w:hAnsi="Arial" w:cs="Arial"/>
          <w:b/>
          <w:bCs/>
        </w:rPr>
        <w:t>Human Rights</w:t>
      </w:r>
    </w:p>
    <w:p w14:paraId="72AF9E33" w14:textId="77777777" w:rsidR="004910E7" w:rsidRDefault="004910E7" w:rsidP="007436DC"/>
    <w:p w14:paraId="7A6D492A" w14:textId="50E296B3" w:rsidR="007436DC" w:rsidRPr="00D86C8F" w:rsidRDefault="007436DC" w:rsidP="007436DC">
      <w:r>
        <w:t xml:space="preserve">Section 12 of the </w:t>
      </w:r>
      <w:r w:rsidRPr="00311AF0">
        <w:rPr>
          <w:i/>
        </w:rPr>
        <w:t>Human Rights Act 2004</w:t>
      </w:r>
      <w:r>
        <w:t xml:space="preserve"> creates a right to privacy and reputation. </w:t>
      </w:r>
      <w:r w:rsidRPr="00D86C8F">
        <w:t>Conceivably,</w:t>
      </w:r>
      <w:r>
        <w:t xml:space="preserve"> the naming of a place has the potential to infringe the right to privacy and reputation of a person after whom a place is named. </w:t>
      </w:r>
      <w:r w:rsidRPr="00D86C8F">
        <w:t>In this case</w:t>
      </w:r>
      <w:r>
        <w:t xml:space="preserve"> the process through which places are named ensures that this right is not infringed and that only appropriate information is included in a determination. This process includes the consultation described above. </w:t>
      </w:r>
      <w:r w:rsidRPr="00D86C8F">
        <w:t xml:space="preserve">Additionally, in relation to places named after people, only the names of deceased persons are </w:t>
      </w:r>
      <w:r>
        <w:t>determined</w:t>
      </w:r>
      <w:r w:rsidRPr="00D86C8F">
        <w:t>.</w:t>
      </w:r>
    </w:p>
    <w:p w14:paraId="4D9CB722" w14:textId="77777777" w:rsidR="007436DC" w:rsidRPr="00F07B24" w:rsidRDefault="007436DC" w:rsidP="007436DC"/>
    <w:p w14:paraId="102A7C54" w14:textId="77777777" w:rsidR="007436DC" w:rsidRPr="004910E7" w:rsidRDefault="007436DC" w:rsidP="004910E7">
      <w:pPr>
        <w:keepNext/>
        <w:rPr>
          <w:rFonts w:ascii="Arial" w:hAnsi="Arial" w:cs="Arial"/>
          <w:b/>
          <w:bCs/>
        </w:rPr>
      </w:pPr>
      <w:r w:rsidRPr="004910E7">
        <w:rPr>
          <w:rFonts w:ascii="Arial" w:hAnsi="Arial" w:cs="Arial"/>
          <w:b/>
          <w:bCs/>
        </w:rPr>
        <w:t>Delegation</w:t>
      </w:r>
    </w:p>
    <w:p w14:paraId="4FA48980" w14:textId="77777777" w:rsidR="004910E7" w:rsidRDefault="004910E7" w:rsidP="007436DC"/>
    <w:p w14:paraId="49E00343" w14:textId="21D32470" w:rsidR="007436DC" w:rsidRPr="000B1EF4" w:rsidRDefault="007436DC" w:rsidP="007436DC">
      <w:r>
        <w:t>This determination is made by a delegate of the</w:t>
      </w:r>
      <w:r w:rsidRPr="00B86A16">
        <w:t xml:space="preserve"> Minister</w:t>
      </w:r>
      <w:r>
        <w:t>. The Minister</w:t>
      </w:r>
      <w:r w:rsidRPr="00B86A16">
        <w:t xml:space="preserve"> has delegated the power under </w:t>
      </w:r>
      <w:r>
        <w:t xml:space="preserve">section 3 of </w:t>
      </w:r>
      <w:r w:rsidRPr="00B86A16">
        <w:t>the</w:t>
      </w:r>
      <w:r>
        <w:t xml:space="preserve"> </w:t>
      </w:r>
      <w:r w:rsidRPr="00FC0568">
        <w:t>Act</w:t>
      </w:r>
      <w:r>
        <w:rPr>
          <w:i/>
        </w:rPr>
        <w:t xml:space="preserve"> </w:t>
      </w:r>
      <w:r w:rsidRPr="00B86A16">
        <w:t xml:space="preserve">to name a division or public place to </w:t>
      </w:r>
      <w:r>
        <w:t>the people</w:t>
      </w:r>
      <w:r w:rsidRPr="00F969AA">
        <w:t xml:space="preserve"> occupying the positions of Director-General and Deputy Director-General of t</w:t>
      </w:r>
      <w:r w:rsidRPr="00B86A16">
        <w:t xml:space="preserve">he </w:t>
      </w:r>
      <w:r w:rsidR="00A335A1" w:rsidRPr="006E534C">
        <w:t xml:space="preserve">City </w:t>
      </w:r>
      <w:r w:rsidR="00A335A1" w:rsidRPr="006E534C">
        <w:lastRenderedPageBreak/>
        <w:t xml:space="preserve">and </w:t>
      </w:r>
      <w:r w:rsidRPr="006E534C">
        <w:t>Environment</w:t>
      </w:r>
      <w:r w:rsidR="00A335A1" w:rsidRPr="006E534C">
        <w:t xml:space="preserve"> </w:t>
      </w:r>
      <w:r w:rsidRPr="006E534C">
        <w:t>Directorate</w:t>
      </w:r>
      <w:r>
        <w:t xml:space="preserve"> </w:t>
      </w:r>
      <w:r w:rsidR="004910E7">
        <w:t>(</w:t>
      </w:r>
      <w:r>
        <w:t xml:space="preserve">refer to the </w:t>
      </w:r>
      <w:r w:rsidRPr="00C233D3">
        <w:rPr>
          <w:i/>
        </w:rPr>
        <w:t>Legislation (</w:t>
      </w:r>
      <w:r w:rsidR="00A335A1">
        <w:rPr>
          <w:i/>
        </w:rPr>
        <w:t xml:space="preserve">City and </w:t>
      </w:r>
      <w:r w:rsidRPr="00C233D3">
        <w:rPr>
          <w:i/>
        </w:rPr>
        <w:t>Environment</w:t>
      </w:r>
      <w:r w:rsidR="00A335A1">
        <w:rPr>
          <w:i/>
        </w:rPr>
        <w:t xml:space="preserve"> </w:t>
      </w:r>
      <w:r w:rsidRPr="00C233D3">
        <w:rPr>
          <w:i/>
        </w:rPr>
        <w:t>Directorate) Delegation 20</w:t>
      </w:r>
      <w:r>
        <w:rPr>
          <w:i/>
        </w:rPr>
        <w:t>2</w:t>
      </w:r>
      <w:r w:rsidR="00A335A1">
        <w:rPr>
          <w:i/>
        </w:rPr>
        <w:t>5</w:t>
      </w:r>
      <w:r w:rsidRPr="00C233D3">
        <w:t>, NI20</w:t>
      </w:r>
      <w:r>
        <w:t>2</w:t>
      </w:r>
      <w:r w:rsidR="00A335A1">
        <w:t>5</w:t>
      </w:r>
      <w:r>
        <w:t>-</w:t>
      </w:r>
      <w:r w:rsidR="00A335A1">
        <w:t>552</w:t>
      </w:r>
      <w:r w:rsidR="004910E7">
        <w:t>)</w:t>
      </w:r>
      <w:r w:rsidRPr="00B86A16">
        <w:t>.</w:t>
      </w:r>
    </w:p>
    <w:sectPr w:rsidR="007436DC" w:rsidRPr="000B1EF4" w:rsidSect="00F721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75F6C" w14:textId="77777777" w:rsidR="00EF31DE" w:rsidRDefault="00EF31DE" w:rsidP="00C17FAB">
      <w:r>
        <w:separator/>
      </w:r>
    </w:p>
  </w:endnote>
  <w:endnote w:type="continuationSeparator" w:id="0">
    <w:p w14:paraId="6C9300F0" w14:textId="77777777" w:rsidR="00EF31DE" w:rsidRDefault="00EF31DE" w:rsidP="00C1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53FC9" w14:textId="77777777" w:rsidR="00B31356" w:rsidRDefault="00B313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18B0" w14:textId="3C8794E4" w:rsidR="00B31356" w:rsidRPr="0031254D" w:rsidRDefault="0031254D" w:rsidP="0031254D">
    <w:pPr>
      <w:pStyle w:val="Footer"/>
      <w:jc w:val="center"/>
      <w:rPr>
        <w:rFonts w:cs="Arial"/>
        <w:sz w:val="14"/>
      </w:rPr>
    </w:pPr>
    <w:r w:rsidRPr="0031254D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66DA0" w14:textId="77777777" w:rsidR="00B31356" w:rsidRDefault="00B31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0901F" w14:textId="77777777" w:rsidR="00EF31DE" w:rsidRDefault="00EF31DE" w:rsidP="00C17FAB">
      <w:r>
        <w:separator/>
      </w:r>
    </w:p>
  </w:footnote>
  <w:footnote w:type="continuationSeparator" w:id="0">
    <w:p w14:paraId="7BE3264A" w14:textId="77777777" w:rsidR="00EF31DE" w:rsidRDefault="00EF31DE" w:rsidP="00C17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AAB8" w14:textId="77777777" w:rsidR="00B31356" w:rsidRDefault="00B313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FA84E" w14:textId="77777777" w:rsidR="00B31356" w:rsidRDefault="00B313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B18A" w14:textId="77777777" w:rsidR="00B31356" w:rsidRDefault="00B313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A89259E"/>
    <w:multiLevelType w:val="multilevel"/>
    <w:tmpl w:val="A59A8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3506153">
    <w:abstractNumId w:val="2"/>
  </w:num>
  <w:num w:numId="2" w16cid:durableId="1264680710">
    <w:abstractNumId w:val="0"/>
  </w:num>
  <w:num w:numId="3" w16cid:durableId="1985044582">
    <w:abstractNumId w:val="3"/>
  </w:num>
  <w:num w:numId="4" w16cid:durableId="737437023">
    <w:abstractNumId w:val="6"/>
  </w:num>
  <w:num w:numId="5" w16cid:durableId="265038775">
    <w:abstractNumId w:val="7"/>
  </w:num>
  <w:num w:numId="6" w16cid:durableId="1476532535">
    <w:abstractNumId w:val="1"/>
  </w:num>
  <w:num w:numId="7" w16cid:durableId="996416526">
    <w:abstractNumId w:val="4"/>
  </w:num>
  <w:num w:numId="8" w16cid:durableId="1534348782">
    <w:abstractNumId w:val="5"/>
  </w:num>
  <w:num w:numId="9" w16cid:durableId="3176100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60"/>
    <w:rsid w:val="000021BD"/>
    <w:rsid w:val="00052E11"/>
    <w:rsid w:val="000531BA"/>
    <w:rsid w:val="00062001"/>
    <w:rsid w:val="00067384"/>
    <w:rsid w:val="00070613"/>
    <w:rsid w:val="00077685"/>
    <w:rsid w:val="00082DFD"/>
    <w:rsid w:val="000B1EF4"/>
    <w:rsid w:val="000F0E1E"/>
    <w:rsid w:val="00143042"/>
    <w:rsid w:val="001602BD"/>
    <w:rsid w:val="00170FCE"/>
    <w:rsid w:val="00177B91"/>
    <w:rsid w:val="001B7F63"/>
    <w:rsid w:val="001D4CA4"/>
    <w:rsid w:val="001F1B3C"/>
    <w:rsid w:val="00222B1F"/>
    <w:rsid w:val="00241E75"/>
    <w:rsid w:val="00254CA7"/>
    <w:rsid w:val="00256A3F"/>
    <w:rsid w:val="0026084F"/>
    <w:rsid w:val="0028556B"/>
    <w:rsid w:val="00291E2D"/>
    <w:rsid w:val="002B77E6"/>
    <w:rsid w:val="002C054F"/>
    <w:rsid w:val="002D7C60"/>
    <w:rsid w:val="002E44C7"/>
    <w:rsid w:val="00311AF0"/>
    <w:rsid w:val="0031254D"/>
    <w:rsid w:val="00313F25"/>
    <w:rsid w:val="0033350C"/>
    <w:rsid w:val="00354741"/>
    <w:rsid w:val="00363635"/>
    <w:rsid w:val="00364934"/>
    <w:rsid w:val="00364EA3"/>
    <w:rsid w:val="00380175"/>
    <w:rsid w:val="003A7421"/>
    <w:rsid w:val="003F31A1"/>
    <w:rsid w:val="00412D82"/>
    <w:rsid w:val="004216E5"/>
    <w:rsid w:val="00430BC4"/>
    <w:rsid w:val="00471512"/>
    <w:rsid w:val="004910E7"/>
    <w:rsid w:val="004B5984"/>
    <w:rsid w:val="004C47D5"/>
    <w:rsid w:val="004C7B02"/>
    <w:rsid w:val="004D45C6"/>
    <w:rsid w:val="00500AB6"/>
    <w:rsid w:val="00503F3C"/>
    <w:rsid w:val="00515C02"/>
    <w:rsid w:val="005411DB"/>
    <w:rsid w:val="005501B0"/>
    <w:rsid w:val="00562673"/>
    <w:rsid w:val="00563AC9"/>
    <w:rsid w:val="0057431A"/>
    <w:rsid w:val="005D1479"/>
    <w:rsid w:val="005E4258"/>
    <w:rsid w:val="005F0B6B"/>
    <w:rsid w:val="005F2247"/>
    <w:rsid w:val="005F74DF"/>
    <w:rsid w:val="00602866"/>
    <w:rsid w:val="006059CA"/>
    <w:rsid w:val="00612B3E"/>
    <w:rsid w:val="006149F3"/>
    <w:rsid w:val="00620B4B"/>
    <w:rsid w:val="0063579E"/>
    <w:rsid w:val="00637464"/>
    <w:rsid w:val="006415CE"/>
    <w:rsid w:val="00644031"/>
    <w:rsid w:val="006473AF"/>
    <w:rsid w:val="00650D19"/>
    <w:rsid w:val="00664DB8"/>
    <w:rsid w:val="00664FB5"/>
    <w:rsid w:val="0069613B"/>
    <w:rsid w:val="006A0758"/>
    <w:rsid w:val="006B5E26"/>
    <w:rsid w:val="006B6949"/>
    <w:rsid w:val="006E534C"/>
    <w:rsid w:val="006E6989"/>
    <w:rsid w:val="006F25EE"/>
    <w:rsid w:val="00713E4A"/>
    <w:rsid w:val="00715B9A"/>
    <w:rsid w:val="00725340"/>
    <w:rsid w:val="007346AC"/>
    <w:rsid w:val="00735204"/>
    <w:rsid w:val="007436DC"/>
    <w:rsid w:val="0074623E"/>
    <w:rsid w:val="00761AF9"/>
    <w:rsid w:val="00762EC8"/>
    <w:rsid w:val="0076712B"/>
    <w:rsid w:val="007711DB"/>
    <w:rsid w:val="00774C20"/>
    <w:rsid w:val="00776BA7"/>
    <w:rsid w:val="007805A5"/>
    <w:rsid w:val="00787F14"/>
    <w:rsid w:val="00793C58"/>
    <w:rsid w:val="007979D3"/>
    <w:rsid w:val="007A1613"/>
    <w:rsid w:val="007D7AB1"/>
    <w:rsid w:val="007F60C6"/>
    <w:rsid w:val="00814559"/>
    <w:rsid w:val="008227D2"/>
    <w:rsid w:val="00835042"/>
    <w:rsid w:val="00845FDB"/>
    <w:rsid w:val="00876C92"/>
    <w:rsid w:val="0088618D"/>
    <w:rsid w:val="00891926"/>
    <w:rsid w:val="008B66BC"/>
    <w:rsid w:val="008C523C"/>
    <w:rsid w:val="008E335B"/>
    <w:rsid w:val="0095466A"/>
    <w:rsid w:val="00960893"/>
    <w:rsid w:val="00975BBF"/>
    <w:rsid w:val="0098742E"/>
    <w:rsid w:val="009B1BB3"/>
    <w:rsid w:val="009E302A"/>
    <w:rsid w:val="00A14446"/>
    <w:rsid w:val="00A27AA7"/>
    <w:rsid w:val="00A335A1"/>
    <w:rsid w:val="00A33C6F"/>
    <w:rsid w:val="00A72661"/>
    <w:rsid w:val="00A749F0"/>
    <w:rsid w:val="00A81FB9"/>
    <w:rsid w:val="00A9090C"/>
    <w:rsid w:val="00A92329"/>
    <w:rsid w:val="00AD4391"/>
    <w:rsid w:val="00AD7166"/>
    <w:rsid w:val="00B00A0D"/>
    <w:rsid w:val="00B01433"/>
    <w:rsid w:val="00B31356"/>
    <w:rsid w:val="00B32837"/>
    <w:rsid w:val="00B56092"/>
    <w:rsid w:val="00B65A5A"/>
    <w:rsid w:val="00B666FE"/>
    <w:rsid w:val="00B67744"/>
    <w:rsid w:val="00B67F53"/>
    <w:rsid w:val="00B83C2F"/>
    <w:rsid w:val="00B907FE"/>
    <w:rsid w:val="00BA5975"/>
    <w:rsid w:val="00BB744F"/>
    <w:rsid w:val="00BD0B1C"/>
    <w:rsid w:val="00BF0BE1"/>
    <w:rsid w:val="00C00700"/>
    <w:rsid w:val="00C17FAB"/>
    <w:rsid w:val="00C233D3"/>
    <w:rsid w:val="00C24469"/>
    <w:rsid w:val="00C27619"/>
    <w:rsid w:val="00C539AC"/>
    <w:rsid w:val="00C6303E"/>
    <w:rsid w:val="00C74081"/>
    <w:rsid w:val="00C82F99"/>
    <w:rsid w:val="00CC56FA"/>
    <w:rsid w:val="00CC7D1B"/>
    <w:rsid w:val="00CD0E22"/>
    <w:rsid w:val="00CE261C"/>
    <w:rsid w:val="00CE599C"/>
    <w:rsid w:val="00CE766B"/>
    <w:rsid w:val="00D0094D"/>
    <w:rsid w:val="00D10A4C"/>
    <w:rsid w:val="00D17FC9"/>
    <w:rsid w:val="00D41A89"/>
    <w:rsid w:val="00D5027A"/>
    <w:rsid w:val="00D52A5D"/>
    <w:rsid w:val="00D5735B"/>
    <w:rsid w:val="00D61AAF"/>
    <w:rsid w:val="00D82060"/>
    <w:rsid w:val="00D86C8F"/>
    <w:rsid w:val="00DA3B00"/>
    <w:rsid w:val="00DB5F86"/>
    <w:rsid w:val="00DD37D7"/>
    <w:rsid w:val="00DE2CDE"/>
    <w:rsid w:val="00DF60B5"/>
    <w:rsid w:val="00DF6BA7"/>
    <w:rsid w:val="00E11CCE"/>
    <w:rsid w:val="00E171C6"/>
    <w:rsid w:val="00E919C0"/>
    <w:rsid w:val="00E9262C"/>
    <w:rsid w:val="00EA4A93"/>
    <w:rsid w:val="00EC3D6E"/>
    <w:rsid w:val="00ED247C"/>
    <w:rsid w:val="00ED34FF"/>
    <w:rsid w:val="00ED7CCA"/>
    <w:rsid w:val="00EE5A16"/>
    <w:rsid w:val="00EF2222"/>
    <w:rsid w:val="00EF31DE"/>
    <w:rsid w:val="00F07B24"/>
    <w:rsid w:val="00F458B8"/>
    <w:rsid w:val="00F721AA"/>
    <w:rsid w:val="00F76DC2"/>
    <w:rsid w:val="00F852D0"/>
    <w:rsid w:val="00F87706"/>
    <w:rsid w:val="00FB24EB"/>
    <w:rsid w:val="00FC0568"/>
    <w:rsid w:val="00FD75CE"/>
    <w:rsid w:val="00FD7A3D"/>
    <w:rsid w:val="00FE2839"/>
    <w:rsid w:val="00FF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73CD7"/>
  <w15:docId w15:val="{378673CA-5987-4B25-A8FD-8D9CAEE7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A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7346AC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7346AC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7346AC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7346AC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346AC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link w:val="FooterChar"/>
    <w:uiPriority w:val="99"/>
    <w:rsid w:val="007346AC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7346AC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7346AC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7346AC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7346AC"/>
    <w:pPr>
      <w:spacing w:before="180" w:after="60"/>
      <w:jc w:val="both"/>
    </w:pPr>
  </w:style>
  <w:style w:type="paragraph" w:customStyle="1" w:styleId="CoverActName">
    <w:name w:val="CoverActNam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7346AC"/>
    <w:pPr>
      <w:tabs>
        <w:tab w:val="left" w:pos="2880"/>
      </w:tabs>
    </w:pPr>
  </w:style>
  <w:style w:type="paragraph" w:customStyle="1" w:styleId="Apara">
    <w:name w:val="A para"/>
    <w:basedOn w:val="Normal"/>
    <w:rsid w:val="007346AC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7346AC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7346AC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7346AC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7346AC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7346AC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7346AC"/>
  </w:style>
  <w:style w:type="paragraph" w:customStyle="1" w:styleId="CoverInForce">
    <w:name w:val="CoverInForce"/>
    <w:basedOn w:val="Normal"/>
    <w:rsid w:val="007346AC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7346AC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7346AC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7346AC"/>
  </w:style>
  <w:style w:type="paragraph" w:customStyle="1" w:styleId="Aparabullet">
    <w:name w:val="A para bullet"/>
    <w:basedOn w:val="Normal"/>
    <w:rsid w:val="007346AC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7346AC"/>
  </w:style>
  <w:style w:type="paragraph" w:styleId="TOC2">
    <w:name w:val="toc 2"/>
    <w:basedOn w:val="Normal"/>
    <w:next w:val="Normal"/>
    <w:autoRedefine/>
    <w:semiHidden/>
    <w:rsid w:val="007346AC"/>
    <w:pPr>
      <w:ind w:left="240"/>
    </w:pPr>
  </w:style>
  <w:style w:type="paragraph" w:styleId="TOC3">
    <w:name w:val="toc 3"/>
    <w:basedOn w:val="Normal"/>
    <w:next w:val="Normal"/>
    <w:autoRedefine/>
    <w:semiHidden/>
    <w:rsid w:val="007346AC"/>
    <w:pPr>
      <w:ind w:left="480"/>
    </w:pPr>
  </w:style>
  <w:style w:type="paragraph" w:styleId="TOC4">
    <w:name w:val="toc 4"/>
    <w:basedOn w:val="Normal"/>
    <w:next w:val="Normal"/>
    <w:autoRedefine/>
    <w:semiHidden/>
    <w:rsid w:val="007346AC"/>
    <w:pPr>
      <w:ind w:left="720"/>
    </w:pPr>
  </w:style>
  <w:style w:type="paragraph" w:styleId="TOC5">
    <w:name w:val="toc 5"/>
    <w:basedOn w:val="Normal"/>
    <w:next w:val="Normal"/>
    <w:autoRedefine/>
    <w:semiHidden/>
    <w:rsid w:val="007346AC"/>
    <w:pPr>
      <w:ind w:left="960"/>
    </w:pPr>
  </w:style>
  <w:style w:type="paragraph" w:styleId="TOC6">
    <w:name w:val="toc 6"/>
    <w:basedOn w:val="Normal"/>
    <w:next w:val="Normal"/>
    <w:autoRedefine/>
    <w:semiHidden/>
    <w:rsid w:val="007346AC"/>
    <w:pPr>
      <w:ind w:left="1200"/>
    </w:pPr>
  </w:style>
  <w:style w:type="paragraph" w:styleId="TOC7">
    <w:name w:val="toc 7"/>
    <w:basedOn w:val="Normal"/>
    <w:next w:val="Normal"/>
    <w:autoRedefine/>
    <w:semiHidden/>
    <w:rsid w:val="007346AC"/>
    <w:pPr>
      <w:ind w:left="1440"/>
    </w:pPr>
  </w:style>
  <w:style w:type="paragraph" w:styleId="TOC8">
    <w:name w:val="toc 8"/>
    <w:basedOn w:val="Normal"/>
    <w:next w:val="Normal"/>
    <w:autoRedefine/>
    <w:semiHidden/>
    <w:rsid w:val="007346AC"/>
    <w:pPr>
      <w:ind w:left="1680"/>
    </w:pPr>
  </w:style>
  <w:style w:type="paragraph" w:styleId="TOC9">
    <w:name w:val="toc 9"/>
    <w:basedOn w:val="Normal"/>
    <w:next w:val="Normal"/>
    <w:autoRedefine/>
    <w:semiHidden/>
    <w:rsid w:val="007346AC"/>
    <w:pPr>
      <w:ind w:left="1920"/>
    </w:pPr>
  </w:style>
  <w:style w:type="character" w:styleId="Hyperlink">
    <w:name w:val="Hyperlink"/>
    <w:basedOn w:val="DefaultParagraphFont"/>
    <w:semiHidden/>
    <w:rsid w:val="007346AC"/>
    <w:rPr>
      <w:color w:val="0000FF"/>
      <w:u w:val="single"/>
    </w:rPr>
  </w:style>
  <w:style w:type="paragraph" w:styleId="BodyTextIndent">
    <w:name w:val="Body Text Indent"/>
    <w:basedOn w:val="Normal"/>
    <w:semiHidden/>
    <w:rsid w:val="007346AC"/>
    <w:pPr>
      <w:spacing w:before="120" w:after="60"/>
      <w:ind w:left="709"/>
    </w:pPr>
  </w:style>
  <w:style w:type="paragraph" w:customStyle="1" w:styleId="Minister">
    <w:name w:val="Minister"/>
    <w:basedOn w:val="Normal"/>
    <w:rsid w:val="007346AC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7346AC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7346AC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7346AC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7346AC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7346AC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7346AC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7346AC"/>
  </w:style>
  <w:style w:type="paragraph" w:styleId="BalloonText">
    <w:name w:val="Balloon Text"/>
    <w:basedOn w:val="Normal"/>
    <w:link w:val="BalloonTextChar"/>
    <w:uiPriority w:val="99"/>
    <w:semiHidden/>
    <w:unhideWhenUsed/>
    <w:rsid w:val="00D82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060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31356"/>
    <w:rPr>
      <w:rFonts w:ascii="Arial" w:hAnsi="Arial"/>
      <w:sz w:val="18"/>
      <w:lang w:eastAsia="en-US"/>
    </w:rPr>
  </w:style>
  <w:style w:type="paragraph" w:customStyle="1" w:styleId="Default">
    <w:name w:val="Default"/>
    <w:rsid w:val="007436D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30BC4"/>
    <w:rPr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33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3C6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3C6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3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3C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2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lation.act.gov.au/ni/2021-72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A67499264</value>
    </field>
    <field name="Objective-Title">
      <value order="0">20261006 - Public Place Names (Whitlam) Explanatory Statement 2026</value>
    </field>
    <field name="Objective-Description">
      <value order="0"/>
    </field>
    <field name="Objective-CreationStamp">
      <value order="0">2026-09-03T02:33:53Z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2026-10-28T05:17:41Z</value>
    </field>
    <field name="Objective-Owner">
      <value order="0">Genevieve Palm</value>
    </field>
    <field name="Objective-Path">
      <value order="0">Whole of ACT Government:TCCS STRUCTURE - Content Restriction Hierarchy:01. Assembly, Cabinet, Ministerial:03. Ministerials:02. Active:DG Brief:CED - DG2026/03111 - ACT Place Names - Public Place Names (Whitlam) Determination 2026 - DG Brief</value>
    </field>
    <field name="Objective-Parent">
      <value order="0">CED - DG2026/03111 - ACT Place Names - Public Place Names (Whitlam) Determination 2026 - DG Brief</value>
    </field>
    <field name="Objective-State">
      <value order="0">Being Edited</value>
    </field>
    <field name="Objective-VersionId">
      <value order="0">vA85987554</value>
    </field>
    <field name="Objective-Version">
      <value order="0">10.2</value>
    </field>
    <field name="Objective-VersionNumber">
      <value order="0">12</value>
    </field>
    <field name="Objective-VersionComment">
      <value order="0"/>
    </field>
    <field name="Objective-FileNumber">
      <value order="0">qA772141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CED - City and Environment Directorate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753</Words>
  <Characters>3943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creator>Anna Anderberg-Hewitt</dc:creator>
  <cp:lastModifiedBy>PCODCS</cp:lastModifiedBy>
  <cp:revision>4</cp:revision>
  <cp:lastPrinted>2016-02-14T22:32:00Z</cp:lastPrinted>
  <dcterms:created xsi:type="dcterms:W3CDTF">2026-10-28T05:20:00Z</dcterms:created>
  <dcterms:modified xsi:type="dcterms:W3CDTF">2026-10-28T05:20:00Z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EPD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2024-05-15T10:06:14Z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0f2d2251-2cfc-4d4e-87ca-ad4956ab1f6a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A67499264</vt:lpwstr>
  </property>
  <property fmtid="{D5CDD505-2E9C-101B-9397-08002B2CF9AE}" pid="24" name="Objective-Title">
    <vt:lpwstr>20261006 - Public Place Names (Whitlam) Explanatory Statement 2026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2026-09-03T01:33:53Z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false</vt:bool>
  </property>
  <property fmtid="{D5CDD505-2E9C-101B-9397-08002B2CF9AE}" pid="29" name="Objective-DatePublished">
    <vt:lpwstr/>
  </property>
  <property fmtid="{D5CDD505-2E9C-101B-9397-08002B2CF9AE}" pid="30" name="Objective-ModificationStamp">
    <vt:filetime>2026-10-28T05:17:41Z</vt:filetime>
  </property>
  <property fmtid="{D5CDD505-2E9C-101B-9397-08002B2CF9AE}" pid="31" name="Objective-Owner">
    <vt:lpwstr>Genevieve Palm</vt:lpwstr>
  </property>
  <property fmtid="{D5CDD505-2E9C-101B-9397-08002B2CF9AE}" pid="32" name="Objective-Path">
    <vt:lpwstr>Whole of ACT Government:TCCS STRUCTURE - Content Restriction Hierarchy:01. Assembly, Cabinet, Ministerial:03. Ministerials:02. Active:DG Brief:CED - DG2026/03111 - ACT Place Names - Public Place Names (Whitlam) Determination 2026 - DG Brief:</vt:lpwstr>
  </property>
  <property fmtid="{D5CDD505-2E9C-101B-9397-08002B2CF9AE}" pid="33" name="Objective-Parent">
    <vt:lpwstr>CED - DG2026/03111 - ACT Place Names - Public Place Names (Whitlam) Determination 2026 - DG Brief</vt:lpwstr>
  </property>
  <property fmtid="{D5CDD505-2E9C-101B-9397-08002B2CF9AE}" pid="34" name="Objective-State">
    <vt:lpwstr>Being Edited</vt:lpwstr>
  </property>
  <property fmtid="{D5CDD505-2E9C-101B-9397-08002B2CF9AE}" pid="35" name="Objective-VersionId">
    <vt:lpwstr>vA85987554</vt:lpwstr>
  </property>
  <property fmtid="{D5CDD505-2E9C-101B-9397-08002B2CF9AE}" pid="36" name="Objective-Version">
    <vt:lpwstr>10.2</vt:lpwstr>
  </property>
  <property fmtid="{D5CDD505-2E9C-101B-9397-08002B2CF9AE}" pid="37" name="Objective-VersionNumber">
    <vt:r8>12</vt:r8>
  </property>
  <property fmtid="{D5CDD505-2E9C-101B-9397-08002B2CF9AE}" pid="38" name="Objective-VersionComment">
    <vt:lpwstr/>
  </property>
  <property fmtid="{D5CDD505-2E9C-101B-9397-08002B2CF9AE}" pid="39" name="Objective-FileNumber">
    <vt:lpwstr>qA772141</vt:lpwstr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CED - City and Environment Directorate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