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F2C" w:rsidRDefault="00BB0F2C">
      <w:pPr>
        <w:pStyle w:val="Header"/>
        <w:tabs>
          <w:tab w:val="left" w:pos="720"/>
        </w:tabs>
        <w:spacing w:before="120"/>
        <w:rPr>
          <w:rFonts w:cs="Arial"/>
          <w:lang w:val="en-AU"/>
        </w:rPr>
      </w:pPr>
      <w:bookmarkStart w:id="0" w:name="_GoBack"/>
      <w:bookmarkEnd w:id="0"/>
      <w:smartTag w:uri="urn:schemas-microsoft-com:office:smarttags" w:element="place">
        <w:smartTag w:uri="urn:schemas-microsoft-com:office:smarttags" w:element="State">
          <w:r>
            <w:rPr>
              <w:rFonts w:cs="Arial"/>
              <w:lang w:val="en-AU"/>
            </w:rPr>
            <w:t>Australian Capital Territory</w:t>
          </w:r>
        </w:smartTag>
      </w:smartTag>
    </w:p>
    <w:p w:rsidR="00BB0F2C" w:rsidRDefault="00BB0F2C">
      <w:pPr>
        <w:pStyle w:val="Billname"/>
        <w:spacing w:before="700"/>
      </w:pPr>
      <w:r>
        <w:t>Planning and Development (Technical Amendment—Single Dwelling Housing Development Code) Plan Variation 2009 (No 1)</w:t>
      </w:r>
    </w:p>
    <w:p w:rsidR="00BB0F2C" w:rsidRDefault="00BB0F2C">
      <w:pPr>
        <w:spacing w:before="240" w:after="60"/>
        <w:rPr>
          <w:b/>
        </w:rPr>
      </w:pPr>
      <w:r>
        <w:rPr>
          <w:b/>
        </w:rPr>
        <w:t>Notifiable instrument NI2009- 488</w:t>
      </w:r>
    </w:p>
    <w:p w:rsidR="00BB0F2C" w:rsidRDefault="00BB0F2C">
      <w:pPr>
        <w:spacing w:before="240" w:after="60"/>
        <w:rPr>
          <w:b/>
        </w:rPr>
      </w:pPr>
      <w:r>
        <w:rPr>
          <w:b/>
        </w:rPr>
        <w:t xml:space="preserve">Technical Amendment Number </w:t>
      </w:r>
      <w:r>
        <w:rPr>
          <w:b/>
          <w:bCs/>
        </w:rPr>
        <w:t>2009-24</w:t>
      </w:r>
    </w:p>
    <w:p w:rsidR="00BB0F2C" w:rsidRDefault="00BB0F2C">
      <w:pPr>
        <w:pStyle w:val="madeunder"/>
        <w:spacing w:before="240" w:after="120"/>
        <w:rPr>
          <w:rFonts w:ascii="Times New Roman" w:hAnsi="Times New Roman"/>
          <w:szCs w:val="24"/>
        </w:rPr>
      </w:pPr>
      <w:r>
        <w:rPr>
          <w:rFonts w:ascii="Times New Roman" w:hAnsi="Times New Roman"/>
          <w:szCs w:val="24"/>
        </w:rPr>
        <w:t>made under the</w:t>
      </w:r>
    </w:p>
    <w:p w:rsidR="00BB0F2C" w:rsidRDefault="00BB0F2C">
      <w:pPr>
        <w:pStyle w:val="CoverActName"/>
        <w:rPr>
          <w:rFonts w:cs="Arial"/>
          <w:sz w:val="20"/>
          <w:vertAlign w:val="superscript"/>
        </w:rPr>
      </w:pPr>
      <w:r>
        <w:rPr>
          <w:rFonts w:cs="Arial"/>
          <w:sz w:val="20"/>
        </w:rPr>
        <w:t>Planning and Development Act 2007, section 89 (Making technical amendments)</w:t>
      </w:r>
    </w:p>
    <w:p w:rsidR="00BB0F2C" w:rsidRDefault="00BB0F2C">
      <w:pPr>
        <w:pStyle w:val="N-line3"/>
        <w:pBdr>
          <w:bottom w:val="none" w:sz="0" w:space="0" w:color="auto"/>
        </w:pBdr>
        <w:rPr>
          <w:rFonts w:cs="Arial"/>
        </w:rPr>
      </w:pPr>
    </w:p>
    <w:p w:rsidR="00BB0F2C" w:rsidRDefault="00BB0F2C">
      <w:pPr>
        <w:pStyle w:val="N-line3"/>
        <w:pBdr>
          <w:top w:val="single" w:sz="12" w:space="1" w:color="auto"/>
          <w:bottom w:val="none" w:sz="0" w:space="0" w:color="auto"/>
        </w:pBdr>
        <w:jc w:val="left"/>
        <w:rPr>
          <w:rFonts w:cs="Arial"/>
        </w:rPr>
      </w:pPr>
    </w:p>
    <w:p w:rsidR="00BB0F2C" w:rsidRDefault="00BB0F2C">
      <w:pPr>
        <w:pStyle w:val="BodyText"/>
        <w:rPr>
          <w:b w:val="0"/>
          <w:bCs/>
          <w:sz w:val="24"/>
          <w:szCs w:val="24"/>
        </w:rPr>
      </w:pPr>
      <w:r>
        <w:rPr>
          <w:b w:val="0"/>
          <w:bCs/>
          <w:sz w:val="24"/>
          <w:szCs w:val="24"/>
        </w:rPr>
        <w:t>This plan variation commences on 2 October 2009.</w:t>
      </w:r>
    </w:p>
    <w:p w:rsidR="00BB0F2C" w:rsidRDefault="00BB0F2C">
      <w:pPr>
        <w:pStyle w:val="BodyText"/>
        <w:rPr>
          <w:b w:val="0"/>
          <w:bCs/>
          <w:sz w:val="24"/>
          <w:szCs w:val="24"/>
        </w:rPr>
      </w:pPr>
    </w:p>
    <w:p w:rsidR="00BB0F2C" w:rsidRDefault="00BB0F2C">
      <w:pPr>
        <w:pStyle w:val="BodyText"/>
        <w:rPr>
          <w:b w:val="0"/>
          <w:bCs/>
          <w:color w:val="000000"/>
          <w:sz w:val="24"/>
          <w:szCs w:val="24"/>
        </w:rPr>
      </w:pPr>
      <w:r>
        <w:rPr>
          <w:b w:val="0"/>
          <w:bCs/>
          <w:sz w:val="24"/>
          <w:szCs w:val="24"/>
        </w:rPr>
        <w:t xml:space="preserve">Variation </w:t>
      </w:r>
      <w:r>
        <w:rPr>
          <w:b w:val="0"/>
          <w:bCs/>
          <w:sz w:val="24"/>
          <w:szCs w:val="24"/>
          <w:lang w:val="en-AU"/>
        </w:rPr>
        <w:t>2009-24</w:t>
      </w:r>
      <w:r>
        <w:rPr>
          <w:b w:val="0"/>
          <w:bCs/>
          <w:sz w:val="24"/>
          <w:szCs w:val="24"/>
        </w:rPr>
        <w:t xml:space="preserve"> to the </w:t>
      </w:r>
      <w:r>
        <w:rPr>
          <w:b w:val="0"/>
          <w:sz w:val="24"/>
          <w:szCs w:val="24"/>
        </w:rPr>
        <w:t xml:space="preserve">Territory Plan </w:t>
      </w:r>
      <w:r>
        <w:rPr>
          <w:b w:val="0"/>
          <w:bCs/>
          <w:color w:val="000000"/>
          <w:sz w:val="24"/>
          <w:szCs w:val="24"/>
        </w:rPr>
        <w:t>has been approved by the Planning and Land Authority.</w:t>
      </w:r>
    </w:p>
    <w:p w:rsidR="00BB0F2C" w:rsidRDefault="00BB0F2C">
      <w:pPr>
        <w:pStyle w:val="BodyText"/>
        <w:rPr>
          <w:b w:val="0"/>
          <w:bCs/>
          <w:color w:val="000000"/>
          <w:sz w:val="24"/>
          <w:szCs w:val="24"/>
        </w:rPr>
      </w:pPr>
    </w:p>
    <w:p w:rsidR="00BB0F2C" w:rsidRDefault="00BB0F2C">
      <w:pPr>
        <w:pStyle w:val="Header"/>
        <w:tabs>
          <w:tab w:val="left" w:pos="-720"/>
        </w:tabs>
        <w:rPr>
          <w:rFonts w:cs="Arial"/>
          <w:lang w:val="en-AU"/>
        </w:rPr>
      </w:pPr>
    </w:p>
    <w:p w:rsidR="00BB0F2C" w:rsidRDefault="00BB0F2C">
      <w:pPr>
        <w:pStyle w:val="Header"/>
        <w:tabs>
          <w:tab w:val="left" w:pos="-720"/>
        </w:tabs>
        <w:rPr>
          <w:rFonts w:cs="Arial"/>
          <w:lang w:val="en-AU"/>
        </w:rPr>
      </w:pPr>
    </w:p>
    <w:p w:rsidR="00BB0F2C" w:rsidRDefault="00BB0F2C"/>
    <w:p w:rsidR="00BB0F2C" w:rsidRDefault="00BB0F2C"/>
    <w:p w:rsidR="00BB0F2C" w:rsidRDefault="00BB0F2C"/>
    <w:p w:rsidR="00BB0F2C" w:rsidRDefault="00BB0F2C"/>
    <w:p w:rsidR="00BB0F2C" w:rsidRDefault="00BB0F2C">
      <w:r>
        <w:t xml:space="preserve">Kelvin Walsh </w:t>
      </w:r>
    </w:p>
    <w:p w:rsidR="00BB0F2C" w:rsidRDefault="00BB0F2C">
      <w:pPr>
        <w:rPr>
          <w:rFonts w:cs="Arial"/>
        </w:rPr>
      </w:pPr>
      <w:r>
        <w:rPr>
          <w:rFonts w:cs="Arial"/>
        </w:rPr>
        <w:t>Delegate of the Planning and Land Authority</w:t>
      </w:r>
    </w:p>
    <w:p w:rsidR="00BB0F2C" w:rsidRDefault="00BB0F2C">
      <w:pPr>
        <w:rPr>
          <w:rFonts w:cs="Arial"/>
        </w:rPr>
      </w:pPr>
    </w:p>
    <w:p w:rsidR="00BB0F2C" w:rsidRDefault="00BB0F2C">
      <w:pPr>
        <w:rPr>
          <w:rFonts w:cs="Arial"/>
        </w:rPr>
      </w:pPr>
      <w:r>
        <w:rPr>
          <w:rFonts w:cs="Arial"/>
        </w:rPr>
        <w:t>30 September 2009</w:t>
      </w:r>
    </w:p>
    <w:p w:rsidR="00BB0F2C" w:rsidRDefault="00BB0F2C">
      <w:pPr>
        <w:jc w:val="right"/>
        <w:rPr>
          <w:color w:val="000000"/>
        </w:rPr>
        <w:sectPr w:rsidR="00BB0F2C">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pgNumType w:start="0"/>
          <w:cols w:space="708"/>
          <w:rtlGutter/>
          <w:docGrid w:linePitch="360"/>
        </w:sectPr>
      </w:pPr>
    </w:p>
    <w:p w:rsidR="00BB0F2C" w:rsidRDefault="00BB0F2C">
      <w:pPr>
        <w:jc w:val="right"/>
        <w:rPr>
          <w:rFonts w:cs="Arial"/>
          <w:bCs/>
        </w:rPr>
      </w:pPr>
      <w:r>
        <w:rPr>
          <w:rFonts w:cs="Arial"/>
          <w:bCs/>
        </w:rPr>
        <w:lastRenderedPageBreak/>
        <w:t>ANNEXE A</w:t>
      </w:r>
    </w:p>
    <w:p w:rsidR="00BB0F2C" w:rsidRDefault="00BB0F2C">
      <w:pPr>
        <w:jc w:val="right"/>
        <w:rPr>
          <w:rFonts w:cs="Arial"/>
          <w:bCs/>
        </w:rPr>
      </w:pPr>
      <w:r>
        <w:rPr>
          <w:rFonts w:cs="Arial"/>
          <w:bCs/>
        </w:rPr>
        <w:t>FINAL PLAN VARIATION 2009-24</w:t>
      </w:r>
    </w:p>
    <w:p w:rsidR="00BB0F2C" w:rsidRDefault="00BB0F2C"/>
    <w:p w:rsidR="00BB0F2C" w:rsidRDefault="0025019E">
      <w:pPr>
        <w:pStyle w:val="BodyText"/>
        <w:spacing w:after="120"/>
        <w:jc w:val="center"/>
        <w:rPr>
          <w:rFonts w:cs="Arial"/>
          <w:b w:val="0"/>
          <w:sz w:val="32"/>
        </w:rPr>
      </w:pPr>
      <w:r>
        <w:rPr>
          <w:rFonts w:cs="Arial"/>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v:imagedata r:id="rId13" o:title=""/>
          </v:shape>
        </w:pict>
      </w:r>
    </w:p>
    <w:p w:rsidR="00BB0F2C" w:rsidRDefault="00BB0F2C">
      <w:pPr>
        <w:pStyle w:val="BodyText"/>
        <w:spacing w:after="120"/>
        <w:jc w:val="center"/>
        <w:rPr>
          <w:rFonts w:cs="Arial"/>
          <w:b w:val="0"/>
          <w:sz w:val="32"/>
        </w:rPr>
      </w:pPr>
    </w:p>
    <w:p w:rsidR="00BB0F2C" w:rsidRDefault="00BB0F2C">
      <w:pPr>
        <w:pStyle w:val="BodyText"/>
        <w:jc w:val="center"/>
        <w:rPr>
          <w:rFonts w:cs="Arial"/>
          <w:b w:val="0"/>
          <w:sz w:val="32"/>
        </w:rPr>
      </w:pPr>
      <w:r>
        <w:rPr>
          <w:rFonts w:cs="Arial"/>
          <w:b w:val="0"/>
          <w:sz w:val="32"/>
        </w:rPr>
        <w:t>Planning &amp; Development Act 2007</w:t>
      </w:r>
    </w:p>
    <w:p w:rsidR="00BB0F2C" w:rsidRDefault="00BB0F2C">
      <w:pPr>
        <w:pStyle w:val="Header"/>
        <w:tabs>
          <w:tab w:val="clear" w:pos="4819"/>
          <w:tab w:val="clear" w:pos="9071"/>
          <w:tab w:val="left" w:pos="-720"/>
        </w:tabs>
        <w:rPr>
          <w:rFonts w:cs="Arial"/>
          <w:lang w:val="en-AU" w:eastAsia="en-AU"/>
        </w:rPr>
      </w:pPr>
    </w:p>
    <w:p w:rsidR="00BB0F2C" w:rsidRDefault="00BB0F2C">
      <w:pPr>
        <w:pStyle w:val="BodyText"/>
        <w:pBdr>
          <w:top w:val="single" w:sz="4" w:space="1" w:color="auto"/>
          <w:left w:val="single" w:sz="4" w:space="4" w:color="auto"/>
          <w:bottom w:val="single" w:sz="4" w:space="1" w:color="auto"/>
          <w:right w:val="single" w:sz="4" w:space="4" w:color="auto"/>
        </w:pBdr>
        <w:shd w:val="clear" w:color="auto" w:fill="F3F3F3"/>
        <w:spacing w:before="120"/>
        <w:jc w:val="center"/>
        <w:rPr>
          <w:rFonts w:cs="Arial"/>
          <w:bCs/>
          <w:sz w:val="74"/>
        </w:rPr>
      </w:pPr>
      <w:r>
        <w:rPr>
          <w:rFonts w:cs="Arial"/>
          <w:bCs/>
          <w:sz w:val="74"/>
        </w:rPr>
        <w:t xml:space="preserve">Technical Amendment </w:t>
      </w:r>
    </w:p>
    <w:p w:rsidR="00BB0F2C" w:rsidRDefault="00BB0F2C">
      <w:pPr>
        <w:pStyle w:val="BodyText"/>
        <w:pBdr>
          <w:top w:val="single" w:sz="4" w:space="1" w:color="auto"/>
          <w:left w:val="single" w:sz="4" w:space="4" w:color="auto"/>
          <w:bottom w:val="single" w:sz="4" w:space="1" w:color="auto"/>
          <w:right w:val="single" w:sz="4" w:space="4" w:color="auto"/>
        </w:pBdr>
        <w:shd w:val="clear" w:color="auto" w:fill="F3F3F3"/>
        <w:spacing w:before="120"/>
        <w:jc w:val="center"/>
        <w:rPr>
          <w:rFonts w:cs="Arial"/>
          <w:bCs/>
          <w:sz w:val="74"/>
        </w:rPr>
      </w:pPr>
      <w:r>
        <w:rPr>
          <w:rFonts w:cs="Arial"/>
          <w:bCs/>
          <w:sz w:val="74"/>
        </w:rPr>
        <w:t>to the Territory Plan</w:t>
      </w:r>
    </w:p>
    <w:p w:rsidR="00BB0F2C" w:rsidRDefault="00BB0F2C">
      <w:pPr>
        <w:pStyle w:val="BodyText"/>
        <w:pBdr>
          <w:top w:val="single" w:sz="4" w:space="1" w:color="auto"/>
          <w:left w:val="single" w:sz="4" w:space="4" w:color="auto"/>
          <w:bottom w:val="single" w:sz="4" w:space="1" w:color="auto"/>
          <w:right w:val="single" w:sz="4" w:space="4" w:color="auto"/>
        </w:pBdr>
        <w:shd w:val="clear" w:color="auto" w:fill="F3F3F3"/>
        <w:spacing w:before="120"/>
        <w:jc w:val="center"/>
        <w:rPr>
          <w:rFonts w:cs="Arial"/>
          <w:bCs/>
          <w:szCs w:val="24"/>
        </w:rPr>
      </w:pPr>
    </w:p>
    <w:p w:rsidR="00BB0F2C" w:rsidRDefault="00BB0F2C">
      <w:pPr>
        <w:pStyle w:val="BodyText"/>
        <w:pBdr>
          <w:top w:val="single" w:sz="4" w:space="1" w:color="auto"/>
          <w:left w:val="single" w:sz="4" w:space="4" w:color="auto"/>
          <w:bottom w:val="single" w:sz="4" w:space="1" w:color="auto"/>
          <w:right w:val="single" w:sz="4" w:space="4" w:color="auto"/>
        </w:pBdr>
        <w:shd w:val="clear" w:color="auto" w:fill="F3F3F3"/>
        <w:spacing w:before="120"/>
        <w:jc w:val="center"/>
        <w:rPr>
          <w:rFonts w:cs="Arial"/>
          <w:bCs/>
          <w:sz w:val="74"/>
        </w:rPr>
      </w:pPr>
      <w:r>
        <w:rPr>
          <w:rFonts w:cs="Arial"/>
          <w:bCs/>
          <w:sz w:val="74"/>
        </w:rPr>
        <w:t xml:space="preserve">Code Variation </w:t>
      </w:r>
    </w:p>
    <w:p w:rsidR="00BB0F2C" w:rsidRDefault="00BB0F2C">
      <w:pPr>
        <w:pStyle w:val="BodyText"/>
        <w:pBdr>
          <w:top w:val="single" w:sz="4" w:space="1" w:color="auto"/>
          <w:left w:val="single" w:sz="4" w:space="4" w:color="auto"/>
          <w:bottom w:val="single" w:sz="4" w:space="1" w:color="auto"/>
          <w:right w:val="single" w:sz="4" w:space="4" w:color="auto"/>
        </w:pBdr>
        <w:shd w:val="clear" w:color="auto" w:fill="F3F3F3"/>
        <w:spacing w:before="120"/>
        <w:jc w:val="center"/>
        <w:rPr>
          <w:rFonts w:cs="Arial"/>
        </w:rPr>
      </w:pPr>
      <w:r>
        <w:rPr>
          <w:rFonts w:cs="Arial"/>
          <w:bCs/>
          <w:sz w:val="74"/>
        </w:rPr>
        <w:t>2009-24</w:t>
      </w:r>
    </w:p>
    <w:p w:rsidR="00BB0F2C" w:rsidRDefault="00BB0F2C">
      <w:pPr>
        <w:tabs>
          <w:tab w:val="left" w:pos="-720"/>
        </w:tabs>
        <w:rPr>
          <w:rFonts w:cs="Arial"/>
        </w:rPr>
      </w:pPr>
    </w:p>
    <w:p w:rsidR="00BB0F2C" w:rsidRDefault="00BB0F2C">
      <w:pPr>
        <w:tabs>
          <w:tab w:val="left" w:pos="-720"/>
        </w:tabs>
        <w:rPr>
          <w:rFonts w:cs="Arial"/>
        </w:rPr>
      </w:pPr>
    </w:p>
    <w:p w:rsidR="00BB0F2C" w:rsidRDefault="00BB0F2C">
      <w:pPr>
        <w:spacing w:before="360"/>
        <w:jc w:val="center"/>
        <w:rPr>
          <w:rFonts w:cs="Arial"/>
          <w:sz w:val="44"/>
          <w:szCs w:val="44"/>
        </w:rPr>
      </w:pPr>
      <w:r>
        <w:rPr>
          <w:rFonts w:cs="Arial"/>
          <w:sz w:val="44"/>
          <w:szCs w:val="44"/>
        </w:rPr>
        <w:t>Amendments to the</w:t>
      </w:r>
    </w:p>
    <w:p w:rsidR="00BB0F2C" w:rsidRDefault="00BB0F2C">
      <w:pPr>
        <w:jc w:val="center"/>
        <w:rPr>
          <w:rFonts w:cs="Arial"/>
          <w:sz w:val="44"/>
          <w:szCs w:val="44"/>
        </w:rPr>
      </w:pPr>
      <w:r>
        <w:rPr>
          <w:rFonts w:cs="Arial"/>
          <w:sz w:val="44"/>
          <w:szCs w:val="44"/>
        </w:rPr>
        <w:t>Single Dwelling Housing Development Code</w:t>
      </w:r>
    </w:p>
    <w:p w:rsidR="00BB0F2C" w:rsidRDefault="00BB0F2C">
      <w:pPr>
        <w:jc w:val="center"/>
        <w:rPr>
          <w:rFonts w:cs="Arial"/>
          <w:sz w:val="40"/>
          <w:szCs w:val="40"/>
        </w:rPr>
      </w:pPr>
    </w:p>
    <w:p w:rsidR="00BB0F2C" w:rsidRDefault="00BB0F2C">
      <w:pPr>
        <w:rPr>
          <w:rFonts w:cs="Arial"/>
          <w:sz w:val="40"/>
          <w:szCs w:val="40"/>
        </w:rPr>
      </w:pPr>
    </w:p>
    <w:p w:rsidR="00BB0F2C" w:rsidRDefault="00BB0F2C">
      <w:pPr>
        <w:rPr>
          <w:rFonts w:cs="Arial"/>
          <w:sz w:val="40"/>
          <w:szCs w:val="40"/>
        </w:rPr>
      </w:pPr>
    </w:p>
    <w:p w:rsidR="00BB0F2C" w:rsidRDefault="00BB0F2C">
      <w:pPr>
        <w:jc w:val="center"/>
        <w:rPr>
          <w:rFonts w:ascii="Times New Roman" w:hAnsi="Times New Roman"/>
          <w:color w:val="000000"/>
          <w:sz w:val="40"/>
        </w:rPr>
      </w:pPr>
      <w:r>
        <w:rPr>
          <w:rFonts w:cs="Arial"/>
          <w:color w:val="000000"/>
          <w:sz w:val="40"/>
        </w:rPr>
        <w:t>October  2009</w:t>
      </w:r>
    </w:p>
    <w:p w:rsidR="00BB0F2C" w:rsidRDefault="00BB0F2C">
      <w:pPr>
        <w:pStyle w:val="Header"/>
        <w:rPr>
          <w:rFonts w:cs="Arial"/>
          <w:color w:val="000000"/>
        </w:rPr>
        <w:sectPr w:rsidR="00BB0F2C">
          <w:footerReference w:type="default" r:id="rId14"/>
          <w:footerReference w:type="first" r:id="rId15"/>
          <w:pgSz w:w="11907" w:h="16840"/>
          <w:pgMar w:top="1440" w:right="1531" w:bottom="1440" w:left="1531" w:header="720" w:footer="720" w:gutter="0"/>
          <w:paperSrc w:first="7" w:other="7"/>
          <w:cols w:space="720"/>
          <w:titlePg/>
          <w:rtlGutter/>
        </w:sectPr>
      </w:pPr>
    </w:p>
    <w:p w:rsidR="00BB0F2C" w:rsidRDefault="00BB0F2C">
      <w:pPr>
        <w:pStyle w:val="Header"/>
        <w:rPr>
          <w:rFonts w:cs="Arial"/>
        </w:rPr>
      </w:pPr>
    </w:p>
    <w:p w:rsidR="00BB0F2C" w:rsidRDefault="00BB0F2C">
      <w:pPr>
        <w:jc w:val="center"/>
        <w:rPr>
          <w:rFonts w:cs="Arial"/>
        </w:rPr>
      </w:pPr>
    </w:p>
    <w:p w:rsidR="00BB0F2C" w:rsidRDefault="00BB0F2C">
      <w:pPr>
        <w:pStyle w:val="BodyText"/>
        <w:spacing w:after="120"/>
        <w:jc w:val="center"/>
        <w:rPr>
          <w:rFonts w:ascii="Arial Bold" w:hAnsi="Arial Bold" w:cs="Arial"/>
          <w:bCs/>
          <w:sz w:val="36"/>
        </w:rPr>
      </w:pPr>
      <w:r>
        <w:rPr>
          <w:rFonts w:ascii="Arial Bold" w:hAnsi="Arial Bold" w:cs="Arial"/>
          <w:bCs/>
          <w:sz w:val="36"/>
        </w:rPr>
        <w:t>Table of Contents</w:t>
      </w:r>
    </w:p>
    <w:p w:rsidR="00BB0F2C" w:rsidRDefault="00BB0F2C">
      <w:pPr>
        <w:pStyle w:val="TOC1"/>
        <w:tabs>
          <w:tab w:val="left" w:pos="720"/>
          <w:tab w:val="right" w:pos="8835"/>
        </w:tabs>
        <w:rPr>
          <w:caps w:val="0"/>
          <w:szCs w:val="24"/>
          <w:lang w:eastAsia="en-AU"/>
        </w:rPr>
      </w:pPr>
      <w:r>
        <w:rPr>
          <w:caps w:val="0"/>
        </w:rPr>
        <w:fldChar w:fldCharType="begin"/>
      </w:r>
      <w:r>
        <w:rPr>
          <w:caps w:val="0"/>
        </w:rPr>
        <w:instrText xml:space="preserve"> TOC \h \z \t "Head 1,1,Head 2,2" </w:instrText>
      </w:r>
      <w:r>
        <w:rPr>
          <w:caps w:val="0"/>
        </w:rPr>
        <w:fldChar w:fldCharType="separate"/>
      </w:r>
      <w:hyperlink w:anchor="_Toc241640185" w:history="1">
        <w:r>
          <w:rPr>
            <w:rStyle w:val="Hyperlink"/>
            <w:rFonts w:ascii="Arial" w:hAnsi="Arial" w:cs="Arial"/>
            <w:lang w:eastAsia="en-AU"/>
          </w:rPr>
          <w:t>1</w:t>
        </w:r>
        <w:r>
          <w:rPr>
            <w:rStyle w:val="Hyperlink"/>
            <w:lang w:eastAsia="en-AU"/>
          </w:rPr>
          <w:t xml:space="preserve"> . </w:t>
        </w:r>
        <w:r>
          <w:rPr>
            <w:caps w:val="0"/>
            <w:szCs w:val="24"/>
            <w:lang w:eastAsia="en-AU"/>
          </w:rPr>
          <w:tab/>
        </w:r>
        <w:r>
          <w:rPr>
            <w:rStyle w:val="Hyperlink"/>
            <w:rFonts w:ascii="Arial" w:hAnsi="Arial" w:cs="Arial"/>
            <w:lang w:eastAsia="en-AU"/>
          </w:rPr>
          <w:t>INTRODUCTION</w:t>
        </w:r>
        <w:r>
          <w:rPr>
            <w:webHidden/>
          </w:rPr>
          <w:tab/>
        </w:r>
        <w:r>
          <w:rPr>
            <w:webHidden/>
          </w:rPr>
          <w:fldChar w:fldCharType="begin"/>
        </w:r>
        <w:r>
          <w:rPr>
            <w:webHidden/>
          </w:rPr>
          <w:instrText xml:space="preserve"> PAGEREF _Toc241640185 \h </w:instrText>
        </w:r>
        <w:r>
          <w:rPr>
            <w:webHidden/>
          </w:rPr>
        </w:r>
        <w:r>
          <w:rPr>
            <w:webHidden/>
          </w:rPr>
          <w:fldChar w:fldCharType="separate"/>
        </w:r>
        <w:r w:rsidR="003C6444">
          <w:rPr>
            <w:webHidden/>
          </w:rPr>
          <w:t>1</w:t>
        </w:r>
        <w:r>
          <w:rPr>
            <w:webHidden/>
          </w:rPr>
          <w:fldChar w:fldCharType="end"/>
        </w:r>
      </w:hyperlink>
    </w:p>
    <w:p w:rsidR="00BB0F2C" w:rsidRDefault="0025019E">
      <w:pPr>
        <w:pStyle w:val="TOC2"/>
        <w:tabs>
          <w:tab w:val="right" w:pos="8835"/>
        </w:tabs>
        <w:rPr>
          <w:noProof/>
          <w:szCs w:val="24"/>
          <w:lang w:eastAsia="en-AU"/>
        </w:rPr>
      </w:pPr>
      <w:hyperlink w:anchor="_Toc241640186" w:history="1">
        <w:r w:rsidR="00BB0F2C">
          <w:rPr>
            <w:rStyle w:val="Hyperlink"/>
            <w:rFonts w:ascii="Arial" w:hAnsi="Arial" w:cs="Arial"/>
            <w:noProof/>
            <w:lang w:eastAsia="en-AU"/>
          </w:rPr>
          <w:t>Outline of the process</w:t>
        </w:r>
        <w:r w:rsidR="00BB0F2C">
          <w:rPr>
            <w:noProof/>
            <w:webHidden/>
          </w:rPr>
          <w:tab/>
        </w:r>
        <w:r w:rsidR="00BB0F2C">
          <w:rPr>
            <w:noProof/>
            <w:webHidden/>
          </w:rPr>
          <w:fldChar w:fldCharType="begin"/>
        </w:r>
        <w:r w:rsidR="00BB0F2C">
          <w:rPr>
            <w:noProof/>
            <w:webHidden/>
          </w:rPr>
          <w:instrText xml:space="preserve"> PAGEREF _Toc241640186 \h </w:instrText>
        </w:r>
        <w:r w:rsidR="00BB0F2C">
          <w:rPr>
            <w:noProof/>
            <w:webHidden/>
          </w:rPr>
        </w:r>
        <w:r w:rsidR="00BB0F2C">
          <w:rPr>
            <w:noProof/>
            <w:webHidden/>
          </w:rPr>
          <w:fldChar w:fldCharType="separate"/>
        </w:r>
        <w:r w:rsidR="003C6444">
          <w:rPr>
            <w:noProof/>
            <w:webHidden/>
          </w:rPr>
          <w:t>1</w:t>
        </w:r>
        <w:r w:rsidR="00BB0F2C">
          <w:rPr>
            <w:noProof/>
            <w:webHidden/>
          </w:rPr>
          <w:fldChar w:fldCharType="end"/>
        </w:r>
      </w:hyperlink>
    </w:p>
    <w:p w:rsidR="00BB0F2C" w:rsidRDefault="0025019E">
      <w:pPr>
        <w:pStyle w:val="TOC1"/>
        <w:tabs>
          <w:tab w:val="left" w:pos="720"/>
          <w:tab w:val="right" w:pos="8835"/>
        </w:tabs>
        <w:rPr>
          <w:caps w:val="0"/>
          <w:szCs w:val="24"/>
          <w:lang w:eastAsia="en-AU"/>
        </w:rPr>
      </w:pPr>
      <w:hyperlink w:anchor="_Toc241640187" w:history="1">
        <w:r w:rsidR="00BB0F2C">
          <w:rPr>
            <w:rStyle w:val="Hyperlink"/>
            <w:rFonts w:ascii="Arial" w:hAnsi="Arial" w:cs="Arial"/>
            <w:lang w:eastAsia="en-AU"/>
          </w:rPr>
          <w:t xml:space="preserve">2 . </w:t>
        </w:r>
        <w:r w:rsidR="00BB0F2C">
          <w:rPr>
            <w:caps w:val="0"/>
            <w:szCs w:val="24"/>
            <w:lang w:eastAsia="en-AU"/>
          </w:rPr>
          <w:tab/>
        </w:r>
        <w:r w:rsidR="00BB0F2C">
          <w:rPr>
            <w:rStyle w:val="Hyperlink"/>
            <w:rFonts w:ascii="Arial" w:hAnsi="Arial" w:cs="Arial"/>
            <w:lang w:eastAsia="en-AU"/>
          </w:rPr>
          <w:t>EXPLANATORY STATEMENT</w:t>
        </w:r>
        <w:r w:rsidR="00BB0F2C">
          <w:rPr>
            <w:webHidden/>
          </w:rPr>
          <w:tab/>
        </w:r>
        <w:r w:rsidR="00BB0F2C">
          <w:rPr>
            <w:webHidden/>
          </w:rPr>
          <w:fldChar w:fldCharType="begin"/>
        </w:r>
        <w:r w:rsidR="00BB0F2C">
          <w:rPr>
            <w:webHidden/>
          </w:rPr>
          <w:instrText xml:space="preserve"> PAGEREF _Toc241640187 \h </w:instrText>
        </w:r>
        <w:r w:rsidR="00BB0F2C">
          <w:rPr>
            <w:webHidden/>
          </w:rPr>
        </w:r>
        <w:r w:rsidR="00BB0F2C">
          <w:rPr>
            <w:webHidden/>
          </w:rPr>
          <w:fldChar w:fldCharType="separate"/>
        </w:r>
        <w:r w:rsidR="003C6444">
          <w:rPr>
            <w:webHidden/>
          </w:rPr>
          <w:t>1</w:t>
        </w:r>
        <w:r w:rsidR="00BB0F2C">
          <w:rPr>
            <w:webHidden/>
          </w:rPr>
          <w:fldChar w:fldCharType="end"/>
        </w:r>
      </w:hyperlink>
    </w:p>
    <w:p w:rsidR="00BB0F2C" w:rsidRDefault="0025019E">
      <w:pPr>
        <w:pStyle w:val="TOC2"/>
        <w:tabs>
          <w:tab w:val="right" w:pos="8835"/>
        </w:tabs>
        <w:rPr>
          <w:noProof/>
          <w:szCs w:val="24"/>
          <w:lang w:eastAsia="en-AU"/>
        </w:rPr>
      </w:pPr>
      <w:hyperlink w:anchor="_Toc241640188" w:history="1">
        <w:r w:rsidR="00BB0F2C">
          <w:rPr>
            <w:rStyle w:val="Hyperlink"/>
            <w:rFonts w:ascii="Arial" w:hAnsi="Arial" w:cs="Arial"/>
            <w:noProof/>
            <w:lang w:eastAsia="en-AU"/>
          </w:rPr>
          <w:t>Introduction</w:t>
        </w:r>
        <w:r w:rsidR="00BB0F2C">
          <w:rPr>
            <w:noProof/>
            <w:webHidden/>
          </w:rPr>
          <w:tab/>
        </w:r>
        <w:r w:rsidR="00BB0F2C">
          <w:rPr>
            <w:noProof/>
            <w:webHidden/>
          </w:rPr>
          <w:fldChar w:fldCharType="begin"/>
        </w:r>
        <w:r w:rsidR="00BB0F2C">
          <w:rPr>
            <w:noProof/>
            <w:webHidden/>
          </w:rPr>
          <w:instrText xml:space="preserve"> PAGEREF _Toc241640188 \h </w:instrText>
        </w:r>
        <w:r w:rsidR="00BB0F2C">
          <w:rPr>
            <w:noProof/>
            <w:webHidden/>
          </w:rPr>
        </w:r>
        <w:r w:rsidR="00BB0F2C">
          <w:rPr>
            <w:noProof/>
            <w:webHidden/>
          </w:rPr>
          <w:fldChar w:fldCharType="separate"/>
        </w:r>
        <w:r w:rsidR="003C6444">
          <w:rPr>
            <w:noProof/>
            <w:webHidden/>
          </w:rPr>
          <w:t>1</w:t>
        </w:r>
        <w:r w:rsidR="00BB0F2C">
          <w:rPr>
            <w:noProof/>
            <w:webHidden/>
          </w:rPr>
          <w:fldChar w:fldCharType="end"/>
        </w:r>
      </w:hyperlink>
    </w:p>
    <w:p w:rsidR="00BB0F2C" w:rsidRDefault="0025019E">
      <w:pPr>
        <w:pStyle w:val="TOC2"/>
        <w:tabs>
          <w:tab w:val="right" w:pos="8835"/>
        </w:tabs>
        <w:rPr>
          <w:noProof/>
          <w:szCs w:val="24"/>
          <w:lang w:eastAsia="en-AU"/>
        </w:rPr>
      </w:pPr>
      <w:hyperlink w:anchor="_Toc241640189" w:history="1">
        <w:r w:rsidR="00BB0F2C">
          <w:rPr>
            <w:rStyle w:val="Hyperlink"/>
            <w:rFonts w:ascii="Arial" w:hAnsi="Arial" w:cs="Arial"/>
            <w:noProof/>
            <w:lang w:eastAsia="en-AU"/>
          </w:rPr>
          <w:t>Proposed Changes and Reasons</w:t>
        </w:r>
        <w:r w:rsidR="00BB0F2C">
          <w:rPr>
            <w:noProof/>
            <w:webHidden/>
          </w:rPr>
          <w:tab/>
        </w:r>
        <w:r w:rsidR="00BB0F2C">
          <w:rPr>
            <w:noProof/>
            <w:webHidden/>
          </w:rPr>
          <w:fldChar w:fldCharType="begin"/>
        </w:r>
        <w:r w:rsidR="00BB0F2C">
          <w:rPr>
            <w:noProof/>
            <w:webHidden/>
          </w:rPr>
          <w:instrText xml:space="preserve"> PAGEREF _Toc241640189 \h </w:instrText>
        </w:r>
        <w:r w:rsidR="00BB0F2C">
          <w:rPr>
            <w:noProof/>
            <w:webHidden/>
          </w:rPr>
        </w:r>
        <w:r w:rsidR="00BB0F2C">
          <w:rPr>
            <w:noProof/>
            <w:webHidden/>
          </w:rPr>
          <w:fldChar w:fldCharType="separate"/>
        </w:r>
        <w:r w:rsidR="003C6444">
          <w:rPr>
            <w:noProof/>
            <w:webHidden/>
          </w:rPr>
          <w:t>2</w:t>
        </w:r>
        <w:r w:rsidR="00BB0F2C">
          <w:rPr>
            <w:noProof/>
            <w:webHidden/>
          </w:rPr>
          <w:fldChar w:fldCharType="end"/>
        </w:r>
      </w:hyperlink>
    </w:p>
    <w:p w:rsidR="00BB0F2C" w:rsidRDefault="0025019E">
      <w:pPr>
        <w:pStyle w:val="TOC1"/>
        <w:tabs>
          <w:tab w:val="left" w:pos="480"/>
          <w:tab w:val="right" w:pos="8835"/>
        </w:tabs>
        <w:rPr>
          <w:caps w:val="0"/>
          <w:szCs w:val="24"/>
          <w:lang w:eastAsia="en-AU"/>
        </w:rPr>
      </w:pPr>
      <w:hyperlink w:anchor="_Toc241640190" w:history="1">
        <w:r w:rsidR="00BB0F2C">
          <w:rPr>
            <w:rStyle w:val="Hyperlink"/>
            <w:rFonts w:ascii="Arial" w:hAnsi="Arial" w:cs="Arial"/>
          </w:rPr>
          <w:t>3.</w:t>
        </w:r>
        <w:r w:rsidR="00BB0F2C">
          <w:rPr>
            <w:caps w:val="0"/>
            <w:szCs w:val="24"/>
            <w:lang w:eastAsia="en-AU"/>
          </w:rPr>
          <w:tab/>
        </w:r>
        <w:r w:rsidR="00BB0F2C">
          <w:rPr>
            <w:rStyle w:val="Hyperlink"/>
            <w:rFonts w:ascii="Arial" w:hAnsi="Arial" w:cs="Arial"/>
          </w:rPr>
          <w:t xml:space="preserve">  TECHNICAL AMENDMENT</w:t>
        </w:r>
        <w:r w:rsidR="00BB0F2C">
          <w:rPr>
            <w:webHidden/>
          </w:rPr>
          <w:tab/>
        </w:r>
        <w:r w:rsidR="00BB0F2C">
          <w:rPr>
            <w:webHidden/>
          </w:rPr>
          <w:fldChar w:fldCharType="begin"/>
        </w:r>
        <w:r w:rsidR="00BB0F2C">
          <w:rPr>
            <w:webHidden/>
          </w:rPr>
          <w:instrText xml:space="preserve"> PAGEREF _Toc241640190 \h </w:instrText>
        </w:r>
        <w:r w:rsidR="00BB0F2C">
          <w:rPr>
            <w:webHidden/>
          </w:rPr>
        </w:r>
        <w:r w:rsidR="00BB0F2C">
          <w:rPr>
            <w:webHidden/>
          </w:rPr>
          <w:fldChar w:fldCharType="separate"/>
        </w:r>
        <w:r w:rsidR="003C6444">
          <w:rPr>
            <w:webHidden/>
          </w:rPr>
          <w:t>3</w:t>
        </w:r>
        <w:r w:rsidR="00BB0F2C">
          <w:rPr>
            <w:webHidden/>
          </w:rPr>
          <w:fldChar w:fldCharType="end"/>
        </w:r>
      </w:hyperlink>
    </w:p>
    <w:p w:rsidR="00BB0F2C" w:rsidRDefault="0025019E">
      <w:pPr>
        <w:pStyle w:val="TOC2"/>
        <w:tabs>
          <w:tab w:val="right" w:pos="8835"/>
        </w:tabs>
        <w:rPr>
          <w:noProof/>
          <w:szCs w:val="24"/>
          <w:lang w:eastAsia="en-AU"/>
        </w:rPr>
      </w:pPr>
      <w:hyperlink w:anchor="_Toc241640191" w:history="1">
        <w:r w:rsidR="00BB0F2C">
          <w:rPr>
            <w:rStyle w:val="Hyperlink"/>
            <w:rFonts w:ascii="Arial" w:hAnsi="Arial" w:cs="Arial"/>
            <w:noProof/>
          </w:rPr>
          <w:t>Variation to the Single Dwelling Housing Development Code</w:t>
        </w:r>
        <w:r w:rsidR="00BB0F2C">
          <w:rPr>
            <w:noProof/>
            <w:webHidden/>
          </w:rPr>
          <w:tab/>
        </w:r>
        <w:r w:rsidR="00BB0F2C">
          <w:rPr>
            <w:noProof/>
            <w:webHidden/>
          </w:rPr>
          <w:fldChar w:fldCharType="begin"/>
        </w:r>
        <w:r w:rsidR="00BB0F2C">
          <w:rPr>
            <w:noProof/>
            <w:webHidden/>
          </w:rPr>
          <w:instrText xml:space="preserve"> PAGEREF _Toc241640191 \h </w:instrText>
        </w:r>
        <w:r w:rsidR="00BB0F2C">
          <w:rPr>
            <w:noProof/>
            <w:webHidden/>
          </w:rPr>
        </w:r>
        <w:r w:rsidR="00BB0F2C">
          <w:rPr>
            <w:noProof/>
            <w:webHidden/>
          </w:rPr>
          <w:fldChar w:fldCharType="separate"/>
        </w:r>
        <w:r w:rsidR="003C6444">
          <w:rPr>
            <w:noProof/>
            <w:webHidden/>
          </w:rPr>
          <w:t>3</w:t>
        </w:r>
        <w:r w:rsidR="00BB0F2C">
          <w:rPr>
            <w:noProof/>
            <w:webHidden/>
          </w:rPr>
          <w:fldChar w:fldCharType="end"/>
        </w:r>
      </w:hyperlink>
    </w:p>
    <w:p w:rsidR="00BB0F2C" w:rsidRDefault="00BB0F2C">
      <w:pPr>
        <w:pStyle w:val="TOC1"/>
        <w:rPr>
          <w:rFonts w:cs="Arial"/>
          <w:caps w:val="0"/>
        </w:rPr>
      </w:pPr>
      <w:r>
        <w:rPr>
          <w:caps w:val="0"/>
        </w:rPr>
        <w:fldChar w:fldCharType="end"/>
      </w:r>
    </w:p>
    <w:p w:rsidR="00BB0F2C" w:rsidRDefault="00BB0F2C">
      <w:pPr>
        <w:rPr>
          <w:rFonts w:cs="Arial"/>
        </w:rPr>
      </w:pPr>
    </w:p>
    <w:p w:rsidR="00BB0F2C" w:rsidRDefault="00BB0F2C">
      <w:pPr>
        <w:pStyle w:val="Head1"/>
        <w:sectPr w:rsidR="00BB0F2C">
          <w:footerReference w:type="first" r:id="rId16"/>
          <w:pgSz w:w="11907" w:h="16840"/>
          <w:pgMar w:top="1440" w:right="1531" w:bottom="1440" w:left="1531" w:header="720" w:footer="720" w:gutter="0"/>
          <w:paperSrc w:first="7" w:other="7"/>
          <w:pgNumType w:fmt="lowerRoman" w:start="1"/>
          <w:cols w:space="720"/>
          <w:titlePg/>
        </w:sectPr>
      </w:pPr>
    </w:p>
    <w:p w:rsidR="00BB0F2C" w:rsidRDefault="00BB0F2C">
      <w:pPr>
        <w:pStyle w:val="Head1"/>
        <w:numPr>
          <w:ilvl w:val="0"/>
          <w:numId w:val="3"/>
        </w:numPr>
        <w:tabs>
          <w:tab w:val="num" w:pos="709"/>
        </w:tabs>
        <w:ind w:left="709"/>
        <w:rPr>
          <w:rFonts w:ascii="Arial" w:hAnsi="Arial" w:cs="Arial"/>
          <w:sz w:val="28"/>
          <w:szCs w:val="28"/>
          <w:lang w:eastAsia="en-AU"/>
        </w:rPr>
      </w:pPr>
      <w:bookmarkStart w:id="1" w:name="_Toc241640185"/>
      <w:r>
        <w:rPr>
          <w:lang w:eastAsia="en-AU"/>
        </w:rPr>
        <w:lastRenderedPageBreak/>
        <w:t xml:space="preserve">. </w:t>
      </w:r>
      <w:r>
        <w:rPr>
          <w:lang w:eastAsia="en-AU"/>
        </w:rPr>
        <w:tab/>
      </w:r>
      <w:r>
        <w:rPr>
          <w:rFonts w:ascii="Arial" w:hAnsi="Arial" w:cs="Arial"/>
          <w:sz w:val="28"/>
          <w:szCs w:val="28"/>
          <w:lang w:eastAsia="en-AU"/>
        </w:rPr>
        <w:t>INTRODUCTION</w:t>
      </w:r>
      <w:bookmarkEnd w:id="1"/>
      <w:r>
        <w:rPr>
          <w:rFonts w:ascii="Arial" w:hAnsi="Arial" w:cs="Arial"/>
          <w:sz w:val="28"/>
          <w:szCs w:val="28"/>
          <w:lang w:eastAsia="en-AU"/>
        </w:rPr>
        <w:tab/>
      </w:r>
    </w:p>
    <w:p w:rsidR="00BB0F2C" w:rsidRDefault="00BB0F2C">
      <w:pPr>
        <w:pStyle w:val="Head2"/>
        <w:numPr>
          <w:ilvl w:val="0"/>
          <w:numId w:val="0"/>
        </w:numPr>
        <w:rPr>
          <w:rFonts w:ascii="Arial" w:hAnsi="Arial" w:cs="Arial"/>
          <w:sz w:val="28"/>
          <w:szCs w:val="28"/>
          <w:lang w:eastAsia="en-AU"/>
        </w:rPr>
      </w:pPr>
      <w:bookmarkStart w:id="2" w:name="_Toc241640186"/>
      <w:r>
        <w:rPr>
          <w:rFonts w:ascii="Arial" w:hAnsi="Arial" w:cs="Arial"/>
          <w:sz w:val="28"/>
          <w:szCs w:val="28"/>
          <w:lang w:eastAsia="en-AU"/>
        </w:rPr>
        <w:t>Outline of the process</w:t>
      </w:r>
      <w:bookmarkEnd w:id="2"/>
    </w:p>
    <w:p w:rsidR="00BB0F2C" w:rsidRDefault="00BB0F2C">
      <w:pPr>
        <w:autoSpaceDE w:val="0"/>
        <w:autoSpaceDN w:val="0"/>
        <w:adjustRightInd w:val="0"/>
        <w:rPr>
          <w:rFonts w:cs="Arial"/>
          <w:szCs w:val="24"/>
          <w:lang w:eastAsia="en-AU"/>
        </w:rPr>
      </w:pPr>
      <w:r>
        <w:rPr>
          <w:rFonts w:cs="Arial"/>
          <w:szCs w:val="24"/>
          <w:lang w:eastAsia="en-AU"/>
        </w:rPr>
        <w:t xml:space="preserve">The Commonwealth’s </w:t>
      </w:r>
      <w:smartTag w:uri="urn:schemas-microsoft-com:office:smarttags" w:element="place">
        <w:smartTag w:uri="urn:schemas-microsoft-com:office:smarttags" w:element="State">
          <w:r>
            <w:rPr>
              <w:rFonts w:cs="Arial"/>
              <w:i/>
              <w:iCs/>
              <w:szCs w:val="24"/>
              <w:lang w:eastAsia="en-AU"/>
            </w:rPr>
            <w:t>Australian Capital Territory</w:t>
          </w:r>
        </w:smartTag>
      </w:smartTag>
      <w:r>
        <w:rPr>
          <w:rFonts w:cs="Arial"/>
          <w:i/>
          <w:iCs/>
          <w:szCs w:val="24"/>
          <w:lang w:eastAsia="en-AU"/>
        </w:rPr>
        <w:t xml:space="preserve"> (Planning and Land Management) Act 1988 </w:t>
      </w:r>
      <w:r>
        <w:rPr>
          <w:rFonts w:cs="Arial"/>
          <w:szCs w:val="24"/>
          <w:lang w:eastAsia="en-AU"/>
        </w:rPr>
        <w:t xml:space="preserve">allows for the Legislative Assembly to make laws to establish a Territory Planning Authority and for that Authority to prepare and administer a Territory Plan.  </w:t>
      </w:r>
    </w:p>
    <w:p w:rsidR="00BB0F2C" w:rsidRDefault="00BB0F2C">
      <w:pPr>
        <w:autoSpaceDE w:val="0"/>
        <w:autoSpaceDN w:val="0"/>
        <w:adjustRightInd w:val="0"/>
        <w:spacing w:before="120"/>
        <w:rPr>
          <w:rFonts w:cs="Arial"/>
          <w:szCs w:val="24"/>
          <w:lang w:eastAsia="en-AU"/>
        </w:rPr>
      </w:pPr>
      <w:r>
        <w:rPr>
          <w:rFonts w:cs="Arial"/>
          <w:szCs w:val="24"/>
          <w:lang w:eastAsia="en-AU"/>
        </w:rPr>
        <w:t xml:space="preserve">The </w:t>
      </w:r>
      <w:r>
        <w:rPr>
          <w:rFonts w:cs="Arial"/>
          <w:i/>
          <w:iCs/>
          <w:szCs w:val="24"/>
          <w:lang w:eastAsia="en-AU"/>
        </w:rPr>
        <w:t xml:space="preserve">Planning and Development Act 2007 </w:t>
      </w:r>
      <w:r>
        <w:rPr>
          <w:rFonts w:cs="Arial"/>
          <w:iCs/>
        </w:rPr>
        <w:t xml:space="preserve">(the Act) </w:t>
      </w:r>
      <w:r>
        <w:rPr>
          <w:rFonts w:cs="Arial"/>
          <w:szCs w:val="24"/>
          <w:lang w:eastAsia="en-AU"/>
        </w:rPr>
        <w:t>establishes the ACT Planning and Land Authority as the Authority which prepares and administers the Territory Plan, including continually reviewing and proposing amendments as necessary.</w:t>
      </w:r>
    </w:p>
    <w:p w:rsidR="00BB0F2C" w:rsidRDefault="00BB0F2C">
      <w:pPr>
        <w:spacing w:before="120"/>
        <w:rPr>
          <w:rFonts w:cs="Arial"/>
        </w:rPr>
      </w:pPr>
      <w:r>
        <w:rPr>
          <w:rFonts w:cs="Arial"/>
        </w:rPr>
        <w:t xml:space="preserve">Technical amendments to the Territory Plan are prepared in accordance with the </w:t>
      </w:r>
      <w:r>
        <w:rPr>
          <w:rFonts w:cs="Arial"/>
          <w:iCs/>
        </w:rPr>
        <w:t>Act</w:t>
      </w:r>
      <w:r>
        <w:rPr>
          <w:rFonts w:cs="Arial"/>
        </w:rPr>
        <w:t xml:space="preserve">.  </w:t>
      </w:r>
    </w:p>
    <w:p w:rsidR="00BB0F2C" w:rsidRDefault="00BB0F2C">
      <w:pPr>
        <w:spacing w:before="120"/>
        <w:rPr>
          <w:rFonts w:cs="Arial"/>
        </w:rPr>
      </w:pPr>
      <w:r>
        <w:rPr>
          <w:rFonts w:cs="Arial"/>
        </w:rPr>
        <w:t>A code variation is a technical amendment that</w:t>
      </w:r>
    </w:p>
    <w:p w:rsidR="00BB0F2C" w:rsidRDefault="00BB0F2C">
      <w:pPr>
        <w:pStyle w:val="BodyText"/>
        <w:numPr>
          <w:ilvl w:val="0"/>
          <w:numId w:val="15"/>
        </w:numPr>
        <w:tabs>
          <w:tab w:val="left" w:pos="1440"/>
        </w:tabs>
        <w:spacing w:before="120" w:after="120"/>
        <w:ind w:left="1287"/>
        <w:rPr>
          <w:rFonts w:cs="Arial"/>
          <w:b w:val="0"/>
          <w:sz w:val="24"/>
          <w:szCs w:val="24"/>
        </w:rPr>
      </w:pPr>
      <w:r>
        <w:rPr>
          <w:rFonts w:cs="Arial"/>
          <w:b w:val="0"/>
          <w:sz w:val="24"/>
          <w:szCs w:val="24"/>
        </w:rPr>
        <w:t>would only change a code; and</w:t>
      </w:r>
    </w:p>
    <w:p w:rsidR="00BB0F2C" w:rsidRDefault="00BB0F2C">
      <w:pPr>
        <w:pStyle w:val="BodyText"/>
        <w:numPr>
          <w:ilvl w:val="0"/>
          <w:numId w:val="15"/>
        </w:numPr>
        <w:tabs>
          <w:tab w:val="left" w:pos="1440"/>
        </w:tabs>
        <w:spacing w:after="120"/>
        <w:ind w:left="1440" w:hanging="873"/>
        <w:rPr>
          <w:rFonts w:cs="Arial"/>
          <w:b w:val="0"/>
          <w:sz w:val="24"/>
          <w:szCs w:val="24"/>
        </w:rPr>
      </w:pPr>
      <w:r>
        <w:rPr>
          <w:rFonts w:cs="Arial"/>
          <w:b w:val="0"/>
          <w:sz w:val="24"/>
          <w:szCs w:val="24"/>
        </w:rPr>
        <w:t xml:space="preserve">is consistent with the policy purpose and policy framework of the code; and </w:t>
      </w:r>
    </w:p>
    <w:p w:rsidR="00BB0F2C" w:rsidRDefault="00BB0F2C">
      <w:pPr>
        <w:pStyle w:val="BodyText"/>
        <w:numPr>
          <w:ilvl w:val="0"/>
          <w:numId w:val="15"/>
        </w:numPr>
        <w:tabs>
          <w:tab w:val="left" w:pos="1440"/>
        </w:tabs>
        <w:spacing w:after="120"/>
        <w:ind w:left="1287"/>
        <w:rPr>
          <w:rFonts w:cs="Arial"/>
          <w:b w:val="0"/>
          <w:sz w:val="24"/>
          <w:szCs w:val="24"/>
        </w:rPr>
      </w:pPr>
      <w:r>
        <w:rPr>
          <w:rFonts w:cs="Arial"/>
          <w:b w:val="0"/>
          <w:sz w:val="24"/>
          <w:szCs w:val="24"/>
        </w:rPr>
        <w:t>is not an error variation.</w:t>
      </w:r>
    </w:p>
    <w:p w:rsidR="00BB0F2C" w:rsidRDefault="00BB0F2C">
      <w:pPr>
        <w:spacing w:before="120"/>
        <w:rPr>
          <w:rFonts w:cs="Arial"/>
        </w:rPr>
      </w:pPr>
      <w:r>
        <w:rPr>
          <w:rFonts w:cs="Arial"/>
        </w:rPr>
        <w:t xml:space="preserve">Following the release of the code variation under section 90 of the Act, submissions from the public are invited.  At the conclusion of the limited consultation period, any representations are considered by the ACT Planning and Land Authority (the Authority). The Authority then determines a day when the code variation is to commence by way of a Commencement Notice.  </w:t>
      </w:r>
    </w:p>
    <w:p w:rsidR="00BB0F2C" w:rsidRDefault="00BB0F2C">
      <w:pPr>
        <w:spacing w:before="120"/>
        <w:rPr>
          <w:rFonts w:cs="Arial"/>
        </w:rPr>
      </w:pPr>
    </w:p>
    <w:p w:rsidR="00BB0F2C" w:rsidRDefault="00BB0F2C">
      <w:pPr>
        <w:pStyle w:val="Head1"/>
        <w:numPr>
          <w:ilvl w:val="0"/>
          <w:numId w:val="3"/>
        </w:numPr>
        <w:tabs>
          <w:tab w:val="num" w:pos="709"/>
        </w:tabs>
        <w:ind w:left="709"/>
        <w:rPr>
          <w:rFonts w:ascii="Arial" w:hAnsi="Arial" w:cs="Arial"/>
          <w:sz w:val="28"/>
          <w:szCs w:val="28"/>
          <w:lang w:eastAsia="en-AU"/>
        </w:rPr>
      </w:pPr>
      <w:bookmarkStart w:id="3" w:name="_Toc211682931"/>
      <w:bookmarkStart w:id="4" w:name="_Toc241640187"/>
      <w:r>
        <w:rPr>
          <w:rFonts w:ascii="Arial" w:hAnsi="Arial" w:cs="Arial"/>
          <w:sz w:val="28"/>
          <w:szCs w:val="28"/>
          <w:lang w:eastAsia="en-AU"/>
        </w:rPr>
        <w:t xml:space="preserve">. </w:t>
      </w:r>
      <w:r>
        <w:rPr>
          <w:rFonts w:ascii="Arial" w:hAnsi="Arial" w:cs="Arial"/>
          <w:sz w:val="28"/>
          <w:szCs w:val="28"/>
          <w:lang w:eastAsia="en-AU"/>
        </w:rPr>
        <w:tab/>
        <w:t>EXPLANATORY STATEMENT</w:t>
      </w:r>
      <w:bookmarkEnd w:id="3"/>
      <w:bookmarkEnd w:id="4"/>
    </w:p>
    <w:p w:rsidR="00BB0F2C" w:rsidRDefault="00BB0F2C">
      <w:pPr>
        <w:pStyle w:val="Head2"/>
        <w:numPr>
          <w:ilvl w:val="0"/>
          <w:numId w:val="0"/>
        </w:numPr>
        <w:spacing w:before="120"/>
        <w:rPr>
          <w:rFonts w:ascii="Arial" w:hAnsi="Arial" w:cs="Arial"/>
          <w:sz w:val="28"/>
          <w:szCs w:val="28"/>
          <w:lang w:eastAsia="en-AU"/>
        </w:rPr>
      </w:pPr>
      <w:bookmarkStart w:id="5" w:name="_Toc241640188"/>
      <w:bookmarkStart w:id="6" w:name="_Toc211682932"/>
      <w:r>
        <w:rPr>
          <w:rFonts w:ascii="Arial" w:hAnsi="Arial" w:cs="Arial"/>
          <w:sz w:val="28"/>
          <w:szCs w:val="28"/>
          <w:lang w:eastAsia="en-AU"/>
        </w:rPr>
        <w:t>Introduction</w:t>
      </w:r>
      <w:bookmarkEnd w:id="5"/>
    </w:p>
    <w:p w:rsidR="00BB0F2C" w:rsidRDefault="00BB0F2C">
      <w:pPr>
        <w:pStyle w:val="BodyText"/>
        <w:spacing w:before="120"/>
        <w:ind w:left="567"/>
        <w:rPr>
          <w:rFonts w:cs="Arial"/>
          <w:b w:val="0"/>
          <w:sz w:val="24"/>
          <w:szCs w:val="24"/>
        </w:rPr>
      </w:pPr>
      <w:r>
        <w:rPr>
          <w:rFonts w:cs="Arial"/>
          <w:b w:val="0"/>
          <w:sz w:val="24"/>
        </w:rPr>
        <w:t xml:space="preserve">The technical amendment introduces a new Part C(4) </w:t>
      </w:r>
      <w:r>
        <w:rPr>
          <w:rFonts w:cs="Arial"/>
          <w:b w:val="0"/>
          <w:sz w:val="24"/>
          <w:szCs w:val="24"/>
        </w:rPr>
        <w:t>– Single Dwelling Housing – Mid Sized Blocks (&gt;250 – 500m</w:t>
      </w:r>
      <w:r>
        <w:rPr>
          <w:rFonts w:cs="Arial"/>
          <w:b w:val="0"/>
          <w:sz w:val="24"/>
          <w:szCs w:val="24"/>
          <w:vertAlign w:val="superscript"/>
        </w:rPr>
        <w:t>2</w:t>
      </w:r>
      <w:r>
        <w:rPr>
          <w:rFonts w:cs="Arial"/>
          <w:b w:val="0"/>
          <w:sz w:val="24"/>
          <w:szCs w:val="24"/>
        </w:rPr>
        <w:t>) in New Estates into the single dwelling housing development code.  Part C(4) of the code provides additional controls to, or controls that are to be applied in lieu of those in Parts A and C(1) for single dwellings.  Part B of the code also applies.</w:t>
      </w:r>
    </w:p>
    <w:p w:rsidR="00BB0F2C" w:rsidRDefault="00BB0F2C">
      <w:pPr>
        <w:pStyle w:val="BodyText"/>
        <w:spacing w:before="120"/>
        <w:ind w:left="567"/>
        <w:rPr>
          <w:rFonts w:cs="Arial"/>
          <w:b w:val="0"/>
          <w:sz w:val="24"/>
          <w:szCs w:val="24"/>
        </w:rPr>
      </w:pPr>
      <w:r>
        <w:rPr>
          <w:rFonts w:cs="Arial"/>
          <w:b w:val="0"/>
          <w:sz w:val="24"/>
          <w:szCs w:val="24"/>
        </w:rPr>
        <w:t>Part C(4) introduces provisions for front setbacks, side setbacks and rear setbacks of single dwelling housing on midsized blocks.  It also guides the design and siting of courtyard walls and private open space on midsized blocks.</w:t>
      </w:r>
    </w:p>
    <w:p w:rsidR="00BB0F2C" w:rsidRDefault="00BB0F2C">
      <w:pPr>
        <w:pStyle w:val="BodyText"/>
        <w:spacing w:before="120"/>
        <w:ind w:left="567"/>
        <w:rPr>
          <w:rFonts w:cs="Arial"/>
          <w:b w:val="0"/>
          <w:sz w:val="24"/>
          <w:szCs w:val="24"/>
        </w:rPr>
      </w:pPr>
      <w:r>
        <w:rPr>
          <w:rFonts w:cs="Arial"/>
          <w:b w:val="0"/>
          <w:sz w:val="24"/>
          <w:szCs w:val="24"/>
        </w:rPr>
        <w:t>In addition to Part C(4), the technical amendment makes provision for residential blocks of any size where identified in a concept plan (precinct code) to comply, as necessary, with the relevant bushfire provisions of the Building Code of Australia.</w:t>
      </w:r>
    </w:p>
    <w:p w:rsidR="00BB0F2C" w:rsidRDefault="00BB0F2C">
      <w:pPr>
        <w:pStyle w:val="BodyText"/>
        <w:spacing w:before="120"/>
        <w:ind w:left="567"/>
        <w:rPr>
          <w:rFonts w:cs="Arial"/>
          <w:b w:val="0"/>
          <w:sz w:val="24"/>
          <w:szCs w:val="24"/>
        </w:rPr>
      </w:pPr>
      <w:r>
        <w:rPr>
          <w:rFonts w:cs="Arial"/>
          <w:b w:val="0"/>
          <w:sz w:val="24"/>
          <w:szCs w:val="24"/>
        </w:rPr>
        <w:t>Provision is also made for surveillance blocks where identified in a concept plan (precinct code) to ensure that there are habitable rooms with windows overlooking the rear lane.</w:t>
      </w:r>
    </w:p>
    <w:p w:rsidR="00BB0F2C" w:rsidRDefault="00BB0F2C">
      <w:pPr>
        <w:pStyle w:val="BodyText"/>
        <w:spacing w:before="120"/>
        <w:ind w:left="567"/>
        <w:rPr>
          <w:rFonts w:cs="Arial"/>
          <w:b w:val="0"/>
          <w:sz w:val="24"/>
          <w:szCs w:val="24"/>
        </w:rPr>
      </w:pPr>
      <w:r>
        <w:rPr>
          <w:rFonts w:cs="Arial"/>
          <w:b w:val="0"/>
          <w:sz w:val="24"/>
          <w:szCs w:val="24"/>
        </w:rPr>
        <w:t>There are also a number of other related minor amendments to the single dwelling housing development code to ensure that it is updated to reflect the introduction of the new Part C(4).</w:t>
      </w:r>
    </w:p>
    <w:p w:rsidR="00BB0F2C" w:rsidRDefault="00BB0F2C">
      <w:pPr>
        <w:pStyle w:val="Head2"/>
        <w:numPr>
          <w:ilvl w:val="0"/>
          <w:numId w:val="0"/>
        </w:numPr>
        <w:spacing w:before="240"/>
        <w:rPr>
          <w:rFonts w:ascii="Arial" w:hAnsi="Arial" w:cs="Arial"/>
          <w:sz w:val="28"/>
          <w:szCs w:val="28"/>
          <w:lang w:eastAsia="en-AU"/>
        </w:rPr>
      </w:pPr>
      <w:bookmarkStart w:id="7" w:name="_Toc241640189"/>
      <w:r>
        <w:rPr>
          <w:rFonts w:ascii="Arial" w:hAnsi="Arial" w:cs="Arial"/>
          <w:sz w:val="28"/>
          <w:szCs w:val="28"/>
          <w:lang w:eastAsia="en-AU"/>
        </w:rPr>
        <w:t>Proposed Changes and Reasons</w:t>
      </w:r>
      <w:bookmarkEnd w:id="6"/>
      <w:bookmarkEnd w:id="7"/>
    </w:p>
    <w:p w:rsidR="00BB0F2C" w:rsidRDefault="00BB0F2C">
      <w:pPr>
        <w:ind w:left="567"/>
        <w:rPr>
          <w:rFonts w:cs="Arial"/>
          <w:szCs w:val="24"/>
        </w:rPr>
      </w:pPr>
      <w:r>
        <w:rPr>
          <w:rFonts w:cs="Arial"/>
          <w:szCs w:val="24"/>
        </w:rPr>
        <w:t>The residential and subdivision codes of the Territory Plan are currently under review.  In the mean time there is a need to continue to assess and decide estate development plans for new estates.</w:t>
      </w:r>
    </w:p>
    <w:p w:rsidR="00BB0F2C" w:rsidRDefault="00BB0F2C">
      <w:pPr>
        <w:spacing w:before="120"/>
        <w:ind w:left="567"/>
        <w:rPr>
          <w:rFonts w:cs="Arial"/>
          <w:szCs w:val="24"/>
        </w:rPr>
      </w:pPr>
      <w:r>
        <w:rPr>
          <w:rFonts w:cs="Arial"/>
          <w:szCs w:val="24"/>
        </w:rPr>
        <w:t>Some 40% of residential blocks in new estates fall into the midsized block range (&gt;250 – 500m</w:t>
      </w:r>
      <w:r>
        <w:rPr>
          <w:rFonts w:cs="Arial"/>
          <w:szCs w:val="24"/>
          <w:vertAlign w:val="superscript"/>
        </w:rPr>
        <w:t>2</w:t>
      </w:r>
      <w:r>
        <w:rPr>
          <w:rFonts w:cs="Arial"/>
          <w:szCs w:val="24"/>
        </w:rPr>
        <w:t xml:space="preserve">).  This reflects a general shift towards smaller residential blocks in order to improve housing efficiency and to increase housing choice.  </w:t>
      </w:r>
    </w:p>
    <w:p w:rsidR="00BB0F2C" w:rsidRDefault="00BB0F2C">
      <w:pPr>
        <w:spacing w:before="120"/>
        <w:ind w:left="567"/>
        <w:rPr>
          <w:rFonts w:cs="Arial"/>
        </w:rPr>
      </w:pPr>
      <w:r>
        <w:rPr>
          <w:rFonts w:cs="Arial"/>
        </w:rPr>
        <w:t xml:space="preserve">The existing Territory Plan provisions were designed to accommodate predominantly standard residential blocks greater than 500m </w:t>
      </w:r>
      <w:r>
        <w:rPr>
          <w:rFonts w:cs="Arial"/>
          <w:vertAlign w:val="superscript"/>
        </w:rPr>
        <w:t>2</w:t>
      </w:r>
      <w:r>
        <w:rPr>
          <w:rFonts w:cs="Arial"/>
        </w:rPr>
        <w:t xml:space="preserve">.   In </w:t>
      </w:r>
    </w:p>
    <w:p w:rsidR="00BB0F2C" w:rsidRDefault="00BB0F2C">
      <w:pPr>
        <w:spacing w:before="120"/>
        <w:ind w:left="567"/>
        <w:rPr>
          <w:rFonts w:cs="Arial"/>
        </w:rPr>
      </w:pPr>
      <w:r>
        <w:rPr>
          <w:rFonts w:cs="Arial"/>
        </w:rPr>
        <w:t>March 2008, the compact block provisions were introduced to accommodate blocks 250m</w:t>
      </w:r>
      <w:r>
        <w:rPr>
          <w:rFonts w:cs="Arial"/>
          <w:vertAlign w:val="superscript"/>
        </w:rPr>
        <w:t>2</w:t>
      </w:r>
      <w:r>
        <w:rPr>
          <w:rFonts w:cs="Arial"/>
        </w:rPr>
        <w:t xml:space="preserve"> or less.  The proposed technical amendment deals with blocks greater than 250m</w:t>
      </w:r>
      <w:r>
        <w:rPr>
          <w:rFonts w:cs="Arial"/>
          <w:vertAlign w:val="superscript"/>
        </w:rPr>
        <w:t>2</w:t>
      </w:r>
      <w:r>
        <w:rPr>
          <w:rFonts w:cs="Arial"/>
        </w:rPr>
        <w:t xml:space="preserve"> up to and including blocks of 500m</w:t>
      </w:r>
      <w:r>
        <w:rPr>
          <w:rFonts w:cs="Arial"/>
          <w:vertAlign w:val="superscript"/>
        </w:rPr>
        <w:t>2</w:t>
      </w:r>
      <w:r>
        <w:rPr>
          <w:rFonts w:cs="Arial"/>
        </w:rPr>
        <w:t xml:space="preserve">.  </w:t>
      </w:r>
    </w:p>
    <w:p w:rsidR="00BB0F2C" w:rsidRDefault="00BB0F2C">
      <w:pPr>
        <w:spacing w:before="120"/>
        <w:ind w:left="567"/>
        <w:rPr>
          <w:rFonts w:cs="Arial"/>
        </w:rPr>
      </w:pPr>
      <w:r>
        <w:rPr>
          <w:rFonts w:cs="Arial"/>
        </w:rPr>
        <w:t>The intent of the technical amendments is to provide a greater opportunity for single dwellings on midsized blocks to be exempt from requiring development approval whilst still retaining residential amenity and increased housing choice.</w:t>
      </w:r>
    </w:p>
    <w:p w:rsidR="00BB0F2C" w:rsidRDefault="00BB0F2C">
      <w:pPr>
        <w:spacing w:before="120"/>
        <w:ind w:left="567"/>
        <w:rPr>
          <w:rFonts w:cs="Arial"/>
        </w:rPr>
      </w:pPr>
      <w:r>
        <w:rPr>
          <w:rFonts w:cs="Arial"/>
        </w:rPr>
        <w:t>The midsized block provisions contained in Part C(4) will be reviewed as part of the broader review of the residential and subdivision codes.  This may result in changes to these provisions in the future.</w:t>
      </w:r>
    </w:p>
    <w:p w:rsidR="00BB0F2C" w:rsidRDefault="00BB0F2C">
      <w:pPr>
        <w:spacing w:before="120"/>
        <w:ind w:left="567"/>
        <w:rPr>
          <w:rFonts w:cs="Arial"/>
        </w:rPr>
      </w:pPr>
      <w:r>
        <w:rPr>
          <w:rFonts w:cs="Arial"/>
        </w:rPr>
        <w:t xml:space="preserve">The exhibited draft Technical Amendment for midsize blocks and other amendments to the Single Dwelling Housing Development Code attracted six submissions, including two late submissions which were granted extensions of time.  The provisions were amended as a result of the submissions.  </w:t>
      </w:r>
    </w:p>
    <w:p w:rsidR="00BB0F2C" w:rsidRDefault="00BB0F2C">
      <w:pPr>
        <w:ind w:left="360"/>
        <w:rPr>
          <w:rFonts w:cs="Arial"/>
        </w:rPr>
      </w:pPr>
    </w:p>
    <w:p w:rsidR="00BB0F2C" w:rsidRDefault="00BB0F2C">
      <w:pPr>
        <w:ind w:left="360"/>
        <w:rPr>
          <w:rFonts w:cs="Arial"/>
        </w:rPr>
        <w:sectPr w:rsidR="00BB0F2C">
          <w:footerReference w:type="default" r:id="rId17"/>
          <w:footerReference w:type="first" r:id="rId18"/>
          <w:pgSz w:w="11907" w:h="16840"/>
          <w:pgMar w:top="1247" w:right="1531" w:bottom="1418" w:left="1531" w:header="720" w:footer="720" w:gutter="0"/>
          <w:paperSrc w:first="7" w:other="7"/>
          <w:pgNumType w:start="1"/>
          <w:cols w:space="720"/>
          <w:titlePg/>
        </w:sectPr>
      </w:pPr>
    </w:p>
    <w:p w:rsidR="00BB0F2C" w:rsidRDefault="00BB0F2C">
      <w:pPr>
        <w:ind w:left="360"/>
        <w:rPr>
          <w:rFonts w:cs="Arial"/>
        </w:rPr>
      </w:pPr>
    </w:p>
    <w:p w:rsidR="00BB0F2C" w:rsidRDefault="00BB0F2C">
      <w:pPr>
        <w:pStyle w:val="Head1"/>
        <w:numPr>
          <w:ilvl w:val="0"/>
          <w:numId w:val="0"/>
        </w:numPr>
        <w:rPr>
          <w:rFonts w:ascii="Arial" w:hAnsi="Arial" w:cs="Arial"/>
          <w:color w:val="000000"/>
        </w:rPr>
      </w:pPr>
      <w:bookmarkStart w:id="8" w:name="_Toc211682933"/>
      <w:bookmarkStart w:id="9" w:name="_Toc241640190"/>
      <w:r>
        <w:rPr>
          <w:rFonts w:ascii="Arial" w:hAnsi="Arial" w:cs="Arial"/>
          <w:color w:val="000000"/>
        </w:rPr>
        <w:t>3.</w:t>
      </w:r>
      <w:r>
        <w:rPr>
          <w:rFonts w:ascii="Arial" w:hAnsi="Arial" w:cs="Arial"/>
          <w:color w:val="000000"/>
        </w:rPr>
        <w:tab/>
        <w:t xml:space="preserve"> </w:t>
      </w:r>
      <w:r>
        <w:rPr>
          <w:rFonts w:ascii="Arial" w:hAnsi="Arial" w:cs="Arial"/>
          <w:color w:val="000000"/>
        </w:rPr>
        <w:tab/>
        <w:t>TECHNICAL AMENDMENT</w:t>
      </w:r>
      <w:bookmarkEnd w:id="8"/>
      <w:bookmarkEnd w:id="9"/>
    </w:p>
    <w:p w:rsidR="00BB0F2C" w:rsidRDefault="00BB0F2C">
      <w:pPr>
        <w:pStyle w:val="Head2"/>
        <w:numPr>
          <w:ilvl w:val="0"/>
          <w:numId w:val="0"/>
        </w:numPr>
        <w:spacing w:before="240" w:after="0"/>
        <w:rPr>
          <w:rFonts w:ascii="Arial" w:hAnsi="Arial" w:cs="Arial"/>
          <w:color w:val="000000"/>
          <w:sz w:val="28"/>
          <w:szCs w:val="28"/>
        </w:rPr>
      </w:pPr>
      <w:bookmarkStart w:id="10" w:name="_Toc241640191"/>
      <w:bookmarkStart w:id="11" w:name="_Toc211682934"/>
      <w:r>
        <w:rPr>
          <w:rFonts w:ascii="Arial" w:hAnsi="Arial" w:cs="Arial"/>
          <w:color w:val="000000"/>
          <w:sz w:val="28"/>
          <w:szCs w:val="28"/>
        </w:rPr>
        <w:t>Variation to the Single Dwelling Housing Development Code</w:t>
      </w:r>
      <w:bookmarkEnd w:id="10"/>
      <w:r>
        <w:rPr>
          <w:rFonts w:ascii="Arial" w:hAnsi="Arial" w:cs="Arial"/>
          <w:color w:val="000000"/>
          <w:sz w:val="28"/>
          <w:szCs w:val="28"/>
        </w:rPr>
        <w:t xml:space="preserve"> </w:t>
      </w:r>
    </w:p>
    <w:p w:rsidR="00BB0F2C" w:rsidRDefault="00BB0F2C">
      <w:pPr>
        <w:pStyle w:val="AH5Sec"/>
        <w:numPr>
          <w:ilvl w:val="0"/>
          <w:numId w:val="0"/>
        </w:numPr>
        <w:shd w:val="pct25" w:color="auto" w:fill="auto"/>
        <w:ind w:left="1100" w:hanging="1100"/>
      </w:pPr>
      <w:r>
        <w:t>1</w:t>
      </w:r>
      <w:r>
        <w:tab/>
        <w:t>Introduction Structure of codes</w:t>
      </w:r>
    </w:p>
    <w:p w:rsidR="00BB0F2C" w:rsidRDefault="00BB0F2C">
      <w:pPr>
        <w:pStyle w:val="direction"/>
        <w:rPr>
          <w:i w:val="0"/>
        </w:rPr>
      </w:pPr>
      <w:r>
        <w:t xml:space="preserve">Add the following dot point after the dot point for </w:t>
      </w:r>
      <w:r>
        <w:rPr>
          <w:b/>
        </w:rPr>
        <w:t>Part C(3)</w:t>
      </w:r>
      <w:r>
        <w:t xml:space="preserve">: </w:t>
      </w:r>
    </w:p>
    <w:p w:rsidR="00BB0F2C" w:rsidRDefault="00BB0F2C">
      <w:pPr>
        <w:rPr>
          <w:sz w:val="20"/>
        </w:rPr>
      </w:pPr>
    </w:p>
    <w:p w:rsidR="00BB0F2C" w:rsidRDefault="00BB0F2C">
      <w:pPr>
        <w:numPr>
          <w:ilvl w:val="0"/>
          <w:numId w:val="8"/>
        </w:numPr>
        <w:rPr>
          <w:sz w:val="20"/>
        </w:rPr>
      </w:pPr>
      <w:r>
        <w:rPr>
          <w:b/>
          <w:sz w:val="20"/>
        </w:rPr>
        <w:t>Part C(4) Single dwelling housing – Mid Sized Blocks (&gt;250 – 500m</w:t>
      </w:r>
      <w:r>
        <w:rPr>
          <w:b/>
          <w:sz w:val="20"/>
          <w:vertAlign w:val="superscript"/>
        </w:rPr>
        <w:t>2</w:t>
      </w:r>
      <w:r>
        <w:rPr>
          <w:b/>
          <w:sz w:val="20"/>
        </w:rPr>
        <w:t xml:space="preserve">) in New Estates </w:t>
      </w:r>
      <w:r>
        <w:rPr>
          <w:sz w:val="20"/>
        </w:rPr>
        <w:t>provide the controls for single dwelling housing on residential blocks with a site area of greater than 250m</w:t>
      </w:r>
      <w:r>
        <w:rPr>
          <w:sz w:val="20"/>
          <w:vertAlign w:val="superscript"/>
        </w:rPr>
        <w:t>2</w:t>
      </w:r>
      <w:r>
        <w:rPr>
          <w:sz w:val="20"/>
        </w:rPr>
        <w:t xml:space="preserve"> up to and including 500m</w:t>
      </w:r>
      <w:r>
        <w:rPr>
          <w:sz w:val="20"/>
          <w:vertAlign w:val="superscript"/>
        </w:rPr>
        <w:t>2</w:t>
      </w:r>
      <w:r>
        <w:rPr>
          <w:sz w:val="20"/>
        </w:rPr>
        <w:t xml:space="preserve"> in new estates.</w:t>
      </w:r>
    </w:p>
    <w:p w:rsidR="00BB0F2C" w:rsidRDefault="00BB0F2C"/>
    <w:p w:rsidR="00BB0F2C" w:rsidRDefault="00BB0F2C">
      <w:pPr>
        <w:pStyle w:val="BodyText"/>
        <w:rPr>
          <w:lang w:val="en-AU"/>
        </w:rPr>
      </w:pPr>
    </w:p>
    <w:p w:rsidR="00BB0F2C" w:rsidRDefault="00BB0F2C">
      <w:pPr>
        <w:pStyle w:val="BodyText"/>
        <w:shd w:val="clear" w:color="auto" w:fill="BFBFBF"/>
        <w:tabs>
          <w:tab w:val="left" w:pos="426"/>
        </w:tabs>
        <w:spacing w:before="60" w:after="60" w:line="288" w:lineRule="auto"/>
        <w:ind w:left="360" w:hanging="360"/>
        <w:rPr>
          <w:rFonts w:cs="Arial"/>
          <w:sz w:val="24"/>
          <w:szCs w:val="24"/>
          <w:vertAlign w:val="superscript"/>
        </w:rPr>
      </w:pPr>
      <w:r>
        <w:rPr>
          <w:sz w:val="24"/>
          <w:szCs w:val="24"/>
        </w:rPr>
        <w:t>2</w:t>
      </w:r>
      <w:r>
        <w:rPr>
          <w:sz w:val="24"/>
          <w:szCs w:val="24"/>
        </w:rPr>
        <w:tab/>
      </w:r>
      <w:r>
        <w:rPr>
          <w:sz w:val="24"/>
          <w:szCs w:val="24"/>
        </w:rPr>
        <w:tab/>
      </w:r>
      <w:r>
        <w:rPr>
          <w:rFonts w:cs="Arial"/>
          <w:sz w:val="24"/>
          <w:szCs w:val="24"/>
        </w:rPr>
        <w:t>Part B – Additional Items 2.7 Bushfire and 2.8 Blocks between 500m</w:t>
      </w:r>
      <w:r>
        <w:rPr>
          <w:rFonts w:cs="Arial"/>
          <w:sz w:val="24"/>
          <w:szCs w:val="24"/>
          <w:vertAlign w:val="superscript"/>
        </w:rPr>
        <w:t xml:space="preserve">2 </w:t>
      </w:r>
      <w:r>
        <w:rPr>
          <w:rFonts w:cs="Arial"/>
          <w:sz w:val="24"/>
          <w:szCs w:val="24"/>
        </w:rPr>
        <w:t>and 550m</w:t>
      </w:r>
      <w:r>
        <w:rPr>
          <w:rFonts w:cs="Arial"/>
          <w:sz w:val="24"/>
          <w:szCs w:val="24"/>
          <w:vertAlign w:val="superscript"/>
        </w:rPr>
        <w:t>2</w:t>
      </w:r>
    </w:p>
    <w:p w:rsidR="00BB0F2C" w:rsidRDefault="00BB0F2C">
      <w:pPr>
        <w:pStyle w:val="BodyText"/>
        <w:tabs>
          <w:tab w:val="left" w:pos="426"/>
        </w:tabs>
        <w:spacing w:before="60" w:after="60" w:line="288" w:lineRule="auto"/>
        <w:rPr>
          <w:rFonts w:ascii="Times New Roman" w:hAnsi="Times New Roman"/>
          <w:b w:val="0"/>
          <w:i/>
          <w:sz w:val="24"/>
          <w:szCs w:val="24"/>
        </w:rPr>
      </w:pPr>
      <w:r>
        <w:rPr>
          <w:rFonts w:cs="Arial"/>
          <w:b w:val="0"/>
          <w:color w:val="FF0000"/>
          <w:sz w:val="20"/>
        </w:rPr>
        <w:tab/>
      </w:r>
      <w:r>
        <w:rPr>
          <w:rFonts w:cs="Arial"/>
          <w:b w:val="0"/>
          <w:color w:val="FF0000"/>
          <w:sz w:val="20"/>
        </w:rPr>
        <w:tab/>
      </w:r>
      <w:r>
        <w:rPr>
          <w:rFonts w:ascii="Times New Roman" w:hAnsi="Times New Roman"/>
          <w:b w:val="0"/>
          <w:i/>
          <w:sz w:val="24"/>
          <w:szCs w:val="24"/>
        </w:rPr>
        <w:t>Insert the following additional Item 2.7 Rule 18A after Rule 18 item 2.6 Plot Ratio:</w:t>
      </w:r>
    </w:p>
    <w:p w:rsidR="00BB0F2C" w:rsidRDefault="00BB0F2C">
      <w:pPr>
        <w:pStyle w:val="BodyText"/>
        <w:tabs>
          <w:tab w:val="left" w:pos="426"/>
        </w:tabs>
        <w:spacing w:before="60" w:after="60" w:line="288" w:lineRule="auto"/>
        <w:rPr>
          <w:rFonts w:ascii="Times New Roman" w:hAnsi="Times New Roman"/>
          <w:b w:val="0"/>
          <w:i/>
          <w:sz w:val="24"/>
          <w:szCs w:val="24"/>
        </w:rPr>
      </w:pPr>
      <w:r>
        <w:rPr>
          <w:rFonts w:ascii="Times New Roman" w:hAnsi="Times New Roman"/>
          <w:b w:val="0"/>
          <w:i/>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792"/>
      </w:tblGrid>
      <w:tr w:rsidR="00BB0F2C">
        <w:tc>
          <w:tcPr>
            <w:tcW w:w="4530" w:type="dxa"/>
            <w:tcBorders>
              <w:right w:val="nil"/>
            </w:tcBorders>
            <w:shd w:val="clear" w:color="auto" w:fill="E0E0E0"/>
          </w:tcPr>
          <w:p w:rsidR="00BB0F2C" w:rsidRDefault="00BB0F2C">
            <w:pPr>
              <w:pStyle w:val="BodyText"/>
              <w:tabs>
                <w:tab w:val="left" w:pos="426"/>
              </w:tabs>
              <w:spacing w:before="60" w:after="60" w:line="288" w:lineRule="auto"/>
              <w:rPr>
                <w:rFonts w:cs="Arial"/>
                <w:sz w:val="20"/>
              </w:rPr>
            </w:pPr>
            <w:r>
              <w:rPr>
                <w:rFonts w:cs="Arial"/>
                <w:sz w:val="20"/>
              </w:rPr>
              <w:t xml:space="preserve">2.7 Bushfire </w:t>
            </w:r>
          </w:p>
        </w:tc>
        <w:tc>
          <w:tcPr>
            <w:tcW w:w="4792" w:type="dxa"/>
            <w:tcBorders>
              <w:left w:val="nil"/>
            </w:tcBorders>
            <w:shd w:val="clear" w:color="auto" w:fill="E0E0E0"/>
          </w:tcPr>
          <w:p w:rsidR="00BB0F2C" w:rsidRDefault="00BB0F2C">
            <w:pPr>
              <w:pStyle w:val="BodyText"/>
              <w:tabs>
                <w:tab w:val="left" w:pos="426"/>
              </w:tabs>
              <w:spacing w:before="60" w:after="60" w:line="288" w:lineRule="auto"/>
              <w:rPr>
                <w:rFonts w:cs="Arial"/>
                <w:sz w:val="20"/>
              </w:rPr>
            </w:pPr>
          </w:p>
        </w:tc>
      </w:tr>
      <w:tr w:rsidR="00BB0F2C">
        <w:tc>
          <w:tcPr>
            <w:tcW w:w="4530" w:type="dxa"/>
          </w:tcPr>
          <w:p w:rsidR="00BB0F2C" w:rsidRDefault="00BB0F2C">
            <w:pPr>
              <w:pStyle w:val="BodyText"/>
              <w:tabs>
                <w:tab w:val="left" w:pos="426"/>
              </w:tabs>
              <w:spacing w:before="60" w:after="60" w:line="288" w:lineRule="auto"/>
              <w:rPr>
                <w:rFonts w:cs="Arial"/>
                <w:b w:val="0"/>
                <w:sz w:val="20"/>
              </w:rPr>
            </w:pPr>
            <w:r>
              <w:rPr>
                <w:rFonts w:cs="Arial"/>
                <w:b w:val="0"/>
                <w:sz w:val="20"/>
              </w:rPr>
              <w:t xml:space="preserve">R20A </w:t>
            </w:r>
          </w:p>
          <w:p w:rsidR="00BB0F2C" w:rsidRDefault="00BB0F2C">
            <w:pPr>
              <w:pStyle w:val="BodyText"/>
              <w:tabs>
                <w:tab w:val="left" w:pos="426"/>
              </w:tabs>
              <w:spacing w:before="60" w:after="60" w:line="288" w:lineRule="auto"/>
              <w:rPr>
                <w:rFonts w:cs="Arial"/>
                <w:b w:val="0"/>
                <w:sz w:val="20"/>
              </w:rPr>
            </w:pPr>
            <w:r>
              <w:rPr>
                <w:rFonts w:cs="Arial"/>
                <w:b w:val="0"/>
                <w:sz w:val="20"/>
              </w:rPr>
              <w:t xml:space="preserve">Where identified in a Precinct Code or Lease and Development Conditions as being within a bushfire prone area buildings are to be constructed in accordance with the relevant BCA bushfire provisions. </w:t>
            </w:r>
          </w:p>
        </w:tc>
        <w:tc>
          <w:tcPr>
            <w:tcW w:w="4792" w:type="dxa"/>
          </w:tcPr>
          <w:p w:rsidR="00BB0F2C" w:rsidRDefault="00BB0F2C">
            <w:pPr>
              <w:pStyle w:val="BodyText"/>
              <w:tabs>
                <w:tab w:val="left" w:pos="426"/>
              </w:tabs>
              <w:spacing w:before="60" w:after="60" w:line="288" w:lineRule="auto"/>
              <w:rPr>
                <w:rFonts w:cs="Arial"/>
                <w:b w:val="0"/>
                <w:sz w:val="20"/>
              </w:rPr>
            </w:pPr>
          </w:p>
          <w:p w:rsidR="00BB0F2C" w:rsidRDefault="00BB0F2C">
            <w:pPr>
              <w:pStyle w:val="BodyText"/>
              <w:tabs>
                <w:tab w:val="left" w:pos="426"/>
              </w:tabs>
              <w:spacing w:before="60" w:after="60" w:line="288" w:lineRule="auto"/>
              <w:rPr>
                <w:rFonts w:cs="Arial"/>
                <w:b w:val="0"/>
                <w:sz w:val="20"/>
              </w:rPr>
            </w:pPr>
            <w:r>
              <w:rPr>
                <w:rFonts w:cs="Arial"/>
                <w:b w:val="0"/>
                <w:sz w:val="20"/>
              </w:rPr>
              <w:t>This is a mandatory requirement.  There is no applicable criterion.</w:t>
            </w:r>
          </w:p>
        </w:tc>
      </w:tr>
      <w:tr w:rsidR="00BB0F2C">
        <w:tc>
          <w:tcPr>
            <w:tcW w:w="4530" w:type="dxa"/>
            <w:shd w:val="clear" w:color="auto" w:fill="E6E6E6"/>
          </w:tcPr>
          <w:p w:rsidR="00BB0F2C" w:rsidRDefault="00BB0F2C">
            <w:pPr>
              <w:pStyle w:val="BodyText"/>
              <w:tabs>
                <w:tab w:val="left" w:pos="426"/>
              </w:tabs>
              <w:spacing w:before="60" w:after="60" w:line="288" w:lineRule="auto"/>
              <w:rPr>
                <w:rFonts w:cs="Arial"/>
                <w:sz w:val="20"/>
              </w:rPr>
            </w:pPr>
            <w:r>
              <w:rPr>
                <w:rFonts w:cs="Arial"/>
                <w:sz w:val="20"/>
              </w:rPr>
              <w:t>2.8 Blocks between 500m</w:t>
            </w:r>
            <w:r>
              <w:rPr>
                <w:rFonts w:cs="Arial"/>
                <w:sz w:val="20"/>
                <w:vertAlign w:val="superscript"/>
              </w:rPr>
              <w:t>2</w:t>
            </w:r>
            <w:r>
              <w:rPr>
                <w:rFonts w:cs="Arial"/>
                <w:sz w:val="20"/>
              </w:rPr>
              <w:t xml:space="preserve"> and 550m</w:t>
            </w:r>
            <w:r>
              <w:rPr>
                <w:rFonts w:cs="Arial"/>
                <w:sz w:val="20"/>
                <w:vertAlign w:val="superscript"/>
              </w:rPr>
              <w:t>2</w:t>
            </w:r>
          </w:p>
        </w:tc>
        <w:tc>
          <w:tcPr>
            <w:tcW w:w="4792" w:type="dxa"/>
            <w:shd w:val="clear" w:color="auto" w:fill="E6E6E6"/>
          </w:tcPr>
          <w:p w:rsidR="00BB0F2C" w:rsidRDefault="00BB0F2C">
            <w:pPr>
              <w:pStyle w:val="BodyText"/>
              <w:tabs>
                <w:tab w:val="left" w:pos="426"/>
              </w:tabs>
              <w:spacing w:before="60" w:after="60" w:line="288" w:lineRule="auto"/>
              <w:rPr>
                <w:rFonts w:cs="Arial"/>
                <w:sz w:val="20"/>
              </w:rPr>
            </w:pPr>
          </w:p>
        </w:tc>
      </w:tr>
      <w:tr w:rsidR="00BB0F2C">
        <w:tc>
          <w:tcPr>
            <w:tcW w:w="4530" w:type="dxa"/>
          </w:tcPr>
          <w:p w:rsidR="00BB0F2C" w:rsidRDefault="00BB0F2C">
            <w:pPr>
              <w:pStyle w:val="BodyText"/>
              <w:tabs>
                <w:tab w:val="left" w:pos="426"/>
              </w:tabs>
              <w:spacing w:before="60" w:after="60" w:line="288" w:lineRule="auto"/>
              <w:rPr>
                <w:rFonts w:cs="Arial"/>
                <w:b w:val="0"/>
                <w:sz w:val="20"/>
              </w:rPr>
            </w:pPr>
            <w:r>
              <w:rPr>
                <w:rFonts w:cs="Arial"/>
                <w:b w:val="0"/>
                <w:sz w:val="20"/>
              </w:rPr>
              <w:t xml:space="preserve">R20B </w:t>
            </w:r>
          </w:p>
          <w:p w:rsidR="00BB0F2C" w:rsidRDefault="00BB0F2C">
            <w:pPr>
              <w:pStyle w:val="BodyText"/>
              <w:tabs>
                <w:tab w:val="left" w:pos="426"/>
              </w:tabs>
              <w:spacing w:before="60" w:after="60" w:line="288" w:lineRule="auto"/>
              <w:rPr>
                <w:rFonts w:cs="Arial"/>
                <w:b w:val="0"/>
                <w:sz w:val="20"/>
              </w:rPr>
            </w:pPr>
            <w:r>
              <w:rPr>
                <w:rFonts w:cs="Arial"/>
                <w:b w:val="0"/>
                <w:sz w:val="20"/>
              </w:rPr>
              <w:t>Where identified in a Precinct Code blocks from 500m</w:t>
            </w:r>
            <w:r>
              <w:rPr>
                <w:rFonts w:cs="Arial"/>
                <w:b w:val="0"/>
                <w:sz w:val="20"/>
                <w:vertAlign w:val="superscript"/>
              </w:rPr>
              <w:t>2</w:t>
            </w:r>
            <w:r>
              <w:rPr>
                <w:rFonts w:cs="Arial"/>
                <w:b w:val="0"/>
                <w:sz w:val="20"/>
              </w:rPr>
              <w:t xml:space="preserve"> up to 550m</w:t>
            </w:r>
            <w:r>
              <w:rPr>
                <w:rFonts w:cs="Arial"/>
                <w:b w:val="0"/>
                <w:sz w:val="20"/>
                <w:vertAlign w:val="superscript"/>
              </w:rPr>
              <w:t>2</w:t>
            </w:r>
            <w:r>
              <w:rPr>
                <w:rFonts w:cs="Arial"/>
                <w:b w:val="0"/>
                <w:sz w:val="20"/>
              </w:rPr>
              <w:t xml:space="preserve"> will be subject to Part C(4) Single Dwelling Housing – Midsized Blocks (&gt;250 – 500m</w:t>
            </w:r>
            <w:r>
              <w:rPr>
                <w:rFonts w:cs="Arial"/>
                <w:b w:val="0"/>
                <w:sz w:val="20"/>
                <w:vertAlign w:val="superscript"/>
              </w:rPr>
              <w:t>2</w:t>
            </w:r>
            <w:r>
              <w:rPr>
                <w:rFonts w:cs="Arial"/>
                <w:b w:val="0"/>
                <w:sz w:val="20"/>
              </w:rPr>
              <w:t>) in New Estates. Rules and Criteria of Part C(1) still apply to these blocks where relevant.</w:t>
            </w:r>
          </w:p>
        </w:tc>
        <w:tc>
          <w:tcPr>
            <w:tcW w:w="4792" w:type="dxa"/>
          </w:tcPr>
          <w:p w:rsidR="00BB0F2C" w:rsidRDefault="00BB0F2C">
            <w:pPr>
              <w:pStyle w:val="BodyText"/>
              <w:tabs>
                <w:tab w:val="left" w:pos="426"/>
              </w:tabs>
              <w:spacing w:before="60" w:after="60" w:line="288" w:lineRule="auto"/>
              <w:rPr>
                <w:rFonts w:cs="Arial"/>
                <w:b w:val="0"/>
                <w:sz w:val="20"/>
              </w:rPr>
            </w:pPr>
          </w:p>
          <w:p w:rsidR="00BB0F2C" w:rsidRDefault="00BB0F2C">
            <w:pPr>
              <w:pStyle w:val="BodyText"/>
              <w:tabs>
                <w:tab w:val="left" w:pos="426"/>
              </w:tabs>
              <w:spacing w:before="60" w:after="60" w:line="288" w:lineRule="auto"/>
              <w:rPr>
                <w:rFonts w:cs="Arial"/>
                <w:b w:val="0"/>
                <w:sz w:val="20"/>
              </w:rPr>
            </w:pPr>
            <w:r>
              <w:rPr>
                <w:rFonts w:cs="Arial"/>
                <w:b w:val="0"/>
                <w:sz w:val="20"/>
              </w:rPr>
              <w:t>This is a mandatory requirement.  There is no applicable criterion.</w:t>
            </w:r>
          </w:p>
        </w:tc>
      </w:tr>
    </w:tbl>
    <w:p w:rsidR="00BB0F2C" w:rsidRDefault="00BB0F2C"/>
    <w:p w:rsidR="00BB0F2C" w:rsidRDefault="00BB0F2C">
      <w:r>
        <w:br w:type="page"/>
      </w:r>
    </w:p>
    <w:p w:rsidR="00BB0F2C" w:rsidRDefault="00BB0F2C">
      <w:pPr>
        <w:shd w:val="clear" w:color="auto" w:fill="BFBFBF"/>
      </w:pPr>
      <w:r>
        <w:rPr>
          <w:b/>
        </w:rPr>
        <w:t>3</w:t>
      </w:r>
      <w:r>
        <w:rPr>
          <w:b/>
        </w:rPr>
        <w:tab/>
        <w:t>Part C – Development Type Controls</w:t>
      </w:r>
    </w:p>
    <w:p w:rsidR="00BB0F2C" w:rsidRDefault="00BB0F2C"/>
    <w:p w:rsidR="00BB0F2C" w:rsidRDefault="00BB0F2C">
      <w:pPr>
        <w:rPr>
          <w:rFonts w:ascii="Times New Roman" w:hAnsi="Times New Roman"/>
        </w:rPr>
      </w:pPr>
      <w:r>
        <w:rPr>
          <w:i/>
        </w:rPr>
        <w:tab/>
      </w:r>
      <w:r>
        <w:rPr>
          <w:rFonts w:ascii="Times New Roman" w:hAnsi="Times New Roman"/>
          <w:i/>
        </w:rPr>
        <w:t>Substitute the first two paragraphs of the preamble with the following wording:</w:t>
      </w:r>
    </w:p>
    <w:p w:rsidR="00BB0F2C" w:rsidRDefault="00BB0F2C">
      <w:pPr>
        <w:rPr>
          <w:rFonts w:ascii="Times New Roman" w:hAnsi="Times New Roman"/>
        </w:rPr>
      </w:pPr>
    </w:p>
    <w:p w:rsidR="00BB0F2C" w:rsidRDefault="00BB0F2C">
      <w:pPr>
        <w:rPr>
          <w:rFonts w:cs="Arial"/>
          <w:sz w:val="20"/>
        </w:rPr>
      </w:pPr>
      <w:r>
        <w:rPr>
          <w:rFonts w:cs="Arial"/>
          <w:sz w:val="20"/>
        </w:rPr>
        <w:t>This part of the Code provides the controls for single dwelling housing.  It is divided into four sub-parts.</w:t>
      </w:r>
    </w:p>
    <w:p w:rsidR="00BB0F2C" w:rsidRDefault="00BB0F2C">
      <w:pPr>
        <w:rPr>
          <w:rFonts w:cs="Arial"/>
          <w:sz w:val="20"/>
        </w:rPr>
      </w:pPr>
    </w:p>
    <w:p w:rsidR="00BB0F2C" w:rsidRDefault="00BB0F2C">
      <w:pPr>
        <w:rPr>
          <w:rFonts w:cs="Arial"/>
          <w:sz w:val="20"/>
        </w:rPr>
      </w:pPr>
      <w:r>
        <w:rPr>
          <w:rFonts w:cs="Arial"/>
          <w:sz w:val="20"/>
        </w:rPr>
        <w:t>Part C(1) Single Dwelling Housing provide the controls for single dwelling housing in all residential zones, except where provided for by Parts C(2), C(3) or C(4).  Part C(1) also applies to the commercial zones and the rural zone.  As such, it is the default position for single dwelling housing.</w:t>
      </w:r>
    </w:p>
    <w:p w:rsidR="00BB0F2C" w:rsidRDefault="00BB0F2C"/>
    <w:p w:rsidR="00BB0F2C" w:rsidRDefault="00BB0F2C">
      <w:pPr>
        <w:rPr>
          <w:rFonts w:ascii="Times New Roman" w:hAnsi="Times New Roman"/>
          <w:i/>
        </w:rPr>
      </w:pPr>
      <w:r>
        <w:tab/>
      </w:r>
      <w:r>
        <w:rPr>
          <w:rFonts w:ascii="Times New Roman" w:hAnsi="Times New Roman"/>
          <w:i/>
        </w:rPr>
        <w:t>Insert the following additional sentence at the end of the preamble:</w:t>
      </w:r>
    </w:p>
    <w:p w:rsidR="00BB0F2C" w:rsidRDefault="00BB0F2C">
      <w:pPr>
        <w:rPr>
          <w:rFonts w:ascii="Times New Roman" w:hAnsi="Times New Roman"/>
          <w:i/>
        </w:rPr>
      </w:pPr>
    </w:p>
    <w:p w:rsidR="00BB0F2C" w:rsidRDefault="00BB0F2C">
      <w:pPr>
        <w:rPr>
          <w:sz w:val="20"/>
        </w:rPr>
      </w:pPr>
      <w:r>
        <w:rPr>
          <w:b/>
          <w:sz w:val="20"/>
        </w:rPr>
        <w:t xml:space="preserve">Part C(4) </w:t>
      </w:r>
      <w:r>
        <w:rPr>
          <w:sz w:val="20"/>
        </w:rPr>
        <w:t>provide the controls for single dwelling housing on residential blocks with a site area of greater than 250m</w:t>
      </w:r>
      <w:r>
        <w:rPr>
          <w:sz w:val="20"/>
          <w:vertAlign w:val="superscript"/>
        </w:rPr>
        <w:t>2</w:t>
      </w:r>
      <w:r>
        <w:rPr>
          <w:sz w:val="20"/>
        </w:rPr>
        <w:t xml:space="preserve"> up to and including 500m</w:t>
      </w:r>
      <w:r>
        <w:rPr>
          <w:sz w:val="20"/>
          <w:vertAlign w:val="superscript"/>
        </w:rPr>
        <w:t>2</w:t>
      </w:r>
      <w:r>
        <w:rPr>
          <w:sz w:val="20"/>
        </w:rPr>
        <w:t xml:space="preserve"> in new estates.</w:t>
      </w:r>
    </w:p>
    <w:p w:rsidR="00BB0F2C" w:rsidRDefault="00BB0F2C"/>
    <w:p w:rsidR="00BB0F2C" w:rsidRDefault="00BB0F2C">
      <w:pPr>
        <w:shd w:val="clear" w:color="auto" w:fill="BFBFBF"/>
        <w:rPr>
          <w:b/>
        </w:rPr>
      </w:pPr>
      <w:r>
        <w:rPr>
          <w:b/>
        </w:rPr>
        <w:t>4</w:t>
      </w:r>
      <w:r>
        <w:rPr>
          <w:b/>
        </w:rPr>
        <w:tab/>
        <w:t>Part C(1) – Single Dwelling Housing</w:t>
      </w:r>
      <w:r>
        <w:rPr>
          <w:b/>
        </w:rPr>
        <w:tab/>
      </w:r>
    </w:p>
    <w:p w:rsidR="00BB0F2C" w:rsidRDefault="00BB0F2C"/>
    <w:p w:rsidR="00BB0F2C" w:rsidRDefault="00BB0F2C">
      <w:pPr>
        <w:rPr>
          <w:rFonts w:ascii="Times New Roman" w:hAnsi="Times New Roman"/>
        </w:rPr>
      </w:pPr>
      <w:r>
        <w:rPr>
          <w:rFonts w:ascii="Times New Roman" w:hAnsi="Times New Roman"/>
          <w:i/>
        </w:rPr>
        <w:t>Substitute the first sentence of the preamble with the following:</w:t>
      </w:r>
    </w:p>
    <w:p w:rsidR="00BB0F2C" w:rsidRDefault="00BB0F2C">
      <w:pPr>
        <w:rPr>
          <w:rFonts w:ascii="Times New Roman" w:hAnsi="Times New Roman"/>
        </w:rPr>
      </w:pPr>
    </w:p>
    <w:p w:rsidR="00BB0F2C" w:rsidRDefault="00BB0F2C">
      <w:pPr>
        <w:rPr>
          <w:rFonts w:cs="Arial"/>
          <w:sz w:val="20"/>
        </w:rPr>
      </w:pPr>
      <w:r>
        <w:rPr>
          <w:rFonts w:cs="Arial"/>
          <w:sz w:val="20"/>
        </w:rPr>
        <w:t>This part of the code applies to development applications for single dwelling housing in all residential zones, except where provided for by Parts C(2), C(3) or C(4).</w:t>
      </w:r>
    </w:p>
    <w:p w:rsidR="00BB0F2C" w:rsidRDefault="00BB0F2C">
      <w:pPr>
        <w:rPr>
          <w:rFonts w:cs="Arial"/>
        </w:rPr>
      </w:pPr>
    </w:p>
    <w:bookmarkEnd w:id="11"/>
    <w:p w:rsidR="00BB0F2C" w:rsidRDefault="00BB0F2C">
      <w:pPr>
        <w:shd w:val="clear" w:color="auto" w:fill="BFBFBF"/>
        <w:rPr>
          <w:rFonts w:cs="Arial"/>
          <w:b/>
        </w:rPr>
      </w:pPr>
      <w:r>
        <w:rPr>
          <w:rFonts w:cs="Arial"/>
          <w:b/>
        </w:rPr>
        <w:t>5</w:t>
      </w:r>
      <w:r>
        <w:rPr>
          <w:rFonts w:cs="Arial"/>
          <w:b/>
        </w:rPr>
        <w:tab/>
        <w:t>Part C(1) Additional Item 2.5 Surveillance Blocks</w:t>
      </w:r>
    </w:p>
    <w:p w:rsidR="00BB0F2C" w:rsidRDefault="00BB0F2C">
      <w:pPr>
        <w:rPr>
          <w:rFonts w:ascii="Times New Roman" w:hAnsi="Times New Roman"/>
          <w:i/>
        </w:rPr>
      </w:pPr>
    </w:p>
    <w:p w:rsidR="00BB0F2C" w:rsidRDefault="00BB0F2C">
      <w:pPr>
        <w:rPr>
          <w:rFonts w:ascii="Times New Roman" w:hAnsi="Times New Roman"/>
          <w:i/>
        </w:rPr>
      </w:pPr>
      <w:r>
        <w:rPr>
          <w:rFonts w:ascii="Times New Roman" w:hAnsi="Times New Roman"/>
          <w:i/>
        </w:rPr>
        <w:t>Insert the following additional Item 2.5 Rule 32B after rule 32A item 2.4 Allowable Encroachments.</w:t>
      </w:r>
    </w:p>
    <w:p w:rsidR="00BB0F2C" w:rsidRDefault="00BB0F2C">
      <w:pPr>
        <w:rPr>
          <w:rFonts w:ascii="Times New Roman" w:hAnsi="Times New Roman"/>
          <w:i/>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09"/>
      </w:tblGrid>
      <w:tr w:rsidR="00BB0F2C">
        <w:tc>
          <w:tcPr>
            <w:tcW w:w="4530" w:type="dxa"/>
            <w:tcBorders>
              <w:right w:val="nil"/>
            </w:tcBorders>
            <w:shd w:val="clear" w:color="auto" w:fill="E0E0E0"/>
          </w:tcPr>
          <w:p w:rsidR="00BB0F2C" w:rsidRDefault="00BB0F2C">
            <w:pPr>
              <w:pStyle w:val="BodyText"/>
              <w:tabs>
                <w:tab w:val="left" w:pos="426"/>
              </w:tabs>
              <w:spacing w:before="60" w:after="60" w:line="288" w:lineRule="auto"/>
              <w:rPr>
                <w:rFonts w:cs="Arial"/>
                <w:sz w:val="20"/>
              </w:rPr>
            </w:pPr>
            <w:r>
              <w:rPr>
                <w:rFonts w:cs="Arial"/>
                <w:sz w:val="20"/>
              </w:rPr>
              <w:t>2.5 Surveillance Block</w:t>
            </w:r>
          </w:p>
        </w:tc>
        <w:tc>
          <w:tcPr>
            <w:tcW w:w="4509" w:type="dxa"/>
            <w:tcBorders>
              <w:left w:val="nil"/>
            </w:tcBorders>
            <w:shd w:val="clear" w:color="auto" w:fill="E0E0E0"/>
          </w:tcPr>
          <w:p w:rsidR="00BB0F2C" w:rsidRDefault="00BB0F2C">
            <w:pPr>
              <w:pStyle w:val="BodyText"/>
              <w:tabs>
                <w:tab w:val="left" w:pos="426"/>
              </w:tabs>
              <w:spacing w:before="60" w:after="60" w:line="288" w:lineRule="auto"/>
              <w:rPr>
                <w:rFonts w:cs="Arial"/>
                <w:sz w:val="20"/>
              </w:rPr>
            </w:pPr>
          </w:p>
        </w:tc>
      </w:tr>
      <w:tr w:rsidR="00BB0F2C">
        <w:tc>
          <w:tcPr>
            <w:tcW w:w="4530" w:type="dxa"/>
          </w:tcPr>
          <w:p w:rsidR="00BB0F2C" w:rsidRDefault="00BB0F2C">
            <w:pPr>
              <w:pStyle w:val="BodyText"/>
              <w:tabs>
                <w:tab w:val="left" w:pos="426"/>
              </w:tabs>
              <w:spacing w:before="60" w:after="60" w:line="288" w:lineRule="auto"/>
              <w:rPr>
                <w:rFonts w:cs="Arial"/>
                <w:b w:val="0"/>
                <w:sz w:val="20"/>
              </w:rPr>
            </w:pPr>
            <w:r>
              <w:rPr>
                <w:rFonts w:cs="Arial"/>
                <w:b w:val="0"/>
                <w:sz w:val="20"/>
              </w:rPr>
              <w:t xml:space="preserve">32B </w:t>
            </w:r>
          </w:p>
          <w:p w:rsidR="00BB0F2C" w:rsidRDefault="00BB0F2C">
            <w:pPr>
              <w:pStyle w:val="BodyText"/>
              <w:tabs>
                <w:tab w:val="left" w:pos="426"/>
              </w:tabs>
              <w:spacing w:before="60" w:after="60" w:line="288" w:lineRule="auto"/>
              <w:rPr>
                <w:rFonts w:cs="Arial"/>
                <w:b w:val="0"/>
                <w:sz w:val="20"/>
              </w:rPr>
            </w:pPr>
            <w:r>
              <w:rPr>
                <w:rFonts w:cs="Arial"/>
                <w:b w:val="0"/>
                <w:sz w:val="20"/>
              </w:rPr>
              <w:t>Where identified in a Precinct Code as being a surveillance block provide habitable room(s) above the garage with windows facing and overlooking the rear lane.</w:t>
            </w:r>
          </w:p>
        </w:tc>
        <w:tc>
          <w:tcPr>
            <w:tcW w:w="4509" w:type="dxa"/>
          </w:tcPr>
          <w:p w:rsidR="00BB0F2C" w:rsidRDefault="00BB0F2C">
            <w:pPr>
              <w:pStyle w:val="BodyText"/>
              <w:tabs>
                <w:tab w:val="left" w:pos="426"/>
              </w:tabs>
              <w:spacing w:before="60" w:after="60" w:line="288" w:lineRule="auto"/>
              <w:rPr>
                <w:rFonts w:cs="Arial"/>
                <w:b w:val="0"/>
                <w:sz w:val="20"/>
              </w:rPr>
            </w:pPr>
          </w:p>
          <w:p w:rsidR="00BB0F2C" w:rsidRDefault="00BB0F2C">
            <w:pPr>
              <w:pStyle w:val="BodyText"/>
              <w:tabs>
                <w:tab w:val="left" w:pos="426"/>
              </w:tabs>
              <w:spacing w:before="60" w:after="60" w:line="288" w:lineRule="auto"/>
              <w:rPr>
                <w:rFonts w:cs="Arial"/>
                <w:b w:val="0"/>
                <w:sz w:val="20"/>
              </w:rPr>
            </w:pPr>
            <w:r>
              <w:rPr>
                <w:rFonts w:cs="Arial"/>
                <w:b w:val="0"/>
                <w:sz w:val="20"/>
              </w:rPr>
              <w:t>This is a mandatory requirement.  There is no applicable criterion.</w:t>
            </w:r>
          </w:p>
        </w:tc>
      </w:tr>
    </w:tbl>
    <w:p w:rsidR="00BB0F2C" w:rsidRDefault="00BB0F2C">
      <w:pPr>
        <w:rPr>
          <w:rFonts w:ascii="Times New Roman" w:hAnsi="Times New Roman"/>
          <w:i/>
        </w:rPr>
      </w:pPr>
    </w:p>
    <w:p w:rsidR="00BB0F2C" w:rsidRDefault="00BB0F2C">
      <w:pPr>
        <w:rPr>
          <w:rFonts w:ascii="Times New Roman" w:hAnsi="Times New Roman"/>
          <w:i/>
        </w:rPr>
      </w:pPr>
    </w:p>
    <w:p w:rsidR="00BB0F2C" w:rsidRDefault="00BB0F2C">
      <w:pPr>
        <w:shd w:val="clear" w:color="auto" w:fill="BFBFBF"/>
        <w:rPr>
          <w:rFonts w:cs="Arial"/>
          <w:b/>
        </w:rPr>
      </w:pPr>
      <w:r>
        <w:rPr>
          <w:rFonts w:cs="Arial"/>
          <w:b/>
        </w:rPr>
        <w:t>6</w:t>
      </w:r>
      <w:r>
        <w:rPr>
          <w:rFonts w:cs="Arial"/>
          <w:b/>
        </w:rPr>
        <w:tab/>
        <w:t>Part C(3) Additional item 2.7 Surveillance Blocks</w:t>
      </w:r>
    </w:p>
    <w:p w:rsidR="00BB0F2C" w:rsidRDefault="00BB0F2C">
      <w:pPr>
        <w:rPr>
          <w:rFonts w:ascii="Times New Roman" w:hAnsi="Times New Roman"/>
          <w:i/>
        </w:rPr>
      </w:pPr>
    </w:p>
    <w:p w:rsidR="00BB0F2C" w:rsidRDefault="00BB0F2C">
      <w:pPr>
        <w:rPr>
          <w:rFonts w:cs="Arial"/>
          <w:i/>
        </w:rPr>
      </w:pPr>
      <w:r>
        <w:rPr>
          <w:rFonts w:ascii="Times New Roman" w:hAnsi="Times New Roman"/>
          <w:i/>
        </w:rPr>
        <w:t>Insert the following additional Item 2.7 Rule 65A after Rule 65 item 2.6 Side Setbacks – Corner Blocks</w:t>
      </w:r>
    </w:p>
    <w:p w:rsidR="00BB0F2C" w:rsidRDefault="00BB0F2C">
      <w:pPr>
        <w:rPr>
          <w:rFonts w:cs="Arial"/>
          <w: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09"/>
      </w:tblGrid>
      <w:tr w:rsidR="00BB0F2C">
        <w:tc>
          <w:tcPr>
            <w:tcW w:w="4530" w:type="dxa"/>
            <w:tcBorders>
              <w:right w:val="nil"/>
            </w:tcBorders>
            <w:shd w:val="clear" w:color="auto" w:fill="E0E0E0"/>
          </w:tcPr>
          <w:p w:rsidR="00BB0F2C" w:rsidRDefault="00BB0F2C">
            <w:pPr>
              <w:pStyle w:val="BodyText"/>
              <w:tabs>
                <w:tab w:val="left" w:pos="426"/>
              </w:tabs>
              <w:spacing w:before="60" w:after="60" w:line="288" w:lineRule="auto"/>
              <w:rPr>
                <w:rFonts w:cs="Arial"/>
                <w:sz w:val="20"/>
              </w:rPr>
            </w:pPr>
            <w:r>
              <w:rPr>
                <w:rFonts w:cs="Arial"/>
                <w:sz w:val="20"/>
              </w:rPr>
              <w:t>2.7 Surveillance Block</w:t>
            </w:r>
          </w:p>
        </w:tc>
        <w:tc>
          <w:tcPr>
            <w:tcW w:w="4509" w:type="dxa"/>
            <w:tcBorders>
              <w:left w:val="nil"/>
            </w:tcBorders>
            <w:shd w:val="clear" w:color="auto" w:fill="E0E0E0"/>
          </w:tcPr>
          <w:p w:rsidR="00BB0F2C" w:rsidRDefault="00BB0F2C">
            <w:pPr>
              <w:pStyle w:val="BodyText"/>
              <w:tabs>
                <w:tab w:val="left" w:pos="426"/>
              </w:tabs>
              <w:spacing w:before="60" w:after="60" w:line="288" w:lineRule="auto"/>
              <w:rPr>
                <w:rFonts w:cs="Arial"/>
                <w:sz w:val="24"/>
                <w:szCs w:val="24"/>
              </w:rPr>
            </w:pPr>
          </w:p>
        </w:tc>
      </w:tr>
      <w:tr w:rsidR="00BB0F2C">
        <w:tc>
          <w:tcPr>
            <w:tcW w:w="4530" w:type="dxa"/>
          </w:tcPr>
          <w:p w:rsidR="00BB0F2C" w:rsidRDefault="00BB0F2C">
            <w:pPr>
              <w:pStyle w:val="BodyText"/>
              <w:tabs>
                <w:tab w:val="left" w:pos="426"/>
              </w:tabs>
              <w:spacing w:before="60" w:after="60" w:line="288" w:lineRule="auto"/>
              <w:rPr>
                <w:rFonts w:cs="Arial"/>
                <w:b w:val="0"/>
                <w:sz w:val="20"/>
              </w:rPr>
            </w:pPr>
            <w:r>
              <w:rPr>
                <w:rFonts w:cs="Arial"/>
                <w:b w:val="0"/>
                <w:sz w:val="20"/>
              </w:rPr>
              <w:t xml:space="preserve">65A </w:t>
            </w:r>
          </w:p>
          <w:p w:rsidR="00BB0F2C" w:rsidRDefault="00BB0F2C">
            <w:pPr>
              <w:pStyle w:val="BodyText"/>
              <w:tabs>
                <w:tab w:val="left" w:pos="426"/>
              </w:tabs>
              <w:spacing w:before="60" w:after="60" w:line="288" w:lineRule="auto"/>
              <w:rPr>
                <w:rFonts w:cs="Arial"/>
                <w:b w:val="0"/>
                <w:sz w:val="20"/>
              </w:rPr>
            </w:pPr>
            <w:r>
              <w:rPr>
                <w:rFonts w:cs="Arial"/>
                <w:b w:val="0"/>
                <w:sz w:val="20"/>
              </w:rPr>
              <w:t>Where identified in a Precinct Code as being a surveillance block provide habitable room(s) above the garage with windows facing and overlooking the rear lane.</w:t>
            </w:r>
          </w:p>
        </w:tc>
        <w:tc>
          <w:tcPr>
            <w:tcW w:w="4509" w:type="dxa"/>
          </w:tcPr>
          <w:p w:rsidR="00BB0F2C" w:rsidRDefault="00BB0F2C">
            <w:pPr>
              <w:pStyle w:val="BodyText"/>
              <w:tabs>
                <w:tab w:val="left" w:pos="426"/>
              </w:tabs>
              <w:spacing w:before="60" w:after="60" w:line="288" w:lineRule="auto"/>
              <w:rPr>
                <w:rFonts w:cs="Arial"/>
                <w:b w:val="0"/>
                <w:sz w:val="20"/>
              </w:rPr>
            </w:pPr>
          </w:p>
          <w:p w:rsidR="00BB0F2C" w:rsidRDefault="00BB0F2C">
            <w:pPr>
              <w:pStyle w:val="BodyText"/>
              <w:tabs>
                <w:tab w:val="left" w:pos="426"/>
              </w:tabs>
              <w:spacing w:before="60" w:after="60" w:line="288" w:lineRule="auto"/>
              <w:rPr>
                <w:rFonts w:cs="Arial"/>
                <w:b w:val="0"/>
                <w:sz w:val="20"/>
              </w:rPr>
            </w:pPr>
            <w:r>
              <w:rPr>
                <w:rFonts w:cs="Arial"/>
                <w:b w:val="0"/>
                <w:sz w:val="20"/>
              </w:rPr>
              <w:t>This is a mandatory requirement.  There is no applicable criterion.</w:t>
            </w:r>
          </w:p>
        </w:tc>
      </w:tr>
    </w:tbl>
    <w:p w:rsidR="00BB0F2C" w:rsidRDefault="00BB0F2C">
      <w:pPr>
        <w:rPr>
          <w:rFonts w:cs="Arial"/>
          <w:i/>
        </w:rPr>
      </w:pPr>
    </w:p>
    <w:p w:rsidR="00BB0F2C" w:rsidRDefault="00BB0F2C">
      <w:pPr>
        <w:rPr>
          <w:rFonts w:cs="Arial"/>
          <w:i/>
        </w:rPr>
      </w:pPr>
      <w:r>
        <w:rPr>
          <w:rFonts w:cs="Arial"/>
          <w:i/>
        </w:rPr>
        <w:br w:type="page"/>
      </w:r>
    </w:p>
    <w:p w:rsidR="00BB0F2C" w:rsidRDefault="00BB0F2C">
      <w:pPr>
        <w:shd w:val="clear" w:color="auto" w:fill="BFBFBF"/>
        <w:rPr>
          <w:rFonts w:cs="Arial"/>
          <w:b/>
        </w:rPr>
      </w:pPr>
      <w:r>
        <w:rPr>
          <w:rFonts w:cs="Arial"/>
          <w:b/>
        </w:rPr>
        <w:t>7</w:t>
      </w:r>
      <w:r>
        <w:rPr>
          <w:rFonts w:cs="Arial"/>
          <w:b/>
        </w:rPr>
        <w:tab/>
        <w:t xml:space="preserve">Additional Part C(4) – Single Dwelling Housing – Midsized Blocks </w:t>
      </w:r>
    </w:p>
    <w:p w:rsidR="00BB0F2C" w:rsidRDefault="00BB0F2C">
      <w:pPr>
        <w:shd w:val="clear" w:color="auto" w:fill="BFBFBF"/>
        <w:rPr>
          <w:rFonts w:cs="Arial"/>
          <w:b/>
        </w:rPr>
      </w:pPr>
      <w:r>
        <w:rPr>
          <w:rFonts w:cs="Arial"/>
          <w:b/>
        </w:rPr>
        <w:tab/>
        <w:t>(&gt;250 – 500m</w:t>
      </w:r>
      <w:r>
        <w:rPr>
          <w:rFonts w:cs="Arial"/>
          <w:b/>
          <w:vertAlign w:val="superscript"/>
        </w:rPr>
        <w:t>2</w:t>
      </w:r>
      <w:r>
        <w:rPr>
          <w:rFonts w:cs="Arial"/>
          <w:b/>
        </w:rPr>
        <w:t>) in New Estates</w:t>
      </w:r>
    </w:p>
    <w:p w:rsidR="00BB0F2C" w:rsidRDefault="00BB0F2C">
      <w:pPr>
        <w:rPr>
          <w:rFonts w:cs="Arial"/>
          <w:i/>
        </w:rPr>
      </w:pPr>
    </w:p>
    <w:p w:rsidR="00BB0F2C" w:rsidRDefault="00BB0F2C">
      <w:pPr>
        <w:rPr>
          <w:rFonts w:ascii="Times New Roman" w:hAnsi="Times New Roman"/>
        </w:rPr>
      </w:pPr>
      <w:r>
        <w:rPr>
          <w:rFonts w:ascii="Times New Roman" w:hAnsi="Times New Roman"/>
          <w:i/>
        </w:rPr>
        <w:t>Insert the following new Part C(4) after Part C(3)</w:t>
      </w:r>
    </w:p>
    <w:p w:rsidR="00BB0F2C" w:rsidRDefault="00BB0F2C">
      <w:pPr>
        <w:rPr>
          <w:rFonts w:ascii="Times New Roman" w:hAnsi="Times New Roman"/>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5"/>
      </w:tblGrid>
      <w:tr w:rsidR="00BB0F2C">
        <w:tc>
          <w:tcPr>
            <w:tcW w:w="9385" w:type="dxa"/>
            <w:shd w:val="pct40" w:color="auto" w:fill="auto"/>
          </w:tcPr>
          <w:p w:rsidR="00BB0F2C" w:rsidRDefault="00BB0F2C">
            <w:pPr>
              <w:pStyle w:val="zoneHeading"/>
            </w:pPr>
            <w:bookmarkStart w:id="12" w:name="_Toc177276000"/>
            <w:bookmarkStart w:id="13" w:name="_Toc189897486"/>
            <w:bookmarkStart w:id="14" w:name="_Toc222029902"/>
            <w:r>
              <w:t>Part C(4) - Single Dwelling Housing – Midsized Blocks (&gt;250 – 500m</w:t>
            </w:r>
            <w:r>
              <w:rPr>
                <w:vertAlign w:val="superscript"/>
              </w:rPr>
              <w:t>2</w:t>
            </w:r>
            <w:r>
              <w:t>) in New Estates</w:t>
            </w:r>
            <w:bookmarkEnd w:id="12"/>
            <w:bookmarkEnd w:id="13"/>
            <w:bookmarkEnd w:id="14"/>
          </w:p>
        </w:tc>
      </w:tr>
    </w:tbl>
    <w:p w:rsidR="00BB0F2C" w:rsidRDefault="00BB0F2C">
      <w:pPr>
        <w:pStyle w:val="bodyText0"/>
      </w:pPr>
      <w:r>
        <w:t>This part of the Code applies to development applications for single dwelling housing on residential midsized blocks &gt;250m</w:t>
      </w:r>
      <w:r>
        <w:rPr>
          <w:vertAlign w:val="superscript"/>
        </w:rPr>
        <w:t>2</w:t>
      </w:r>
      <w:r>
        <w:t xml:space="preserve"> and up to and including 500m</w:t>
      </w:r>
      <w:r>
        <w:rPr>
          <w:vertAlign w:val="superscript"/>
        </w:rPr>
        <w:t>2</w:t>
      </w:r>
      <w:r>
        <w:t xml:space="preserve"> in new estates.  </w:t>
      </w:r>
    </w:p>
    <w:p w:rsidR="00BB0F2C" w:rsidRDefault="00BB0F2C">
      <w:pPr>
        <w:pStyle w:val="bodyText0"/>
        <w:rPr>
          <w:color w:val="FF0000"/>
        </w:rPr>
      </w:pPr>
      <w:r>
        <w:t xml:space="preserve">This part of the code provides additional controls to, or controls that are to be applied in lieu of, those in Parts A and C(1) for single dwellings.  Part B of the Code also applies.  </w:t>
      </w:r>
    </w:p>
    <w:p w:rsidR="00BB0F2C" w:rsidRDefault="00BB0F2C">
      <w:pPr>
        <w:pStyle w:val="bodyText0"/>
        <w:ind w:right="147"/>
        <w:rPr>
          <w:color w:val="000000"/>
        </w:rPr>
      </w:pPr>
      <w:r>
        <w:t xml:space="preserve">Residential midsized blocks aim to increase the range of housing alternatives in new estates </w:t>
      </w:r>
      <w:r>
        <w:rPr>
          <w:color w:val="000000"/>
        </w:rPr>
        <w:t xml:space="preserve">to meet the diverse housing requirements of the </w:t>
      </w:r>
      <w:smartTag w:uri="urn:schemas-microsoft-com:office:smarttags" w:element="place">
        <w:smartTag w:uri="urn:schemas-microsoft-com:office:smarttags" w:element="City">
          <w:r>
            <w:rPr>
              <w:color w:val="000000"/>
            </w:rPr>
            <w:t>Canberra</w:t>
          </w:r>
        </w:smartTag>
      </w:smartTag>
      <w:r>
        <w:rPr>
          <w:color w:val="000000"/>
        </w:rPr>
        <w:t xml:space="preserve"> community.  </w:t>
      </w:r>
    </w:p>
    <w:p w:rsidR="00BB0F2C" w:rsidRDefault="00BB0F2C">
      <w:pPr>
        <w:rPr>
          <w:rFonts w:cs="Arial"/>
          <w:sz w:val="20"/>
        </w:rPr>
      </w:pPr>
    </w:p>
    <w:p w:rsidR="00BB0F2C" w:rsidRDefault="00BB0F2C">
      <w:pPr>
        <w:pStyle w:val="elementHeading"/>
      </w:pPr>
      <w:bookmarkStart w:id="15" w:name="_Toc178747764"/>
      <w:bookmarkStart w:id="16" w:name="_Toc179174674"/>
      <w:bookmarkStart w:id="17" w:name="_Toc179192931"/>
      <w:bookmarkStart w:id="18" w:name="_Toc179262600"/>
      <w:bookmarkStart w:id="19" w:name="_Toc179262726"/>
      <w:bookmarkStart w:id="20" w:name="_Toc179262852"/>
      <w:bookmarkStart w:id="21" w:name="_Toc180313570"/>
      <w:bookmarkStart w:id="22" w:name="_Toc183325891"/>
      <w:bookmarkStart w:id="23" w:name="_Toc183326024"/>
      <w:bookmarkStart w:id="24" w:name="_Toc183326233"/>
      <w:bookmarkStart w:id="25" w:name="_Toc183326439"/>
      <w:bookmarkStart w:id="26" w:name="_Toc184527761"/>
      <w:bookmarkStart w:id="27" w:name="_Toc184528437"/>
      <w:bookmarkStart w:id="28" w:name="_Toc185736350"/>
      <w:bookmarkStart w:id="29" w:name="_Toc185759339"/>
      <w:bookmarkStart w:id="30" w:name="_Toc187206602"/>
      <w:bookmarkStart w:id="31" w:name="_Toc187740467"/>
      <w:bookmarkStart w:id="32" w:name="_Toc187806552"/>
      <w:bookmarkStart w:id="33" w:name="_Toc188069228"/>
      <w:bookmarkStart w:id="34" w:name="_Toc188075258"/>
      <w:bookmarkStart w:id="35" w:name="_Toc188668907"/>
      <w:bookmarkStart w:id="36" w:name="_Toc188672790"/>
      <w:bookmarkStart w:id="37" w:name="_Toc22202990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ascii="Arial Bold" w:hAnsi="Arial Bold"/>
        </w:rPr>
        <w:t>Element 2:</w:t>
      </w:r>
      <w:r>
        <w:rPr>
          <w:rFonts w:ascii="Arial Bold" w:hAnsi="Arial Bold"/>
        </w:rPr>
        <w:tab/>
      </w:r>
      <w:r>
        <w:t>Building and Site Controls</w:t>
      </w:r>
      <w:bookmarkEnd w:id="37"/>
    </w:p>
    <w:p w:rsidR="00BB0F2C" w:rsidRDefault="00BB0F2C">
      <w:pPr>
        <w:pStyle w:val="bodySubheading"/>
        <w:spacing w:before="100"/>
      </w:pPr>
      <w:r>
        <w:t>Intent:</w:t>
      </w:r>
    </w:p>
    <w:p w:rsidR="00BB0F2C" w:rsidRDefault="00BB0F2C">
      <w:pPr>
        <w:pStyle w:val="codeList"/>
        <w:numPr>
          <w:ilvl w:val="0"/>
          <w:numId w:val="0"/>
        </w:numPr>
        <w:ind w:left="448" w:hanging="448"/>
      </w:pPr>
      <w:r>
        <w:t>a)</w:t>
      </w:r>
      <w:r>
        <w:tab/>
        <w:t>To ensure buildings complement the built form, siting and scale of surrounding properties and are of an appropriate residential character</w:t>
      </w:r>
    </w:p>
    <w:p w:rsidR="00BB0F2C" w:rsidRDefault="00BB0F2C">
      <w:pPr>
        <w:pStyle w:val="codeList"/>
        <w:numPr>
          <w:ilvl w:val="0"/>
          <w:numId w:val="0"/>
        </w:numPr>
        <w:ind w:left="448" w:hanging="448"/>
      </w:pPr>
      <w:r>
        <w:t>b)</w:t>
      </w:r>
      <w:r>
        <w:tab/>
        <w:t>To ensure buildings are designed and sited to:</w:t>
      </w:r>
    </w:p>
    <w:p w:rsidR="00BB0F2C" w:rsidRDefault="00BB0F2C">
      <w:pPr>
        <w:pStyle w:val="codeList2"/>
        <w:numPr>
          <w:ilvl w:val="0"/>
          <w:numId w:val="0"/>
        </w:numPr>
        <w:spacing w:before="40" w:after="40"/>
        <w:ind w:left="720" w:hanging="272"/>
      </w:pPr>
      <w:r>
        <w:t>i)</w:t>
      </w:r>
      <w:r>
        <w:tab/>
        <w:t>Provide privacy between neighbours and between occupants and the public</w:t>
      </w:r>
    </w:p>
    <w:p w:rsidR="00BB0F2C" w:rsidRDefault="00BB0F2C">
      <w:pPr>
        <w:pStyle w:val="codeList2"/>
        <w:numPr>
          <w:ilvl w:val="0"/>
          <w:numId w:val="0"/>
        </w:numPr>
        <w:spacing w:before="40" w:after="40"/>
        <w:ind w:left="720" w:hanging="272"/>
      </w:pPr>
      <w:r>
        <w:t>ii)</w:t>
      </w:r>
      <w:r>
        <w:tab/>
        <w:t>Provide adequate light and natural ventilation between dwellings</w:t>
      </w:r>
    </w:p>
    <w:p w:rsidR="00BB0F2C" w:rsidRDefault="00BB0F2C">
      <w:pPr>
        <w:pStyle w:val="codeList2"/>
        <w:numPr>
          <w:ilvl w:val="0"/>
          <w:numId w:val="0"/>
        </w:numPr>
        <w:spacing w:before="40" w:after="40"/>
        <w:ind w:left="720" w:hanging="272"/>
      </w:pPr>
      <w:r>
        <w:t>iii)</w:t>
      </w:r>
      <w:r>
        <w:tab/>
        <w:t>Contribute to attractive streetscapes</w:t>
      </w:r>
    </w:p>
    <w:p w:rsidR="00BB0F2C" w:rsidRDefault="00BB0F2C">
      <w:pPr>
        <w:pStyle w:val="tableSpace"/>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B0F2C">
        <w:trPr>
          <w:tblHeader/>
        </w:trPr>
        <w:tc>
          <w:tcPr>
            <w:tcW w:w="4621" w:type="dxa"/>
            <w:shd w:val="clear" w:color="auto" w:fill="C0C0C0"/>
          </w:tcPr>
          <w:p w:rsidR="00BB0F2C" w:rsidRDefault="00BB0F2C">
            <w:pPr>
              <w:pStyle w:val="codeHeading"/>
            </w:pPr>
            <w:r>
              <w:t>Rules</w:t>
            </w:r>
          </w:p>
        </w:tc>
        <w:tc>
          <w:tcPr>
            <w:tcW w:w="4622" w:type="dxa"/>
            <w:shd w:val="clear" w:color="auto" w:fill="C0C0C0"/>
          </w:tcPr>
          <w:p w:rsidR="00BB0F2C" w:rsidRDefault="00BB0F2C">
            <w:pPr>
              <w:pStyle w:val="codeHeading"/>
            </w:pPr>
            <w:r>
              <w:t>Criteria</w:t>
            </w:r>
          </w:p>
        </w:tc>
      </w:tr>
      <w:tr w:rsidR="00BB0F2C">
        <w:trPr>
          <w:cantSplit/>
        </w:trPr>
        <w:tc>
          <w:tcPr>
            <w:tcW w:w="9243" w:type="dxa"/>
            <w:gridSpan w:val="2"/>
            <w:shd w:val="clear" w:color="auto" w:fill="E0E0E0"/>
          </w:tcPr>
          <w:p w:rsidR="00BB0F2C" w:rsidRDefault="00BB0F2C">
            <w:pPr>
              <w:pStyle w:val="CodeItem"/>
              <w:ind w:left="448" w:hanging="448"/>
              <w:rPr>
                <w:b w:val="0"/>
                <w:color w:val="FF0000"/>
              </w:rPr>
            </w:pPr>
            <w:bookmarkStart w:id="38" w:name="_Toc222029904"/>
            <w:r>
              <w:t>2.1</w:t>
            </w:r>
            <w:r>
              <w:tab/>
            </w:r>
            <w:bookmarkEnd w:id="38"/>
            <w:r>
              <w:t xml:space="preserve">Building Envelope </w:t>
            </w:r>
            <w:r>
              <w:rPr>
                <w:b w:val="0"/>
              </w:rPr>
              <w:t xml:space="preserve">(Replaces Part A R3, R6, R9 &amp; R11) </w:t>
            </w:r>
          </w:p>
        </w:tc>
      </w:tr>
      <w:tr w:rsidR="00BB0F2C">
        <w:tc>
          <w:tcPr>
            <w:tcW w:w="4621" w:type="dxa"/>
          </w:tcPr>
          <w:p w:rsidR="00BB0F2C" w:rsidRDefault="00BB0F2C">
            <w:pPr>
              <w:pStyle w:val="codeRuleList"/>
              <w:numPr>
                <w:ilvl w:val="0"/>
                <w:numId w:val="0"/>
              </w:numPr>
            </w:pPr>
            <w:r>
              <w:t>R81</w:t>
            </w:r>
          </w:p>
          <w:p w:rsidR="00BB0F2C" w:rsidRDefault="00BB0F2C">
            <w:pPr>
              <w:pStyle w:val="codeReq"/>
              <w:tabs>
                <w:tab w:val="clear" w:pos="851"/>
              </w:tabs>
              <w:ind w:left="0" w:firstLine="0"/>
              <w:rPr>
                <w:color w:val="FF0000"/>
              </w:rPr>
            </w:pPr>
            <w:r>
              <w:t xml:space="preserve">Buildings are sited wholly within the building envelope (Refer Figure A4) defined by:  </w:t>
            </w:r>
          </w:p>
          <w:p w:rsidR="00BB0F2C" w:rsidRDefault="00BB0F2C">
            <w:pPr>
              <w:pStyle w:val="codeList"/>
              <w:numPr>
                <w:ilvl w:val="0"/>
                <w:numId w:val="0"/>
              </w:numPr>
              <w:ind w:left="448" w:hanging="448"/>
            </w:pPr>
            <w:r>
              <w:t>a)</w:t>
            </w:r>
            <w:r>
              <w:tab/>
              <w:t>Boundaries that are the north facing boundary of an adjoining residential block:</w:t>
            </w:r>
          </w:p>
          <w:p w:rsidR="00BB0F2C" w:rsidRDefault="00BB0F2C">
            <w:pPr>
              <w:pStyle w:val="codeList2"/>
              <w:numPr>
                <w:ilvl w:val="0"/>
                <w:numId w:val="0"/>
              </w:numPr>
              <w:spacing w:before="40" w:after="40"/>
              <w:ind w:left="720" w:hanging="272"/>
            </w:pPr>
            <w:r>
              <w:t>i)</w:t>
            </w:r>
            <w:r>
              <w:tab/>
              <w:t xml:space="preserve">within the </w:t>
            </w:r>
            <w:r>
              <w:rPr>
                <w:i/>
                <w:iCs/>
              </w:rPr>
              <w:t>primary building zone (PBZ)</w:t>
            </w:r>
            <w:r>
              <w:t>, planes projected at 45 degrees above horizontal from a height of 2.0m above natural ground level at the side boundary, up to a maximum building height of 8.5m above natural ground level, or</w:t>
            </w:r>
          </w:p>
          <w:p w:rsidR="00BB0F2C" w:rsidRDefault="00BB0F2C">
            <w:pPr>
              <w:spacing w:before="60" w:after="60" w:line="288" w:lineRule="auto"/>
              <w:ind w:left="720"/>
              <w:rPr>
                <w:rFonts w:cs="Arial"/>
                <w:sz w:val="20"/>
              </w:rPr>
            </w:pPr>
            <w:r>
              <w:rPr>
                <w:rFonts w:cs="Arial"/>
                <w:sz w:val="20"/>
              </w:rPr>
              <w:t>where a wall is located on this boundary, planes projected at 30 degrees above the horizontal from a height of 3.0m above natural ground level of the boundary up to a maximum height of 8.5m above the natural ground level.</w:t>
            </w:r>
          </w:p>
          <w:p w:rsidR="00BB0F2C" w:rsidRDefault="00BB0F2C">
            <w:pPr>
              <w:pStyle w:val="codeList2"/>
              <w:numPr>
                <w:ilvl w:val="0"/>
                <w:numId w:val="0"/>
              </w:numPr>
              <w:spacing w:before="40" w:after="40"/>
              <w:ind w:left="720" w:hanging="272"/>
            </w:pPr>
            <w:r>
              <w:t>ii)</w:t>
            </w:r>
            <w:r>
              <w:tab/>
              <w:t xml:space="preserve">within the </w:t>
            </w:r>
            <w:r>
              <w:rPr>
                <w:i/>
                <w:iCs/>
              </w:rPr>
              <w:t>rear zone (RZ)</w:t>
            </w:r>
            <w:r>
              <w:t>, planes projected at 30 degrees above horizontal from a height of 2.0m above natural ground level at the side and rear boundary, up to a maximum of 8.5m above natural ground level.</w:t>
            </w:r>
          </w:p>
          <w:p w:rsidR="00BB0F2C" w:rsidRDefault="00BB0F2C">
            <w:pPr>
              <w:spacing w:before="60" w:after="60" w:line="288" w:lineRule="auto"/>
              <w:ind w:left="459" w:hanging="459"/>
              <w:rPr>
                <w:rFonts w:cs="Arial"/>
                <w:sz w:val="20"/>
              </w:rPr>
            </w:pPr>
            <w:r>
              <w:rPr>
                <w:rFonts w:cs="Arial"/>
                <w:sz w:val="20"/>
              </w:rPr>
              <w:t xml:space="preserve"> (b)    for all other side and rear boundaries:</w:t>
            </w:r>
          </w:p>
          <w:p w:rsidR="00BB0F2C" w:rsidRDefault="00BB0F2C">
            <w:pPr>
              <w:tabs>
                <w:tab w:val="num" w:pos="2084"/>
              </w:tabs>
              <w:spacing w:before="60" w:after="60" w:line="288" w:lineRule="auto"/>
              <w:ind w:left="743" w:hanging="284"/>
              <w:rPr>
                <w:rFonts w:cs="Arial"/>
                <w:sz w:val="20"/>
              </w:rPr>
            </w:pPr>
            <w:r>
              <w:rPr>
                <w:rFonts w:cs="Arial"/>
                <w:sz w:val="20"/>
              </w:rPr>
              <w:t>i)   within the primary building zone (PBZ), planes projected at 45 degrees above the horizontal from a height of 4.5m above natural ground level at the side boundary, up to a maximum building height of 8.5m above natural ground level</w:t>
            </w:r>
          </w:p>
          <w:p w:rsidR="00BB0F2C" w:rsidRDefault="00BB0F2C">
            <w:pPr>
              <w:tabs>
                <w:tab w:val="num" w:pos="2084"/>
              </w:tabs>
              <w:spacing w:before="60" w:after="60" w:line="288" w:lineRule="auto"/>
              <w:ind w:left="743" w:hanging="284"/>
              <w:rPr>
                <w:rFonts w:cs="Arial"/>
                <w:sz w:val="20"/>
              </w:rPr>
            </w:pPr>
            <w:r>
              <w:rPr>
                <w:rFonts w:cs="Arial"/>
                <w:sz w:val="20"/>
              </w:rPr>
              <w:t>ii)   within the rear zone (RZ), planes projected at 30 degrees above the horizontal from a height of 3.5m above natural ground level at the side boundary, up to a maximum building height of 8.5m above natural ground level.</w:t>
            </w:r>
          </w:p>
        </w:tc>
        <w:tc>
          <w:tcPr>
            <w:tcW w:w="4622" w:type="dxa"/>
          </w:tcPr>
          <w:p w:rsidR="00BB0F2C" w:rsidRDefault="00BB0F2C">
            <w:pPr>
              <w:pStyle w:val="codeRuleNone"/>
              <w:rPr>
                <w:vanish w:val="0"/>
              </w:rPr>
            </w:pPr>
            <w:r>
              <w:rPr>
                <w:vanish w:val="0"/>
              </w:rPr>
              <w:t>C81</w:t>
            </w:r>
          </w:p>
          <w:p w:rsidR="00BB0F2C" w:rsidRDefault="00BB0F2C">
            <w:pPr>
              <w:pStyle w:val="hiddenText"/>
              <w:rPr>
                <w:vanish w:val="0"/>
              </w:rPr>
            </w:pPr>
            <w:r>
              <w:rPr>
                <w:vanish w:val="0"/>
              </w:rPr>
              <w:t xml:space="preserve"> The built form does not adversely impact on the amenity of neighbouring properties by ensuring:</w:t>
            </w:r>
          </w:p>
          <w:p w:rsidR="00BB0F2C" w:rsidRDefault="00BB0F2C">
            <w:pPr>
              <w:pStyle w:val="codeList"/>
              <w:numPr>
                <w:ilvl w:val="0"/>
                <w:numId w:val="0"/>
              </w:numPr>
              <w:ind w:left="448" w:hanging="448"/>
            </w:pPr>
            <w:r>
              <w:t>a)</w:t>
            </w:r>
            <w:r>
              <w:tab/>
              <w:t>sufficient spatial separation between adjoining developments</w:t>
            </w:r>
          </w:p>
          <w:p w:rsidR="00BB0F2C" w:rsidRDefault="00BB0F2C">
            <w:pPr>
              <w:pStyle w:val="codeRuleCriteria"/>
              <w:ind w:left="516" w:hanging="516"/>
            </w:pPr>
            <w:r>
              <w:t>b)</w:t>
            </w:r>
            <w:r>
              <w:tab/>
              <w:t>the protection of a reasonable amount of privacy and solar access to adjacent dwellings and their associated private open space.</w:t>
            </w:r>
          </w:p>
        </w:tc>
      </w:tr>
    </w:tbl>
    <w:p w:rsidR="00BB0F2C" w:rsidRDefault="00BB0F2C">
      <w:pPr>
        <w:pStyle w:val="BodyText"/>
        <w:rPr>
          <w:b w:val="0"/>
          <w:sz w:val="16"/>
          <w:szCs w:val="16"/>
        </w:rPr>
      </w:pPr>
    </w:p>
    <w:p w:rsidR="00BB0F2C" w:rsidRDefault="00BB0F2C">
      <w:pPr>
        <w:pStyle w:val="BodyText"/>
        <w:rPr>
          <w:b w:val="0"/>
          <w:sz w:val="16"/>
          <w:szCs w:val="16"/>
        </w:rPr>
      </w:pPr>
    </w:p>
    <w:tbl>
      <w:tblPr>
        <w:tblStyle w:val="TableGrid"/>
        <w:tblW w:w="0" w:type="auto"/>
        <w:tblLook w:val="01E0" w:firstRow="1" w:lastRow="1" w:firstColumn="1" w:lastColumn="1" w:noHBand="0" w:noVBand="0"/>
      </w:tblPr>
      <w:tblGrid>
        <w:gridCol w:w="4608"/>
        <w:gridCol w:w="4453"/>
      </w:tblGrid>
      <w:tr w:rsidR="00BB0F2C">
        <w:tc>
          <w:tcPr>
            <w:tcW w:w="4927" w:type="dxa"/>
          </w:tcPr>
          <w:p w:rsidR="00BB0F2C" w:rsidRDefault="002E2D95">
            <w:pPr>
              <w:autoSpaceDE w:val="0"/>
              <w:autoSpaceDN w:val="0"/>
              <w:adjustRightInd w:val="0"/>
              <w:jc w:val="center"/>
              <w:rPr>
                <w:rFonts w:ascii="Arial,Bold" w:hAnsi="Arial,Bold" w:cs="Arial,Bold"/>
                <w:b/>
                <w:bCs/>
              </w:rPr>
            </w:pPr>
            <w:r>
              <w:rPr>
                <w:rFonts w:ascii="Arial,Bold" w:hAnsi="Arial,Bold" w:cs="Arial,Bold"/>
                <w:b/>
                <w:bCs/>
              </w:rPr>
              <w:pict>
                <v:shape id="_x0000_i1027" type="#_x0000_t75" style="width:189pt;height:127.5pt">
                  <v:imagedata r:id="rId19" o:title=""/>
                </v:shape>
              </w:pict>
            </w:r>
          </w:p>
          <w:p w:rsidR="00BB0F2C" w:rsidRDefault="00BB0F2C">
            <w:pPr>
              <w:autoSpaceDE w:val="0"/>
              <w:autoSpaceDN w:val="0"/>
              <w:adjustRightInd w:val="0"/>
              <w:rPr>
                <w:rFonts w:ascii="Arial,Bold" w:hAnsi="Arial,Bold" w:cs="Arial,Bold"/>
                <w:bCs/>
                <w:i/>
                <w:sz w:val="20"/>
              </w:rPr>
            </w:pPr>
            <w:r>
              <w:rPr>
                <w:rFonts w:ascii="Arial,Bold" w:hAnsi="Arial,Bold" w:cs="Arial,Bold"/>
                <w:bCs/>
                <w:sz w:val="20"/>
              </w:rPr>
              <w:t xml:space="preserve">Within the </w:t>
            </w:r>
            <w:r>
              <w:rPr>
                <w:rFonts w:ascii="Arial,Bold" w:hAnsi="Arial,Bold" w:cs="Arial,Bold"/>
                <w:bCs/>
                <w:i/>
                <w:sz w:val="20"/>
              </w:rPr>
              <w:t>Primary Building Zone</w:t>
            </w:r>
          </w:p>
          <w:p w:rsidR="00BB0F2C" w:rsidRDefault="002E2D95">
            <w:pPr>
              <w:autoSpaceDE w:val="0"/>
              <w:autoSpaceDN w:val="0"/>
              <w:adjustRightInd w:val="0"/>
              <w:jc w:val="center"/>
              <w:rPr>
                <w:rFonts w:ascii="Arial,Bold" w:hAnsi="Arial,Bold" w:cs="Arial,Bold"/>
                <w:bCs/>
                <w:i/>
                <w:sz w:val="20"/>
              </w:rPr>
            </w:pPr>
            <w:r>
              <w:rPr>
                <w:rFonts w:ascii="Arial,Bold" w:hAnsi="Arial,Bold" w:cs="Arial,Bold"/>
                <w:bCs/>
                <w:i/>
                <w:sz w:val="20"/>
              </w:rPr>
              <w:pict>
                <v:shape id="_x0000_i1028" type="#_x0000_t75" style="width:224.25pt;height:127.5pt">
                  <v:imagedata r:id="rId20" o:title=""/>
                </v:shape>
              </w:pict>
            </w:r>
          </w:p>
          <w:p w:rsidR="00BB0F2C" w:rsidRDefault="00BB0F2C">
            <w:pPr>
              <w:autoSpaceDE w:val="0"/>
              <w:autoSpaceDN w:val="0"/>
              <w:adjustRightInd w:val="0"/>
              <w:rPr>
                <w:rFonts w:ascii="Arial,Bold" w:hAnsi="Arial,Bold" w:cs="Arial,Bold"/>
                <w:bCs/>
                <w:i/>
                <w:sz w:val="20"/>
              </w:rPr>
            </w:pPr>
            <w:r>
              <w:rPr>
                <w:rFonts w:ascii="Arial,Bold" w:hAnsi="Arial,Bold" w:cs="Arial,Bold"/>
                <w:bCs/>
                <w:sz w:val="20"/>
              </w:rPr>
              <w:t xml:space="preserve">Within the </w:t>
            </w:r>
            <w:r>
              <w:rPr>
                <w:rFonts w:ascii="Arial,Bold" w:hAnsi="Arial,Bold" w:cs="Arial,Bold"/>
                <w:bCs/>
                <w:i/>
                <w:sz w:val="20"/>
              </w:rPr>
              <w:t>Rear Zone</w:t>
            </w:r>
          </w:p>
        </w:tc>
        <w:tc>
          <w:tcPr>
            <w:tcW w:w="4928" w:type="dxa"/>
          </w:tcPr>
          <w:p w:rsidR="00BB0F2C" w:rsidRDefault="002E2D95">
            <w:pPr>
              <w:autoSpaceDE w:val="0"/>
              <w:autoSpaceDN w:val="0"/>
              <w:adjustRightInd w:val="0"/>
              <w:jc w:val="center"/>
              <w:rPr>
                <w:rFonts w:ascii="Arial,Bold" w:hAnsi="Arial,Bold" w:cs="Arial,Bold"/>
                <w:b/>
                <w:bCs/>
              </w:rPr>
            </w:pPr>
            <w:r>
              <w:rPr>
                <w:rFonts w:ascii="Arial,Bold" w:hAnsi="Arial,Bold" w:cs="Arial,Bold"/>
                <w:b/>
                <w:bCs/>
              </w:rPr>
              <w:pict>
                <v:shape id="_x0000_i1029" type="#_x0000_t75" style="width:170.25pt;height:127.5pt">
                  <v:imagedata r:id="rId21" o:title=""/>
                </v:shape>
              </w:pict>
            </w:r>
          </w:p>
          <w:p w:rsidR="00BB0F2C" w:rsidRDefault="00BB0F2C">
            <w:pPr>
              <w:autoSpaceDE w:val="0"/>
              <w:autoSpaceDN w:val="0"/>
              <w:adjustRightInd w:val="0"/>
              <w:rPr>
                <w:rFonts w:ascii="Arial,Bold" w:hAnsi="Arial,Bold" w:cs="Arial,Bold"/>
                <w:bCs/>
                <w:i/>
                <w:sz w:val="20"/>
              </w:rPr>
            </w:pPr>
            <w:r>
              <w:rPr>
                <w:rFonts w:ascii="Arial,Bold" w:hAnsi="Arial,Bold" w:cs="Arial,Bold"/>
                <w:bCs/>
                <w:sz w:val="20"/>
              </w:rPr>
              <w:t xml:space="preserve">Within the </w:t>
            </w:r>
            <w:r>
              <w:rPr>
                <w:rFonts w:ascii="Arial,Bold" w:hAnsi="Arial,Bold" w:cs="Arial,Bold"/>
                <w:bCs/>
                <w:i/>
                <w:sz w:val="20"/>
              </w:rPr>
              <w:t>Primary Building Zone</w:t>
            </w:r>
          </w:p>
          <w:p w:rsidR="00BB0F2C" w:rsidRDefault="002E2D95">
            <w:pPr>
              <w:autoSpaceDE w:val="0"/>
              <w:autoSpaceDN w:val="0"/>
              <w:adjustRightInd w:val="0"/>
              <w:jc w:val="both"/>
              <w:rPr>
                <w:rFonts w:ascii="Arial,Bold" w:hAnsi="Arial,Bold" w:cs="Arial,Bold"/>
                <w:bCs/>
                <w:sz w:val="20"/>
              </w:rPr>
            </w:pPr>
            <w:r>
              <w:rPr>
                <w:rFonts w:ascii="Arial,Bold" w:hAnsi="Arial,Bold" w:cs="Arial,Bold"/>
                <w:bCs/>
                <w:i/>
                <w:sz w:val="20"/>
              </w:rPr>
              <w:pict>
                <v:shape id="_x0000_i1030" type="#_x0000_t75" style="width:3in;height:127.5pt">
                  <v:imagedata r:id="rId22" o:title="" cropleft="-119f"/>
                </v:shape>
              </w:pict>
            </w:r>
          </w:p>
          <w:p w:rsidR="00BB0F2C" w:rsidRDefault="00BB0F2C">
            <w:pPr>
              <w:autoSpaceDE w:val="0"/>
              <w:autoSpaceDN w:val="0"/>
              <w:adjustRightInd w:val="0"/>
              <w:rPr>
                <w:rFonts w:ascii="Arial,Bold" w:hAnsi="Arial,Bold" w:cs="Arial,Bold"/>
                <w:bCs/>
                <w:i/>
                <w:sz w:val="20"/>
              </w:rPr>
            </w:pPr>
            <w:r>
              <w:rPr>
                <w:rFonts w:ascii="Arial,Bold" w:hAnsi="Arial,Bold" w:cs="Arial,Bold"/>
                <w:bCs/>
                <w:sz w:val="20"/>
              </w:rPr>
              <w:t xml:space="preserve">Within the </w:t>
            </w:r>
            <w:r>
              <w:rPr>
                <w:rFonts w:ascii="Arial,Bold" w:hAnsi="Arial,Bold" w:cs="Arial,Bold"/>
                <w:bCs/>
                <w:i/>
                <w:sz w:val="20"/>
              </w:rPr>
              <w:t>Rear Zone</w:t>
            </w:r>
          </w:p>
        </w:tc>
      </w:tr>
      <w:tr w:rsidR="00BB0F2C">
        <w:tc>
          <w:tcPr>
            <w:tcW w:w="4927" w:type="dxa"/>
          </w:tcPr>
          <w:p w:rsidR="00BB0F2C" w:rsidRDefault="00BB0F2C">
            <w:pPr>
              <w:autoSpaceDE w:val="0"/>
              <w:autoSpaceDN w:val="0"/>
              <w:adjustRightInd w:val="0"/>
              <w:rPr>
                <w:rFonts w:ascii="Arial,Bold" w:hAnsi="Arial,Bold" w:cs="Arial,Bold"/>
                <w:b/>
                <w:bCs/>
              </w:rPr>
            </w:pPr>
            <w:r>
              <w:rPr>
                <w:rFonts w:ascii="Arial,Bold" w:hAnsi="Arial,Bold" w:cs="Arial,Bold"/>
                <w:b/>
                <w:bCs/>
              </w:rPr>
              <w:t>Flat Site</w:t>
            </w:r>
          </w:p>
        </w:tc>
        <w:tc>
          <w:tcPr>
            <w:tcW w:w="4928" w:type="dxa"/>
          </w:tcPr>
          <w:p w:rsidR="00BB0F2C" w:rsidRDefault="00BB0F2C">
            <w:pPr>
              <w:autoSpaceDE w:val="0"/>
              <w:autoSpaceDN w:val="0"/>
              <w:adjustRightInd w:val="0"/>
              <w:rPr>
                <w:rFonts w:ascii="Arial,Bold" w:hAnsi="Arial,Bold" w:cs="Arial,Bold"/>
                <w:b/>
                <w:bCs/>
              </w:rPr>
            </w:pPr>
            <w:r>
              <w:rPr>
                <w:rFonts w:ascii="Arial,Bold" w:hAnsi="Arial,Bold" w:cs="Arial,Bold"/>
                <w:b/>
                <w:bCs/>
              </w:rPr>
              <w:t>Sloping Site</w:t>
            </w:r>
          </w:p>
        </w:tc>
      </w:tr>
      <w:tr w:rsidR="00BB0F2C">
        <w:tc>
          <w:tcPr>
            <w:tcW w:w="9855" w:type="dxa"/>
            <w:gridSpan w:val="2"/>
          </w:tcPr>
          <w:p w:rsidR="00BB0F2C" w:rsidRDefault="00BB0F2C">
            <w:pPr>
              <w:autoSpaceDE w:val="0"/>
              <w:autoSpaceDN w:val="0"/>
              <w:adjustRightInd w:val="0"/>
              <w:rPr>
                <w:rFonts w:ascii="Arial,Bold" w:hAnsi="Arial,Bold" w:cs="Arial,Bold"/>
                <w:b/>
                <w:bCs/>
              </w:rPr>
            </w:pPr>
            <w:r>
              <w:rPr>
                <w:rFonts w:ascii="Arial,Bold" w:hAnsi="Arial,Bold" w:cs="Arial,Bold"/>
                <w:b/>
                <w:bCs/>
              </w:rPr>
              <w:t>Figure A4 Building Envelope</w:t>
            </w:r>
          </w:p>
          <w:p w:rsidR="00BB0F2C" w:rsidRDefault="00BB0F2C">
            <w:pPr>
              <w:autoSpaceDE w:val="0"/>
              <w:autoSpaceDN w:val="0"/>
              <w:adjustRightInd w:val="0"/>
              <w:rPr>
                <w:rFonts w:cs="Arial"/>
                <w:sz w:val="16"/>
                <w:szCs w:val="16"/>
              </w:rPr>
            </w:pPr>
          </w:p>
          <w:p w:rsidR="00BB0F2C" w:rsidRDefault="00BB0F2C">
            <w:pPr>
              <w:autoSpaceDE w:val="0"/>
              <w:autoSpaceDN w:val="0"/>
              <w:adjustRightInd w:val="0"/>
              <w:rPr>
                <w:rFonts w:ascii="Arial,Bold" w:hAnsi="Arial,Bold" w:cs="Arial,Bold"/>
                <w:sz w:val="20"/>
              </w:rPr>
            </w:pPr>
            <w:r>
              <w:rPr>
                <w:rFonts w:cs="Arial"/>
                <w:sz w:val="16"/>
                <w:szCs w:val="16"/>
              </w:rPr>
              <w:t>*2 metres where the boundary is a north facing boundary of an adjoining residential block.</w:t>
            </w:r>
          </w:p>
          <w:p w:rsidR="00BB0F2C" w:rsidRDefault="00BB0F2C">
            <w:pPr>
              <w:autoSpaceDE w:val="0"/>
              <w:autoSpaceDN w:val="0"/>
              <w:adjustRightInd w:val="0"/>
              <w:rPr>
                <w:rFonts w:ascii="Arial,Bold" w:hAnsi="Arial,Bold" w:cs="Arial,Bold"/>
                <w:sz w:val="16"/>
                <w:szCs w:val="16"/>
              </w:rPr>
            </w:pPr>
            <w:r>
              <w:rPr>
                <w:rFonts w:ascii="Arial,Bold" w:hAnsi="Arial,Bold" w:cs="Arial,Bold"/>
                <w:sz w:val="16"/>
                <w:szCs w:val="16"/>
              </w:rPr>
              <w:t xml:space="preserve">/// Hatched area indicates permissible encroachment  under rule R81 a. i) for a garage, non-habitable room or habitable room with a cavity wall. </w:t>
            </w:r>
          </w:p>
        </w:tc>
      </w:tr>
    </w:tbl>
    <w:p w:rsidR="00BB0F2C" w:rsidRDefault="00BB0F2C">
      <w:pPr>
        <w:pStyle w:val="BodyText"/>
        <w:rPr>
          <w:b w:val="0"/>
          <w:sz w:val="16"/>
          <w:szCs w:val="16"/>
        </w:rPr>
      </w:pPr>
    </w:p>
    <w:p w:rsidR="00BB0F2C" w:rsidRDefault="00BB0F2C">
      <w:pPr>
        <w:pStyle w:val="BodyText"/>
        <w:rPr>
          <w:b w:val="0"/>
          <w:sz w:val="20"/>
        </w:rPr>
      </w:pPr>
    </w:p>
    <w:p w:rsidR="00BB0F2C" w:rsidRDefault="00BB0F2C">
      <w:pPr>
        <w:pStyle w:val="BodyText"/>
        <w:rPr>
          <w:b w:val="0"/>
          <w:sz w:val="16"/>
          <w:szCs w:val="16"/>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B0F2C">
        <w:trPr>
          <w:tblHeader/>
        </w:trPr>
        <w:tc>
          <w:tcPr>
            <w:tcW w:w="4621" w:type="dxa"/>
            <w:shd w:val="clear" w:color="auto" w:fill="C0C0C0"/>
          </w:tcPr>
          <w:p w:rsidR="00BB0F2C" w:rsidRDefault="00BB0F2C">
            <w:pPr>
              <w:pStyle w:val="codeHeading"/>
            </w:pPr>
            <w:r>
              <w:t>Rules</w:t>
            </w:r>
          </w:p>
        </w:tc>
        <w:tc>
          <w:tcPr>
            <w:tcW w:w="4622" w:type="dxa"/>
            <w:shd w:val="clear" w:color="auto" w:fill="C0C0C0"/>
          </w:tcPr>
          <w:p w:rsidR="00BB0F2C" w:rsidRDefault="00BB0F2C">
            <w:pPr>
              <w:pStyle w:val="codeHeading"/>
            </w:pPr>
            <w:r>
              <w:t>Criteria</w:t>
            </w:r>
          </w:p>
        </w:tc>
      </w:tr>
      <w:tr w:rsidR="00BB0F2C">
        <w:tc>
          <w:tcPr>
            <w:tcW w:w="9243" w:type="dxa"/>
            <w:gridSpan w:val="2"/>
            <w:shd w:val="clear" w:color="auto" w:fill="E0E0E0"/>
          </w:tcPr>
          <w:p w:rsidR="00BB0F2C" w:rsidRDefault="00BB0F2C">
            <w:pPr>
              <w:pStyle w:val="CodeItem"/>
              <w:ind w:left="448" w:hanging="448"/>
              <w:rPr>
                <w:b w:val="0"/>
              </w:rPr>
            </w:pPr>
            <w:bookmarkStart w:id="39" w:name="_Toc222029905"/>
            <w:r>
              <w:t>2.2</w:t>
            </w:r>
            <w:r>
              <w:tab/>
            </w:r>
            <w:bookmarkEnd w:id="39"/>
            <w:r>
              <w:t>Front setback</w:t>
            </w:r>
            <w:r>
              <w:rPr>
                <w:b w:val="0"/>
              </w:rPr>
              <w:t xml:space="preserve"> (Replaces R30)</w:t>
            </w:r>
          </w:p>
        </w:tc>
      </w:tr>
      <w:tr w:rsidR="00BB0F2C">
        <w:tc>
          <w:tcPr>
            <w:tcW w:w="4621" w:type="dxa"/>
          </w:tcPr>
          <w:p w:rsidR="00BB0F2C" w:rsidRDefault="00BB0F2C">
            <w:pPr>
              <w:pStyle w:val="codeRuleList"/>
              <w:numPr>
                <w:ilvl w:val="0"/>
                <w:numId w:val="0"/>
              </w:numPr>
            </w:pPr>
            <w:r>
              <w:t xml:space="preserve">R82 </w:t>
            </w:r>
          </w:p>
          <w:p w:rsidR="00BB0F2C" w:rsidRDefault="00BB0F2C">
            <w:pPr>
              <w:spacing w:before="60" w:after="60" w:line="288" w:lineRule="auto"/>
              <w:rPr>
                <w:rFonts w:cs="Arial"/>
                <w:sz w:val="20"/>
              </w:rPr>
            </w:pPr>
            <w:r>
              <w:rPr>
                <w:rFonts w:cs="Arial"/>
                <w:sz w:val="20"/>
              </w:rPr>
              <w:t xml:space="preserve">Minimum front setbacks as specified in Table 1: </w:t>
            </w:r>
          </w:p>
          <w:p w:rsidR="00BB0F2C" w:rsidRDefault="00BB0F2C">
            <w:pPr>
              <w:spacing w:before="60" w:after="60" w:line="288" w:lineRule="auto"/>
              <w:rPr>
                <w:rFonts w:cs="Arial"/>
                <w:sz w:val="20"/>
              </w:rPr>
            </w:pPr>
            <w:r>
              <w:rPr>
                <w:rFonts w:cs="Arial"/>
                <w:i/>
                <w:sz w:val="20"/>
              </w:rPr>
              <w:t>Articulation elements</w:t>
            </w:r>
            <w:r>
              <w:rPr>
                <w:rFonts w:cs="Arial"/>
                <w:sz w:val="20"/>
              </w:rPr>
              <w:t xml:space="preserve"> are permitted to encroach a maximum of 1m into the minimum front setback provided they do not contribute to the calculation of Gross Floor Area (GFA)*.</w:t>
            </w:r>
          </w:p>
          <w:p w:rsidR="00BB0F2C" w:rsidRDefault="00BB0F2C">
            <w:pPr>
              <w:pStyle w:val="codeRuleCriteria"/>
            </w:pPr>
          </w:p>
        </w:tc>
        <w:tc>
          <w:tcPr>
            <w:tcW w:w="4622" w:type="dxa"/>
          </w:tcPr>
          <w:p w:rsidR="00BB0F2C" w:rsidRDefault="00BB0F2C">
            <w:pPr>
              <w:pStyle w:val="codeCriteriaList"/>
              <w:numPr>
                <w:ilvl w:val="0"/>
                <w:numId w:val="0"/>
              </w:numPr>
            </w:pPr>
            <w:r>
              <w:t>C82</w:t>
            </w:r>
          </w:p>
          <w:p w:rsidR="00BB0F2C" w:rsidRDefault="00BB0F2C">
            <w:pPr>
              <w:pStyle w:val="codeList"/>
              <w:numPr>
                <w:ilvl w:val="0"/>
                <w:numId w:val="0"/>
              </w:numPr>
            </w:pPr>
            <w:r>
              <w:t>The front setback:</w:t>
            </w:r>
          </w:p>
          <w:p w:rsidR="00BB0F2C" w:rsidRDefault="00BB0F2C">
            <w:pPr>
              <w:pStyle w:val="hiddenText"/>
              <w:ind w:left="516" w:hanging="516"/>
              <w:rPr>
                <w:vanish w:val="0"/>
              </w:rPr>
            </w:pPr>
            <w:r>
              <w:rPr>
                <w:vanish w:val="0"/>
              </w:rPr>
              <w:t>a)</w:t>
            </w:r>
            <w:r>
              <w:rPr>
                <w:vanish w:val="0"/>
              </w:rPr>
              <w:tab/>
              <w:t>reflects the existing or proposed streetscape character</w:t>
            </w:r>
          </w:p>
          <w:p w:rsidR="00BB0F2C" w:rsidRDefault="00BB0F2C">
            <w:pPr>
              <w:pStyle w:val="codeList"/>
              <w:numPr>
                <w:ilvl w:val="0"/>
                <w:numId w:val="0"/>
              </w:numPr>
              <w:ind w:left="448" w:hanging="448"/>
            </w:pPr>
            <w:r>
              <w:t>b)</w:t>
            </w:r>
            <w:r>
              <w:tab/>
              <w:t>provides for the most efficient use of the site</w:t>
            </w:r>
          </w:p>
          <w:p w:rsidR="00BB0F2C" w:rsidRDefault="00BB0F2C">
            <w:pPr>
              <w:pStyle w:val="codeList"/>
              <w:numPr>
                <w:ilvl w:val="0"/>
                <w:numId w:val="0"/>
              </w:numPr>
              <w:ind w:left="448" w:hanging="448"/>
            </w:pPr>
            <w:r>
              <w:t>c)</w:t>
            </w:r>
            <w:r>
              <w:tab/>
              <w:t>will not significantly compromise the amenity of residents of the proposed building and residents of adjoining and adjacent dwellings</w:t>
            </w:r>
          </w:p>
          <w:p w:rsidR="00BB0F2C" w:rsidRDefault="00BB0F2C">
            <w:pPr>
              <w:pStyle w:val="codeList"/>
              <w:numPr>
                <w:ilvl w:val="0"/>
                <w:numId w:val="0"/>
              </w:numPr>
              <w:ind w:left="448" w:hanging="448"/>
            </w:pPr>
            <w:r>
              <w:t>d)</w:t>
            </w:r>
            <w:r>
              <w:tab/>
              <w:t>is related to the height of the building and to the width of the street to ensure pedestrian scale at street level</w:t>
            </w:r>
          </w:p>
          <w:p w:rsidR="00BB0F2C" w:rsidRDefault="00BB0F2C">
            <w:pPr>
              <w:pStyle w:val="codeList"/>
              <w:numPr>
                <w:ilvl w:val="0"/>
                <w:numId w:val="0"/>
              </w:numPr>
              <w:ind w:left="448" w:hanging="448"/>
            </w:pPr>
            <w:r>
              <w:t>e)</w:t>
            </w:r>
            <w:r>
              <w:tab/>
              <w:t>space is provided for street trees to grow to maturity</w:t>
            </w:r>
          </w:p>
          <w:p w:rsidR="00BB0F2C" w:rsidRDefault="00BB0F2C">
            <w:pPr>
              <w:pStyle w:val="codeList"/>
              <w:numPr>
                <w:ilvl w:val="0"/>
                <w:numId w:val="0"/>
              </w:numPr>
              <w:ind w:left="448" w:hanging="448"/>
            </w:pPr>
            <w:r>
              <w:t>f)      parking and garages do not dominate the frontage of the development.</w:t>
            </w:r>
          </w:p>
        </w:tc>
      </w:tr>
    </w:tbl>
    <w:p w:rsidR="00BB0F2C" w:rsidRDefault="00BB0F2C">
      <w:pPr>
        <w:pStyle w:val="BodyText"/>
        <w:rPr>
          <w:b w:val="0"/>
          <w:sz w:val="16"/>
          <w:szCs w:val="16"/>
        </w:rPr>
      </w:pPr>
      <w:r>
        <w:rPr>
          <w:b w:val="0"/>
          <w:sz w:val="16"/>
          <w:szCs w:val="16"/>
        </w:rPr>
        <w:t xml:space="preserve">* </w:t>
      </w:r>
      <w:r>
        <w:rPr>
          <w:rFonts w:cs="Arial"/>
          <w:b w:val="0"/>
          <w:sz w:val="16"/>
          <w:szCs w:val="16"/>
        </w:rPr>
        <w:t>Articulation elements can include verandahs, porches, awnings, shade devices, pergolas and the like (a carport is not considered an articulation element)</w:t>
      </w:r>
    </w:p>
    <w:p w:rsidR="00BB0F2C" w:rsidRDefault="00BB0F2C">
      <w:pPr>
        <w:pStyle w:val="BodyText"/>
        <w:rPr>
          <w:b w:val="0"/>
          <w:sz w:val="22"/>
          <w:szCs w:val="22"/>
        </w:rPr>
      </w:pPr>
    </w:p>
    <w:p w:rsidR="00BB0F2C" w:rsidRDefault="00BB0F2C">
      <w:pPr>
        <w:pStyle w:val="BodyText"/>
        <w:rPr>
          <w:rFonts w:cs="Arial"/>
          <w:b w:val="0"/>
          <w:sz w:val="20"/>
        </w:rPr>
      </w:pPr>
    </w:p>
    <w:p w:rsidR="00BB0F2C" w:rsidRDefault="00BB0F2C">
      <w:pPr>
        <w:pStyle w:val="BodyText"/>
        <w:rPr>
          <w:rFonts w:cs="Arial"/>
          <w:b w:val="0"/>
          <w:sz w:val="20"/>
        </w:rPr>
      </w:pPr>
      <w:r>
        <w:rPr>
          <w:rFonts w:cs="Arial"/>
          <w:sz w:val="20"/>
        </w:rPr>
        <w:t>Table 1 – Front Boundary Setbacks</w:t>
      </w:r>
      <w:r>
        <w:rPr>
          <w:rFonts w:cs="Arial"/>
          <w:b w:val="0"/>
          <w:sz w:val="20"/>
        </w:rPr>
        <w:t xml:space="preserve"> (Refer Figures C5 – C7)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3"/>
        <w:gridCol w:w="2304"/>
        <w:gridCol w:w="2303"/>
        <w:gridCol w:w="2304"/>
      </w:tblGrid>
      <w:tr w:rsidR="00BB0F2C">
        <w:tc>
          <w:tcPr>
            <w:tcW w:w="2303" w:type="dxa"/>
          </w:tcPr>
          <w:p w:rsidR="00BB0F2C" w:rsidRDefault="00BB0F2C">
            <w:pPr>
              <w:pStyle w:val="BodyText"/>
              <w:spacing w:before="60" w:after="60" w:line="288" w:lineRule="auto"/>
              <w:rPr>
                <w:rFonts w:cs="Arial"/>
                <w:b w:val="0"/>
                <w:bCs/>
                <w:sz w:val="20"/>
              </w:rPr>
            </w:pPr>
          </w:p>
        </w:tc>
        <w:tc>
          <w:tcPr>
            <w:tcW w:w="2304" w:type="dxa"/>
          </w:tcPr>
          <w:p w:rsidR="00BB0F2C" w:rsidRDefault="00BB0F2C">
            <w:pPr>
              <w:pStyle w:val="BodyText"/>
              <w:spacing w:before="60" w:after="60" w:line="288" w:lineRule="auto"/>
              <w:jc w:val="center"/>
              <w:rPr>
                <w:rFonts w:cs="Arial"/>
                <w:bCs/>
                <w:sz w:val="20"/>
                <w:highlight w:val="green"/>
              </w:rPr>
            </w:pPr>
            <w:r>
              <w:rPr>
                <w:rFonts w:cs="Arial"/>
                <w:bCs/>
                <w:sz w:val="20"/>
              </w:rPr>
              <w:t>Front boundary including short front boundary of corner block</w:t>
            </w:r>
          </w:p>
        </w:tc>
        <w:tc>
          <w:tcPr>
            <w:tcW w:w="2303" w:type="dxa"/>
          </w:tcPr>
          <w:p w:rsidR="00BB0F2C" w:rsidRDefault="00BB0F2C">
            <w:pPr>
              <w:pStyle w:val="BodyText"/>
              <w:spacing w:before="60" w:after="60" w:line="288" w:lineRule="auto"/>
              <w:jc w:val="center"/>
              <w:rPr>
                <w:rFonts w:cs="Arial"/>
                <w:bCs/>
                <w:sz w:val="20"/>
              </w:rPr>
            </w:pPr>
            <w:r>
              <w:rPr>
                <w:rFonts w:cs="Arial"/>
                <w:bCs/>
                <w:sz w:val="20"/>
              </w:rPr>
              <w:t>Long front boundary of a corner block</w:t>
            </w:r>
          </w:p>
        </w:tc>
        <w:tc>
          <w:tcPr>
            <w:tcW w:w="2304" w:type="dxa"/>
          </w:tcPr>
          <w:p w:rsidR="00BB0F2C" w:rsidRDefault="00BB0F2C">
            <w:pPr>
              <w:pStyle w:val="BodyText"/>
              <w:spacing w:before="60" w:after="60" w:line="288" w:lineRule="auto"/>
              <w:jc w:val="center"/>
              <w:rPr>
                <w:rFonts w:cs="Arial"/>
                <w:bCs/>
                <w:sz w:val="20"/>
              </w:rPr>
            </w:pPr>
            <w:r>
              <w:rPr>
                <w:rFonts w:cs="Arial"/>
                <w:bCs/>
                <w:sz w:val="20"/>
              </w:rPr>
              <w:t>Rear lane front boundary of a rear loading block*</w:t>
            </w:r>
          </w:p>
        </w:tc>
      </w:tr>
      <w:tr w:rsidR="00BB0F2C">
        <w:tc>
          <w:tcPr>
            <w:tcW w:w="2303" w:type="dxa"/>
          </w:tcPr>
          <w:p w:rsidR="00BB0F2C" w:rsidRDefault="00BB0F2C">
            <w:pPr>
              <w:pStyle w:val="BodyText"/>
              <w:jc w:val="center"/>
              <w:rPr>
                <w:rFonts w:cs="Arial"/>
                <w:sz w:val="20"/>
              </w:rPr>
            </w:pPr>
            <w:r>
              <w:rPr>
                <w:rFonts w:cs="Arial"/>
                <w:sz w:val="20"/>
              </w:rPr>
              <w:t>Lower Floor Level &amp; Upper Floor Level</w:t>
            </w:r>
          </w:p>
          <w:p w:rsidR="00BB0F2C" w:rsidRDefault="00BB0F2C">
            <w:pPr>
              <w:pStyle w:val="BodyText"/>
              <w:jc w:val="center"/>
              <w:rPr>
                <w:rFonts w:cs="Arial"/>
                <w:sz w:val="20"/>
              </w:rPr>
            </w:pPr>
            <w:r>
              <w:rPr>
                <w:rFonts w:cs="Arial"/>
                <w:sz w:val="20"/>
              </w:rPr>
              <w:t>(LFL &amp; UFL)</w:t>
            </w:r>
          </w:p>
        </w:tc>
        <w:tc>
          <w:tcPr>
            <w:tcW w:w="2304" w:type="dxa"/>
          </w:tcPr>
          <w:p w:rsidR="00BB0F2C" w:rsidRDefault="00BB0F2C">
            <w:pPr>
              <w:pStyle w:val="BodyText"/>
              <w:spacing w:before="60" w:after="60" w:line="288" w:lineRule="auto"/>
              <w:jc w:val="center"/>
              <w:rPr>
                <w:rFonts w:cs="Arial"/>
                <w:b w:val="0"/>
                <w:sz w:val="20"/>
              </w:rPr>
            </w:pPr>
            <w:r>
              <w:rPr>
                <w:rFonts w:cs="Arial"/>
                <w:b w:val="0"/>
                <w:sz w:val="20"/>
              </w:rPr>
              <w:t>4.0m</w:t>
            </w:r>
          </w:p>
        </w:tc>
        <w:tc>
          <w:tcPr>
            <w:tcW w:w="2303" w:type="dxa"/>
          </w:tcPr>
          <w:p w:rsidR="00BB0F2C" w:rsidRDefault="00BB0F2C">
            <w:pPr>
              <w:pStyle w:val="BodyText"/>
              <w:spacing w:before="60" w:after="60" w:line="288" w:lineRule="auto"/>
              <w:jc w:val="center"/>
              <w:rPr>
                <w:rFonts w:cs="Arial"/>
                <w:b w:val="0"/>
                <w:sz w:val="20"/>
              </w:rPr>
            </w:pPr>
            <w:r>
              <w:rPr>
                <w:rFonts w:cs="Arial"/>
                <w:b w:val="0"/>
                <w:sz w:val="20"/>
              </w:rPr>
              <w:t xml:space="preserve">3.0m </w:t>
            </w:r>
          </w:p>
        </w:tc>
        <w:tc>
          <w:tcPr>
            <w:tcW w:w="2304" w:type="dxa"/>
          </w:tcPr>
          <w:p w:rsidR="00BB0F2C" w:rsidRDefault="00BB0F2C">
            <w:pPr>
              <w:pStyle w:val="BodyText"/>
              <w:spacing w:before="60" w:after="60" w:line="288" w:lineRule="auto"/>
              <w:jc w:val="center"/>
              <w:rPr>
                <w:rFonts w:cs="Arial"/>
                <w:b w:val="0"/>
                <w:sz w:val="20"/>
              </w:rPr>
            </w:pPr>
            <w:r>
              <w:rPr>
                <w:rFonts w:cs="Arial"/>
                <w:b w:val="0"/>
                <w:sz w:val="20"/>
              </w:rPr>
              <w:t>0m</w:t>
            </w:r>
          </w:p>
        </w:tc>
      </w:tr>
      <w:tr w:rsidR="00BB0F2C">
        <w:tc>
          <w:tcPr>
            <w:tcW w:w="2303" w:type="dxa"/>
          </w:tcPr>
          <w:p w:rsidR="00BB0F2C" w:rsidRDefault="00BB0F2C">
            <w:pPr>
              <w:pStyle w:val="BodyText"/>
              <w:spacing w:before="60" w:after="60" w:line="288" w:lineRule="auto"/>
              <w:rPr>
                <w:rFonts w:cs="Arial"/>
                <w:sz w:val="20"/>
              </w:rPr>
            </w:pPr>
            <w:r>
              <w:rPr>
                <w:rFonts w:cs="Arial"/>
                <w:sz w:val="20"/>
              </w:rPr>
              <w:t xml:space="preserve">Garage / Carport </w:t>
            </w:r>
          </w:p>
        </w:tc>
        <w:tc>
          <w:tcPr>
            <w:tcW w:w="2304" w:type="dxa"/>
          </w:tcPr>
          <w:p w:rsidR="00BB0F2C" w:rsidRDefault="00BB0F2C">
            <w:pPr>
              <w:pStyle w:val="BodyText"/>
              <w:spacing w:before="60" w:after="60" w:line="288" w:lineRule="auto"/>
              <w:rPr>
                <w:rFonts w:cs="Arial"/>
                <w:b w:val="0"/>
                <w:sz w:val="20"/>
              </w:rPr>
            </w:pPr>
            <w:r>
              <w:rPr>
                <w:rFonts w:cs="Arial"/>
                <w:b w:val="0"/>
                <w:sz w:val="20"/>
              </w:rPr>
              <w:t>5.5m with a minimum of 1.5m behind the front building line</w:t>
            </w:r>
          </w:p>
        </w:tc>
        <w:tc>
          <w:tcPr>
            <w:tcW w:w="2303" w:type="dxa"/>
          </w:tcPr>
          <w:p w:rsidR="00BB0F2C" w:rsidRDefault="00BB0F2C">
            <w:pPr>
              <w:pStyle w:val="BodyText"/>
              <w:spacing w:before="60" w:after="60" w:line="288" w:lineRule="auto"/>
              <w:jc w:val="center"/>
              <w:rPr>
                <w:rFonts w:cs="Arial"/>
                <w:b w:val="0"/>
                <w:sz w:val="20"/>
              </w:rPr>
            </w:pPr>
            <w:r>
              <w:rPr>
                <w:rFonts w:cs="Arial"/>
                <w:b w:val="0"/>
                <w:sz w:val="20"/>
              </w:rPr>
              <w:t>5.5m with a minimum of 1.5m behind the front building line</w:t>
            </w:r>
          </w:p>
        </w:tc>
        <w:tc>
          <w:tcPr>
            <w:tcW w:w="2304" w:type="dxa"/>
          </w:tcPr>
          <w:p w:rsidR="00BB0F2C" w:rsidRDefault="00BB0F2C">
            <w:pPr>
              <w:pStyle w:val="BodyText"/>
              <w:spacing w:before="60" w:after="60" w:line="288" w:lineRule="auto"/>
              <w:jc w:val="center"/>
              <w:rPr>
                <w:rFonts w:cs="Arial"/>
                <w:b w:val="0"/>
                <w:sz w:val="20"/>
              </w:rPr>
            </w:pPr>
            <w:r>
              <w:rPr>
                <w:rFonts w:cs="Arial"/>
                <w:b w:val="0"/>
                <w:sz w:val="20"/>
              </w:rPr>
              <w:t>0m</w:t>
            </w:r>
          </w:p>
        </w:tc>
      </w:tr>
      <w:tr w:rsidR="00BB0F2C">
        <w:tc>
          <w:tcPr>
            <w:tcW w:w="2303" w:type="dxa"/>
          </w:tcPr>
          <w:p w:rsidR="00BB0F2C" w:rsidRDefault="00BB0F2C">
            <w:pPr>
              <w:pStyle w:val="BodyText"/>
              <w:spacing w:before="60" w:after="60" w:line="288" w:lineRule="auto"/>
              <w:rPr>
                <w:rFonts w:cs="Arial"/>
                <w:sz w:val="20"/>
              </w:rPr>
            </w:pPr>
            <w:r>
              <w:rPr>
                <w:rFonts w:cs="Arial"/>
                <w:sz w:val="20"/>
              </w:rPr>
              <w:t>Garage / Carport</w:t>
            </w:r>
          </w:p>
        </w:tc>
        <w:tc>
          <w:tcPr>
            <w:tcW w:w="2304" w:type="dxa"/>
          </w:tcPr>
          <w:p w:rsidR="00BB0F2C" w:rsidRDefault="00BB0F2C">
            <w:pPr>
              <w:pStyle w:val="BodyText"/>
              <w:spacing w:before="60" w:after="60" w:line="288" w:lineRule="auto"/>
              <w:rPr>
                <w:rFonts w:cs="Arial"/>
                <w:b w:val="0"/>
                <w:sz w:val="20"/>
              </w:rPr>
            </w:pPr>
            <w:r>
              <w:rPr>
                <w:rFonts w:cs="Arial"/>
                <w:b w:val="0"/>
                <w:sz w:val="20"/>
              </w:rPr>
              <w:t>5.5m where there is a courtyard wall in the front zone of the block</w:t>
            </w:r>
          </w:p>
        </w:tc>
        <w:tc>
          <w:tcPr>
            <w:tcW w:w="2303" w:type="dxa"/>
          </w:tcPr>
          <w:p w:rsidR="00BB0F2C" w:rsidRDefault="00BB0F2C">
            <w:pPr>
              <w:pStyle w:val="BodyText"/>
              <w:spacing w:before="60" w:after="60" w:line="288" w:lineRule="auto"/>
              <w:rPr>
                <w:rFonts w:cs="Arial"/>
                <w:b w:val="0"/>
                <w:sz w:val="20"/>
              </w:rPr>
            </w:pPr>
            <w:r>
              <w:rPr>
                <w:rFonts w:cs="Arial"/>
                <w:b w:val="0"/>
                <w:sz w:val="20"/>
              </w:rPr>
              <w:t>5.5m where there is a courtyard wall in the front zone of the block</w:t>
            </w:r>
          </w:p>
        </w:tc>
        <w:tc>
          <w:tcPr>
            <w:tcW w:w="2304" w:type="dxa"/>
          </w:tcPr>
          <w:p w:rsidR="00BB0F2C" w:rsidRDefault="00BB0F2C">
            <w:pPr>
              <w:pStyle w:val="BodyText"/>
              <w:spacing w:before="60" w:after="60" w:line="288" w:lineRule="auto"/>
              <w:jc w:val="center"/>
              <w:rPr>
                <w:rFonts w:cs="Arial"/>
                <w:b w:val="0"/>
                <w:sz w:val="20"/>
              </w:rPr>
            </w:pPr>
            <w:r>
              <w:rPr>
                <w:rFonts w:cs="Arial"/>
                <w:b w:val="0"/>
                <w:sz w:val="20"/>
              </w:rPr>
              <w:t>0m</w:t>
            </w:r>
          </w:p>
        </w:tc>
      </w:tr>
    </w:tbl>
    <w:p w:rsidR="00BB0F2C" w:rsidRDefault="00BB0F2C">
      <w:pPr>
        <w:pStyle w:val="BodyText"/>
        <w:spacing w:before="60" w:after="60" w:line="288" w:lineRule="auto"/>
        <w:ind w:left="426" w:hanging="426"/>
        <w:rPr>
          <w:rFonts w:cs="Arial"/>
          <w:b w:val="0"/>
          <w:sz w:val="16"/>
          <w:szCs w:val="16"/>
        </w:rPr>
      </w:pPr>
      <w:r>
        <w:rPr>
          <w:rFonts w:cs="Arial"/>
          <w:b w:val="0"/>
          <w:sz w:val="16"/>
          <w:szCs w:val="16"/>
        </w:rPr>
        <w:t xml:space="preserve">* </w:t>
      </w:r>
      <w:r>
        <w:rPr>
          <w:rFonts w:cs="Arial"/>
          <w:b w:val="0"/>
          <w:sz w:val="16"/>
          <w:szCs w:val="16"/>
        </w:rPr>
        <w:tab/>
        <w:t>provided the rear lane width accommodates vehicular access and egress to and from the rear loading block and appropriate sightlines are achieved in accordance with A2890.1 The Australian Standard for Off-street Parking.</w:t>
      </w:r>
    </w:p>
    <w:p w:rsidR="00BB0F2C" w:rsidRDefault="00BB0F2C">
      <w:pPr>
        <w:pStyle w:val="BodyText"/>
        <w:spacing w:before="60" w:after="60" w:line="288" w:lineRule="auto"/>
        <w:rPr>
          <w:rFonts w:cs="Arial"/>
          <w:color w:val="FF0000"/>
          <w:sz w:val="16"/>
          <w:szCs w:val="16"/>
        </w:rPr>
      </w:pPr>
      <w:r>
        <w:rPr>
          <w:rFonts w:cs="Arial"/>
          <w:color w:val="FF0000"/>
          <w:sz w:val="16"/>
          <w:szCs w:val="16"/>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B0F2C">
        <w:trPr>
          <w:tblHeader/>
        </w:trPr>
        <w:tc>
          <w:tcPr>
            <w:tcW w:w="4621" w:type="dxa"/>
            <w:shd w:val="clear" w:color="auto" w:fill="CCCCCC"/>
          </w:tcPr>
          <w:p w:rsidR="00BB0F2C" w:rsidRDefault="00BB0F2C">
            <w:pPr>
              <w:pStyle w:val="codeHeading"/>
            </w:pPr>
            <w:r>
              <w:t>Rules</w:t>
            </w:r>
          </w:p>
        </w:tc>
        <w:tc>
          <w:tcPr>
            <w:tcW w:w="4622" w:type="dxa"/>
            <w:shd w:val="clear" w:color="auto" w:fill="CCCCCC"/>
          </w:tcPr>
          <w:p w:rsidR="00BB0F2C" w:rsidRDefault="00BB0F2C">
            <w:pPr>
              <w:pStyle w:val="codeHeading"/>
            </w:pPr>
            <w:r>
              <w:t>Criteria</w:t>
            </w:r>
          </w:p>
        </w:tc>
      </w:tr>
      <w:tr w:rsidR="00BB0F2C">
        <w:tc>
          <w:tcPr>
            <w:tcW w:w="9243" w:type="dxa"/>
            <w:gridSpan w:val="2"/>
            <w:shd w:val="clear" w:color="auto" w:fill="E0E0E0"/>
          </w:tcPr>
          <w:p w:rsidR="00BB0F2C" w:rsidRDefault="00BB0F2C">
            <w:pPr>
              <w:pStyle w:val="CodeItem"/>
              <w:ind w:left="448" w:hanging="448"/>
              <w:rPr>
                <w:b w:val="0"/>
              </w:rPr>
            </w:pPr>
            <w:r>
              <w:rPr>
                <w:b w:val="0"/>
                <w:bCs w:val="0"/>
              </w:rPr>
              <w:br w:type="page"/>
            </w:r>
            <w:bookmarkStart w:id="40" w:name="_Toc222029906"/>
            <w:r>
              <w:t>2.3</w:t>
            </w:r>
            <w:r>
              <w:tab/>
            </w:r>
            <w:bookmarkEnd w:id="40"/>
            <w:r>
              <w:t>Side setback</w:t>
            </w:r>
            <w:r>
              <w:rPr>
                <w:b w:val="0"/>
              </w:rPr>
              <w:t xml:space="preserve"> (Replaces R31)</w:t>
            </w:r>
          </w:p>
        </w:tc>
      </w:tr>
      <w:tr w:rsidR="00BB0F2C">
        <w:tc>
          <w:tcPr>
            <w:tcW w:w="4621" w:type="dxa"/>
          </w:tcPr>
          <w:p w:rsidR="00BB0F2C" w:rsidRDefault="00BB0F2C">
            <w:pPr>
              <w:pStyle w:val="codeList"/>
              <w:numPr>
                <w:ilvl w:val="0"/>
                <w:numId w:val="0"/>
              </w:numPr>
              <w:spacing w:before="40"/>
              <w:ind w:left="448" w:hanging="448"/>
            </w:pPr>
            <w:r>
              <w:t xml:space="preserve">R83 </w:t>
            </w:r>
          </w:p>
          <w:p w:rsidR="00BB0F2C" w:rsidRDefault="00BB0F2C">
            <w:pPr>
              <w:pStyle w:val="codeList"/>
              <w:numPr>
                <w:ilvl w:val="0"/>
                <w:numId w:val="0"/>
              </w:numPr>
              <w:spacing w:before="40"/>
              <w:ind w:left="34" w:hanging="34"/>
            </w:pPr>
            <w:r>
              <w:t xml:space="preserve">Minimum option 1 side setbacks are as specified in </w:t>
            </w:r>
          </w:p>
          <w:p w:rsidR="00BB0F2C" w:rsidRDefault="00BB0F2C">
            <w:pPr>
              <w:pStyle w:val="codeList"/>
              <w:numPr>
                <w:ilvl w:val="0"/>
                <w:numId w:val="0"/>
              </w:numPr>
              <w:spacing w:before="40"/>
              <w:ind w:left="34" w:hanging="34"/>
            </w:pPr>
            <w:r>
              <w:t>Table 2 , or</w:t>
            </w:r>
          </w:p>
          <w:p w:rsidR="00BB0F2C" w:rsidRDefault="00BB0F2C">
            <w:pPr>
              <w:pStyle w:val="codeList"/>
              <w:numPr>
                <w:ilvl w:val="0"/>
                <w:numId w:val="0"/>
              </w:numPr>
              <w:spacing w:before="40"/>
              <w:ind w:left="34" w:hanging="34"/>
            </w:pPr>
            <w:r>
              <w:t xml:space="preserve">Where identified in a precinct code as having the option 2 side setbacks the minimum side setbacks are prescribed in Table 3. </w:t>
            </w:r>
          </w:p>
          <w:p w:rsidR="00BB0F2C" w:rsidRDefault="00BB0F2C">
            <w:pPr>
              <w:pStyle w:val="codeList"/>
              <w:numPr>
                <w:ilvl w:val="0"/>
                <w:numId w:val="0"/>
              </w:numPr>
              <w:spacing w:before="40"/>
              <w:ind w:left="34" w:hanging="34"/>
              <w:rPr>
                <w:highlight w:val="cyan"/>
              </w:rPr>
            </w:pPr>
          </w:p>
        </w:tc>
        <w:tc>
          <w:tcPr>
            <w:tcW w:w="4622" w:type="dxa"/>
          </w:tcPr>
          <w:p w:rsidR="00BB0F2C" w:rsidRDefault="00BB0F2C">
            <w:pPr>
              <w:pStyle w:val="codeCriteriaList"/>
              <w:numPr>
                <w:ilvl w:val="0"/>
                <w:numId w:val="0"/>
              </w:numPr>
            </w:pPr>
            <w:r>
              <w:t>C83</w:t>
            </w:r>
          </w:p>
          <w:p w:rsidR="00BB0F2C" w:rsidRDefault="00BB0F2C">
            <w:pPr>
              <w:pStyle w:val="codeList"/>
              <w:numPr>
                <w:ilvl w:val="0"/>
                <w:numId w:val="0"/>
              </w:numPr>
              <w:ind w:left="448" w:hanging="448"/>
            </w:pPr>
            <w:r>
              <w:t>a)</w:t>
            </w:r>
            <w:r>
              <w:tab/>
              <w:t>Buildings and other structures are sited and reflect residential (suburban) scale, height and length to ensure:</w:t>
            </w:r>
          </w:p>
          <w:p w:rsidR="00BB0F2C" w:rsidRDefault="00BB0F2C">
            <w:pPr>
              <w:pStyle w:val="codeList2"/>
              <w:numPr>
                <w:ilvl w:val="0"/>
                <w:numId w:val="0"/>
              </w:numPr>
              <w:ind w:left="720" w:hanging="272"/>
            </w:pPr>
            <w:r>
              <w:t>i)</w:t>
            </w:r>
            <w:r>
              <w:tab/>
              <w:t>sufficient spatial separation between adjoining developments</w:t>
            </w:r>
          </w:p>
          <w:p w:rsidR="00BB0F2C" w:rsidRDefault="00BB0F2C">
            <w:pPr>
              <w:pStyle w:val="codeList2"/>
              <w:numPr>
                <w:ilvl w:val="0"/>
                <w:numId w:val="0"/>
              </w:numPr>
              <w:ind w:left="720" w:hanging="272"/>
            </w:pPr>
            <w:r>
              <w:t>ii)</w:t>
            </w:r>
            <w:r>
              <w:tab/>
              <w:t>the protection of a reasonable amount of privacy and solar access to the dwelling (or adjacent dwellings) and outdoor spaces (or adjacent outdoor spaces).</w:t>
            </w:r>
          </w:p>
          <w:p w:rsidR="00BB0F2C" w:rsidRDefault="00BB0F2C">
            <w:pPr>
              <w:pStyle w:val="codeRuleCriteria"/>
              <w:ind w:left="374" w:hanging="374"/>
              <w:rPr>
                <w:highlight w:val="cyan"/>
              </w:rPr>
            </w:pPr>
            <w:r>
              <w:t>b)    Setbacks are progressively increased as wall heights increase to reduce bulk and scale of the building.</w:t>
            </w:r>
          </w:p>
        </w:tc>
      </w:tr>
    </w:tbl>
    <w:p w:rsidR="00BB0F2C" w:rsidRDefault="00BB0F2C">
      <w:pPr>
        <w:pStyle w:val="Normalbold"/>
        <w:spacing w:before="120" w:after="120"/>
        <w:rPr>
          <w:sz w:val="20"/>
        </w:rPr>
      </w:pPr>
    </w:p>
    <w:p w:rsidR="00BB0F2C" w:rsidRDefault="00BB0F2C">
      <w:pPr>
        <w:pStyle w:val="Normalbold"/>
        <w:spacing w:before="120" w:after="120"/>
        <w:rPr>
          <w:b w:val="0"/>
          <w:sz w:val="20"/>
          <w:highlight w:val="yellow"/>
        </w:rPr>
      </w:pPr>
      <w:r>
        <w:rPr>
          <w:sz w:val="20"/>
        </w:rPr>
        <w:t xml:space="preserve">Table 2: Side Boundary Setbacks –Option 1 </w:t>
      </w:r>
      <w:r>
        <w:rPr>
          <w:b w:val="0"/>
          <w:sz w:val="20"/>
        </w:rPr>
        <w:t>(Refer Figures C4 &amp; C5)</w:t>
      </w:r>
      <w:r>
        <w:rPr>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5"/>
        <w:gridCol w:w="3068"/>
        <w:gridCol w:w="3068"/>
      </w:tblGrid>
      <w:tr w:rsidR="00BB0F2C">
        <w:trPr>
          <w:trHeight w:val="915"/>
          <w:jc w:val="center"/>
        </w:trPr>
        <w:tc>
          <w:tcPr>
            <w:tcW w:w="1614" w:type="pct"/>
            <w:vAlign w:val="center"/>
          </w:tcPr>
          <w:p w:rsidR="00BB0F2C" w:rsidRDefault="00BB0F2C">
            <w:pPr>
              <w:rPr>
                <w:rFonts w:cs="Arial"/>
                <w:b/>
                <w:sz w:val="20"/>
              </w:rPr>
            </w:pPr>
            <w:bookmarkStart w:id="41" w:name="_Toc222029881"/>
          </w:p>
        </w:tc>
        <w:tc>
          <w:tcPr>
            <w:tcW w:w="1693" w:type="pct"/>
            <w:vAlign w:val="center"/>
          </w:tcPr>
          <w:p w:rsidR="00BB0F2C" w:rsidRDefault="00BB0F2C">
            <w:pPr>
              <w:rPr>
                <w:rFonts w:cs="Arial"/>
                <w:b/>
                <w:sz w:val="20"/>
              </w:rPr>
            </w:pPr>
            <w:r>
              <w:rPr>
                <w:rFonts w:cs="Arial"/>
                <w:b/>
                <w:sz w:val="20"/>
              </w:rPr>
              <w:t>Side Boundary 1</w:t>
            </w:r>
          </w:p>
        </w:tc>
        <w:tc>
          <w:tcPr>
            <w:tcW w:w="1693" w:type="pct"/>
            <w:vAlign w:val="center"/>
          </w:tcPr>
          <w:p w:rsidR="00BB0F2C" w:rsidRDefault="00BB0F2C">
            <w:pPr>
              <w:rPr>
                <w:rFonts w:cs="Arial"/>
                <w:b/>
                <w:sz w:val="20"/>
              </w:rPr>
            </w:pPr>
            <w:r>
              <w:rPr>
                <w:rFonts w:cs="Arial"/>
                <w:b/>
                <w:sz w:val="20"/>
              </w:rPr>
              <w:t xml:space="preserve">Side Boundary 2*  </w:t>
            </w:r>
          </w:p>
        </w:tc>
      </w:tr>
      <w:tr w:rsidR="00BB0F2C">
        <w:trPr>
          <w:trHeight w:val="915"/>
          <w:jc w:val="center"/>
        </w:trPr>
        <w:tc>
          <w:tcPr>
            <w:tcW w:w="1614" w:type="pct"/>
            <w:vAlign w:val="center"/>
          </w:tcPr>
          <w:p w:rsidR="00BB0F2C" w:rsidRDefault="00BB0F2C">
            <w:pPr>
              <w:rPr>
                <w:rFonts w:cs="Arial"/>
                <w:b/>
                <w:sz w:val="20"/>
              </w:rPr>
            </w:pPr>
            <w:r>
              <w:rPr>
                <w:rFonts w:cs="Arial"/>
                <w:b/>
                <w:sz w:val="20"/>
              </w:rPr>
              <w:t>LFL in the PBZ</w:t>
            </w:r>
          </w:p>
        </w:tc>
        <w:tc>
          <w:tcPr>
            <w:tcW w:w="1693" w:type="pct"/>
            <w:vAlign w:val="center"/>
          </w:tcPr>
          <w:p w:rsidR="00BB0F2C" w:rsidRDefault="00BB0F2C">
            <w:pPr>
              <w:jc w:val="center"/>
              <w:rPr>
                <w:rFonts w:cs="Arial"/>
                <w:sz w:val="20"/>
              </w:rPr>
            </w:pPr>
            <w:r>
              <w:rPr>
                <w:rFonts w:cs="Arial"/>
                <w:sz w:val="20"/>
              </w:rPr>
              <w:t>1.5m</w:t>
            </w:r>
          </w:p>
          <w:p w:rsidR="00BB0F2C" w:rsidRDefault="00BB0F2C">
            <w:pPr>
              <w:jc w:val="center"/>
              <w:rPr>
                <w:rFonts w:cs="Arial"/>
                <w:sz w:val="20"/>
              </w:rPr>
            </w:pPr>
          </w:p>
        </w:tc>
        <w:tc>
          <w:tcPr>
            <w:tcW w:w="1693" w:type="pct"/>
            <w:vAlign w:val="center"/>
          </w:tcPr>
          <w:p w:rsidR="00BB0F2C" w:rsidRDefault="00BB0F2C">
            <w:pPr>
              <w:jc w:val="center"/>
              <w:rPr>
                <w:rFonts w:cs="Arial"/>
                <w:sz w:val="20"/>
              </w:rPr>
            </w:pPr>
            <w:r>
              <w:rPr>
                <w:rFonts w:cs="Arial"/>
                <w:sz w:val="20"/>
              </w:rPr>
              <w:t>1.5m or</w:t>
            </w:r>
          </w:p>
          <w:p w:rsidR="00BB0F2C" w:rsidRDefault="00BB0F2C">
            <w:pPr>
              <w:jc w:val="center"/>
              <w:rPr>
                <w:rFonts w:cs="Arial"/>
                <w:sz w:val="20"/>
              </w:rPr>
            </w:pPr>
            <w:r>
              <w:rPr>
                <w:rFonts w:cs="Arial"/>
                <w:sz w:val="20"/>
              </w:rPr>
              <w:t>0m**</w:t>
            </w:r>
          </w:p>
          <w:p w:rsidR="00BB0F2C" w:rsidRDefault="00BB0F2C">
            <w:pPr>
              <w:jc w:val="center"/>
              <w:rPr>
                <w:rFonts w:cs="Arial"/>
                <w:sz w:val="20"/>
              </w:rPr>
            </w:pPr>
          </w:p>
          <w:p w:rsidR="00BB0F2C" w:rsidRDefault="00BB0F2C">
            <w:pPr>
              <w:jc w:val="center"/>
              <w:rPr>
                <w:rFonts w:cs="Arial"/>
                <w:sz w:val="20"/>
              </w:rPr>
            </w:pPr>
          </w:p>
        </w:tc>
      </w:tr>
      <w:tr w:rsidR="00BB0F2C">
        <w:trPr>
          <w:trHeight w:val="915"/>
          <w:jc w:val="center"/>
        </w:trPr>
        <w:tc>
          <w:tcPr>
            <w:tcW w:w="1614" w:type="pct"/>
            <w:vAlign w:val="center"/>
          </w:tcPr>
          <w:p w:rsidR="00BB0F2C" w:rsidRDefault="00BB0F2C">
            <w:pPr>
              <w:rPr>
                <w:rFonts w:cs="Arial"/>
                <w:b/>
                <w:sz w:val="20"/>
              </w:rPr>
            </w:pPr>
            <w:r>
              <w:rPr>
                <w:rFonts w:cs="Arial"/>
                <w:b/>
                <w:sz w:val="20"/>
              </w:rPr>
              <w:t>LFL in the RZ</w:t>
            </w:r>
          </w:p>
        </w:tc>
        <w:tc>
          <w:tcPr>
            <w:tcW w:w="1693" w:type="pct"/>
            <w:vAlign w:val="center"/>
          </w:tcPr>
          <w:p w:rsidR="00BB0F2C" w:rsidRDefault="00BB0F2C">
            <w:pPr>
              <w:jc w:val="center"/>
              <w:rPr>
                <w:rFonts w:cs="Arial"/>
                <w:sz w:val="20"/>
              </w:rPr>
            </w:pPr>
            <w:r>
              <w:rPr>
                <w:rFonts w:cs="Arial"/>
                <w:sz w:val="20"/>
              </w:rPr>
              <w:t>3.0m</w:t>
            </w:r>
          </w:p>
          <w:p w:rsidR="00BB0F2C" w:rsidRDefault="00BB0F2C">
            <w:pPr>
              <w:jc w:val="center"/>
              <w:rPr>
                <w:rFonts w:cs="Arial"/>
                <w:sz w:val="20"/>
              </w:rPr>
            </w:pPr>
          </w:p>
        </w:tc>
        <w:tc>
          <w:tcPr>
            <w:tcW w:w="1693" w:type="pct"/>
            <w:vAlign w:val="center"/>
          </w:tcPr>
          <w:p w:rsidR="00BB0F2C" w:rsidRDefault="00BB0F2C">
            <w:pPr>
              <w:jc w:val="center"/>
              <w:rPr>
                <w:rFonts w:cs="Arial"/>
                <w:sz w:val="20"/>
              </w:rPr>
            </w:pPr>
            <w:r>
              <w:rPr>
                <w:rFonts w:cs="Arial"/>
                <w:sz w:val="20"/>
              </w:rPr>
              <w:t>0.9m</w:t>
            </w:r>
          </w:p>
          <w:p w:rsidR="00BB0F2C" w:rsidRDefault="00BB0F2C">
            <w:pPr>
              <w:jc w:val="center"/>
              <w:rPr>
                <w:rFonts w:cs="Arial"/>
                <w:sz w:val="20"/>
              </w:rPr>
            </w:pPr>
          </w:p>
        </w:tc>
      </w:tr>
      <w:tr w:rsidR="00BB0F2C">
        <w:trPr>
          <w:trHeight w:val="915"/>
          <w:jc w:val="center"/>
        </w:trPr>
        <w:tc>
          <w:tcPr>
            <w:tcW w:w="1614" w:type="pct"/>
            <w:vAlign w:val="center"/>
          </w:tcPr>
          <w:p w:rsidR="00BB0F2C" w:rsidRDefault="00BB0F2C">
            <w:pPr>
              <w:rPr>
                <w:rFonts w:cs="Arial"/>
                <w:b/>
                <w:sz w:val="20"/>
              </w:rPr>
            </w:pPr>
            <w:r>
              <w:rPr>
                <w:rFonts w:cs="Arial"/>
                <w:b/>
                <w:sz w:val="20"/>
              </w:rPr>
              <w:t>UFL1 in the PBZ***</w:t>
            </w:r>
          </w:p>
        </w:tc>
        <w:tc>
          <w:tcPr>
            <w:tcW w:w="1693" w:type="pct"/>
            <w:vAlign w:val="center"/>
          </w:tcPr>
          <w:p w:rsidR="00BB0F2C" w:rsidRDefault="00BB0F2C">
            <w:pPr>
              <w:jc w:val="center"/>
              <w:rPr>
                <w:rFonts w:cs="Arial"/>
                <w:sz w:val="20"/>
              </w:rPr>
            </w:pPr>
            <w:r>
              <w:rPr>
                <w:rFonts w:cs="Arial"/>
                <w:sz w:val="20"/>
              </w:rPr>
              <w:t>1.5m</w:t>
            </w:r>
          </w:p>
          <w:p w:rsidR="00BB0F2C" w:rsidRDefault="00BB0F2C">
            <w:pPr>
              <w:jc w:val="center"/>
              <w:rPr>
                <w:rFonts w:cs="Arial"/>
                <w:sz w:val="20"/>
                <w:highlight w:val="yellow"/>
              </w:rPr>
            </w:pPr>
            <w:r>
              <w:rPr>
                <w:rFonts w:cs="Arial"/>
                <w:sz w:val="20"/>
              </w:rPr>
              <w:t xml:space="preserve"> </w:t>
            </w:r>
          </w:p>
        </w:tc>
        <w:tc>
          <w:tcPr>
            <w:tcW w:w="1693" w:type="pct"/>
            <w:vAlign w:val="center"/>
          </w:tcPr>
          <w:p w:rsidR="00BB0F2C" w:rsidRDefault="00BB0F2C">
            <w:pPr>
              <w:jc w:val="center"/>
              <w:rPr>
                <w:rFonts w:cs="Arial"/>
                <w:sz w:val="20"/>
              </w:rPr>
            </w:pPr>
            <w:r>
              <w:rPr>
                <w:rFonts w:cs="Arial"/>
                <w:sz w:val="20"/>
              </w:rPr>
              <w:t xml:space="preserve">3.0m </w:t>
            </w:r>
          </w:p>
          <w:p w:rsidR="00BB0F2C" w:rsidRDefault="00BB0F2C">
            <w:pPr>
              <w:jc w:val="center"/>
              <w:rPr>
                <w:rFonts w:cs="Arial"/>
                <w:sz w:val="16"/>
                <w:szCs w:val="16"/>
                <w:highlight w:val="yellow"/>
              </w:rPr>
            </w:pPr>
          </w:p>
        </w:tc>
      </w:tr>
      <w:tr w:rsidR="00BB0F2C">
        <w:trPr>
          <w:trHeight w:val="915"/>
          <w:jc w:val="center"/>
        </w:trPr>
        <w:tc>
          <w:tcPr>
            <w:tcW w:w="1614" w:type="pct"/>
            <w:vAlign w:val="center"/>
          </w:tcPr>
          <w:p w:rsidR="00BB0F2C" w:rsidRDefault="00BB0F2C">
            <w:pPr>
              <w:rPr>
                <w:rFonts w:cs="Arial"/>
                <w:b/>
                <w:sz w:val="20"/>
              </w:rPr>
            </w:pPr>
            <w:r>
              <w:rPr>
                <w:rFonts w:cs="Arial"/>
                <w:b/>
                <w:sz w:val="20"/>
              </w:rPr>
              <w:t>UFL 2 in PBZ****</w:t>
            </w:r>
          </w:p>
        </w:tc>
        <w:tc>
          <w:tcPr>
            <w:tcW w:w="1693" w:type="pct"/>
            <w:vAlign w:val="center"/>
          </w:tcPr>
          <w:p w:rsidR="00BB0F2C" w:rsidRDefault="00BB0F2C">
            <w:pPr>
              <w:jc w:val="center"/>
              <w:rPr>
                <w:rFonts w:cs="Arial"/>
                <w:sz w:val="20"/>
              </w:rPr>
            </w:pPr>
          </w:p>
          <w:p w:rsidR="00BB0F2C" w:rsidRDefault="00BB0F2C">
            <w:pPr>
              <w:jc w:val="center"/>
              <w:rPr>
                <w:rFonts w:cs="Arial"/>
                <w:sz w:val="20"/>
              </w:rPr>
            </w:pPr>
            <w:r>
              <w:rPr>
                <w:rFonts w:cs="Arial"/>
                <w:sz w:val="20"/>
              </w:rPr>
              <w:t>6.0m</w:t>
            </w:r>
          </w:p>
          <w:p w:rsidR="00BB0F2C" w:rsidRDefault="00BB0F2C">
            <w:pPr>
              <w:jc w:val="center"/>
              <w:rPr>
                <w:rFonts w:cs="Arial"/>
                <w:sz w:val="20"/>
              </w:rPr>
            </w:pPr>
          </w:p>
          <w:p w:rsidR="00BB0F2C" w:rsidRDefault="00BB0F2C">
            <w:pPr>
              <w:jc w:val="center"/>
              <w:rPr>
                <w:rFonts w:cs="Arial"/>
                <w:sz w:val="20"/>
              </w:rPr>
            </w:pPr>
          </w:p>
        </w:tc>
        <w:tc>
          <w:tcPr>
            <w:tcW w:w="1693" w:type="pct"/>
            <w:vAlign w:val="center"/>
          </w:tcPr>
          <w:p w:rsidR="00BB0F2C" w:rsidRDefault="00BB0F2C">
            <w:pPr>
              <w:jc w:val="center"/>
              <w:rPr>
                <w:rFonts w:cs="Arial"/>
                <w:sz w:val="20"/>
              </w:rPr>
            </w:pPr>
          </w:p>
          <w:p w:rsidR="00BB0F2C" w:rsidRDefault="00BB0F2C">
            <w:pPr>
              <w:jc w:val="center"/>
              <w:rPr>
                <w:rFonts w:cs="Arial"/>
                <w:sz w:val="20"/>
              </w:rPr>
            </w:pPr>
            <w:r>
              <w:rPr>
                <w:rFonts w:cs="Arial"/>
                <w:sz w:val="20"/>
              </w:rPr>
              <w:t>6.0m</w:t>
            </w:r>
          </w:p>
          <w:p w:rsidR="00BB0F2C" w:rsidRDefault="00BB0F2C">
            <w:pPr>
              <w:jc w:val="center"/>
              <w:rPr>
                <w:rFonts w:cs="Arial"/>
                <w:sz w:val="20"/>
              </w:rPr>
            </w:pPr>
          </w:p>
          <w:p w:rsidR="00BB0F2C" w:rsidRDefault="00BB0F2C">
            <w:pPr>
              <w:jc w:val="center"/>
              <w:rPr>
                <w:rFonts w:cs="Arial"/>
                <w:sz w:val="20"/>
              </w:rPr>
            </w:pPr>
          </w:p>
        </w:tc>
      </w:tr>
      <w:tr w:rsidR="00BB0F2C">
        <w:trPr>
          <w:trHeight w:val="915"/>
          <w:jc w:val="center"/>
        </w:trPr>
        <w:tc>
          <w:tcPr>
            <w:tcW w:w="1614" w:type="pct"/>
            <w:vAlign w:val="center"/>
          </w:tcPr>
          <w:p w:rsidR="00BB0F2C" w:rsidRDefault="00BB0F2C">
            <w:pPr>
              <w:rPr>
                <w:rFonts w:cs="Arial"/>
                <w:b/>
                <w:sz w:val="20"/>
              </w:rPr>
            </w:pPr>
            <w:r>
              <w:rPr>
                <w:rFonts w:cs="Arial"/>
                <w:b/>
                <w:sz w:val="20"/>
              </w:rPr>
              <w:t>UFL in the RZ</w:t>
            </w:r>
          </w:p>
        </w:tc>
        <w:tc>
          <w:tcPr>
            <w:tcW w:w="1693" w:type="pct"/>
            <w:vAlign w:val="center"/>
          </w:tcPr>
          <w:p w:rsidR="00BB0F2C" w:rsidRDefault="00BB0F2C">
            <w:pPr>
              <w:jc w:val="center"/>
              <w:rPr>
                <w:rFonts w:cs="Arial"/>
                <w:sz w:val="20"/>
              </w:rPr>
            </w:pPr>
          </w:p>
          <w:p w:rsidR="00BB0F2C" w:rsidRDefault="00BB0F2C">
            <w:pPr>
              <w:jc w:val="center"/>
              <w:rPr>
                <w:rFonts w:cs="Arial"/>
                <w:sz w:val="20"/>
              </w:rPr>
            </w:pPr>
            <w:r>
              <w:rPr>
                <w:rFonts w:cs="Arial"/>
                <w:sz w:val="20"/>
              </w:rPr>
              <w:t xml:space="preserve">6.0m </w:t>
            </w:r>
          </w:p>
          <w:p w:rsidR="00BB0F2C" w:rsidRDefault="00BB0F2C">
            <w:pPr>
              <w:jc w:val="center"/>
              <w:rPr>
                <w:rFonts w:cs="Arial"/>
                <w:sz w:val="20"/>
              </w:rPr>
            </w:pPr>
          </w:p>
          <w:p w:rsidR="00BB0F2C" w:rsidRDefault="00BB0F2C">
            <w:pPr>
              <w:jc w:val="center"/>
              <w:rPr>
                <w:rFonts w:cs="Arial"/>
                <w:sz w:val="20"/>
              </w:rPr>
            </w:pPr>
          </w:p>
        </w:tc>
        <w:tc>
          <w:tcPr>
            <w:tcW w:w="1693" w:type="pct"/>
            <w:vAlign w:val="center"/>
          </w:tcPr>
          <w:p w:rsidR="00BB0F2C" w:rsidRDefault="00BB0F2C">
            <w:pPr>
              <w:jc w:val="center"/>
              <w:rPr>
                <w:rFonts w:cs="Arial"/>
                <w:sz w:val="20"/>
              </w:rPr>
            </w:pPr>
          </w:p>
          <w:p w:rsidR="00BB0F2C" w:rsidRDefault="00BB0F2C">
            <w:pPr>
              <w:jc w:val="center"/>
              <w:rPr>
                <w:rFonts w:cs="Arial"/>
                <w:sz w:val="20"/>
              </w:rPr>
            </w:pPr>
            <w:r>
              <w:rPr>
                <w:rFonts w:cs="Arial"/>
                <w:sz w:val="20"/>
              </w:rPr>
              <w:t xml:space="preserve">6.0m </w:t>
            </w:r>
          </w:p>
          <w:p w:rsidR="00BB0F2C" w:rsidRDefault="00BB0F2C">
            <w:pPr>
              <w:jc w:val="center"/>
              <w:rPr>
                <w:rFonts w:cs="Arial"/>
                <w:sz w:val="20"/>
              </w:rPr>
            </w:pPr>
          </w:p>
          <w:p w:rsidR="00BB0F2C" w:rsidRDefault="00BB0F2C">
            <w:pPr>
              <w:jc w:val="center"/>
              <w:rPr>
                <w:rFonts w:cs="Arial"/>
                <w:sz w:val="20"/>
              </w:rPr>
            </w:pPr>
          </w:p>
        </w:tc>
      </w:tr>
    </w:tbl>
    <w:p w:rsidR="00BB0F2C" w:rsidRDefault="00BB0F2C">
      <w:pPr>
        <w:ind w:left="567" w:hanging="567"/>
        <w:rPr>
          <w:rFonts w:cs="Arial"/>
          <w:sz w:val="16"/>
          <w:szCs w:val="16"/>
        </w:rPr>
      </w:pPr>
      <w:r>
        <w:rPr>
          <w:rFonts w:cs="Arial"/>
          <w:sz w:val="20"/>
        </w:rPr>
        <w:t>*</w:t>
      </w:r>
      <w:r>
        <w:rPr>
          <w:rFonts w:cs="Arial"/>
          <w:sz w:val="20"/>
        </w:rPr>
        <w:tab/>
      </w:r>
      <w:r>
        <w:rPr>
          <w:rFonts w:cs="Arial"/>
          <w:sz w:val="16"/>
          <w:szCs w:val="16"/>
        </w:rPr>
        <w:t>Boundary 2 location is as specified in Figure C4 or as otherwise stipulated in a precinct code.</w:t>
      </w:r>
    </w:p>
    <w:p w:rsidR="00BB0F2C" w:rsidRDefault="00BB0F2C">
      <w:pPr>
        <w:ind w:left="567" w:hanging="567"/>
        <w:rPr>
          <w:rFonts w:cs="Arial"/>
          <w:sz w:val="16"/>
          <w:szCs w:val="16"/>
        </w:rPr>
      </w:pPr>
      <w:r>
        <w:rPr>
          <w:rFonts w:cs="Arial"/>
          <w:sz w:val="16"/>
          <w:szCs w:val="16"/>
        </w:rPr>
        <w:t>**</w:t>
      </w:r>
      <w:r>
        <w:rPr>
          <w:rFonts w:cs="Arial"/>
          <w:sz w:val="16"/>
          <w:szCs w:val="16"/>
        </w:rPr>
        <w:tab/>
        <w:t xml:space="preserve">Provided the total length of the wall on the boundary does not exceed 13m (may extend up to 2.5m into the rear zone).  Blank walls on boundaries may include walls to garages and non habitable rooms and cavity walls to habitable rooms.  </w:t>
      </w:r>
    </w:p>
    <w:p w:rsidR="00BB0F2C" w:rsidRDefault="00BB0F2C">
      <w:pPr>
        <w:ind w:left="567" w:hanging="567"/>
        <w:rPr>
          <w:rFonts w:cs="Arial"/>
          <w:sz w:val="16"/>
          <w:szCs w:val="16"/>
        </w:rPr>
      </w:pPr>
      <w:r>
        <w:rPr>
          <w:rFonts w:cs="Arial"/>
          <w:sz w:val="16"/>
          <w:szCs w:val="16"/>
        </w:rPr>
        <w:t>***</w:t>
      </w:r>
      <w:r>
        <w:rPr>
          <w:rFonts w:cs="Arial"/>
          <w:sz w:val="16"/>
          <w:szCs w:val="16"/>
        </w:rPr>
        <w:tab/>
        <w:t>Blank walls, walls with windows with sill heights ≥ 1.7m or with permanent fixed panes of obscure glass, or screen walls.</w:t>
      </w:r>
    </w:p>
    <w:p w:rsidR="00BB0F2C" w:rsidRDefault="00BB0F2C">
      <w:pPr>
        <w:ind w:left="567" w:hanging="567"/>
        <w:rPr>
          <w:rFonts w:cs="Arial"/>
          <w:sz w:val="16"/>
          <w:szCs w:val="16"/>
        </w:rPr>
      </w:pPr>
      <w:r>
        <w:rPr>
          <w:rFonts w:cs="Arial"/>
          <w:sz w:val="16"/>
          <w:szCs w:val="16"/>
        </w:rPr>
        <w:t>****</w:t>
      </w:r>
      <w:r>
        <w:rPr>
          <w:rFonts w:cs="Arial"/>
          <w:sz w:val="16"/>
          <w:szCs w:val="16"/>
        </w:rPr>
        <w:tab/>
        <w:t xml:space="preserve">Walls with other windows, outer faces of unscreened decks, balconies and external stairs. </w:t>
      </w:r>
    </w:p>
    <w:p w:rsidR="00BB0F2C" w:rsidRDefault="00BB0F2C">
      <w:pPr>
        <w:rPr>
          <w:rFonts w:cs="Arial"/>
          <w:b/>
          <w:sz w:val="20"/>
        </w:rPr>
      </w:pPr>
      <w:r>
        <w:rPr>
          <w:rFonts w:cs="Arial"/>
          <w:b/>
          <w:sz w:val="20"/>
        </w:rPr>
        <w:br w:type="page"/>
        <w:t>Figure C(4) Location of side boundary 2, relative to orientation</w:t>
      </w:r>
    </w:p>
    <w:p w:rsidR="00BB0F2C" w:rsidRDefault="00BB0F2C">
      <w:pPr>
        <w:pStyle w:val="elementHeading"/>
        <w:rPr>
          <w:rFonts w:ascii="Arial Bold" w:hAnsi="Arial Bold"/>
        </w:rPr>
      </w:pPr>
    </w:p>
    <w:p w:rsidR="00BB0F2C" w:rsidRDefault="002E2D95">
      <w:pPr>
        <w:pStyle w:val="elementHeading"/>
        <w:jc w:val="center"/>
        <w:rPr>
          <w:rFonts w:ascii="Arial Bold" w:hAnsi="Arial Bold"/>
        </w:rPr>
      </w:pPr>
      <w:r>
        <w:rPr>
          <w:sz w:val="20"/>
        </w:rPr>
        <w:pict>
          <v:shape id="_x0000_i1031" type="#_x0000_t75" style="width:279.75pt;height:314.25pt">
            <v:imagedata r:id="rId23" o:title=""/>
          </v:shape>
        </w:pict>
      </w:r>
    </w:p>
    <w:p w:rsidR="00BB0F2C" w:rsidRDefault="00BB0F2C">
      <w:pPr>
        <w:pStyle w:val="elementHeading"/>
        <w:rPr>
          <w:sz w:val="20"/>
        </w:rPr>
      </w:pPr>
    </w:p>
    <w:p w:rsidR="00BB0F2C" w:rsidRDefault="002E2D95">
      <w:pPr>
        <w:pStyle w:val="elementHeading"/>
        <w:jc w:val="center"/>
        <w:rPr>
          <w:b w:val="0"/>
          <w:sz w:val="20"/>
        </w:rPr>
      </w:pPr>
      <w:r>
        <w:rPr>
          <w:sz w:val="20"/>
        </w:rPr>
        <w:pict>
          <v:shape id="_x0000_i1032" type="#_x0000_t75" style="width:69pt;height:41.25pt" filled="t" fillcolor="silver">
            <v:imagedata r:id="rId23" o:title="" croptop="37631f" cropbottom="22159f" cropleft="5626f" cropright="49630f"/>
          </v:shape>
        </w:pict>
      </w:r>
      <w:r w:rsidR="00BB0F2C">
        <w:rPr>
          <w:sz w:val="20"/>
        </w:rPr>
        <w:t xml:space="preserve"> </w:t>
      </w:r>
      <w:r w:rsidR="00BB0F2C">
        <w:rPr>
          <w:b w:val="0"/>
          <w:sz w:val="20"/>
        </w:rPr>
        <w:t>Denotes the location of side boundary 2</w:t>
      </w:r>
    </w:p>
    <w:p w:rsidR="00BB0F2C" w:rsidRDefault="00BB0F2C">
      <w:pPr>
        <w:pStyle w:val="elementHeading"/>
        <w:rPr>
          <w:rFonts w:ascii="Arial Bold" w:hAnsi="Arial Bold"/>
          <w:highlight w:val="yellow"/>
        </w:rPr>
      </w:pPr>
    </w:p>
    <w:tbl>
      <w:tblPr>
        <w:tblStyle w:val="TableGrid"/>
        <w:tblpPr w:leftFromText="181" w:rightFromText="181" w:vertAnchor="page" w:horzAnchor="margin" w:tblpXSpec="center" w:tblpYSpec="center"/>
        <w:tblW w:w="0" w:type="auto"/>
        <w:tblLook w:val="00A0" w:firstRow="1" w:lastRow="0" w:firstColumn="1" w:lastColumn="0" w:noHBand="0" w:noVBand="0"/>
      </w:tblPr>
      <w:tblGrid>
        <w:gridCol w:w="1668"/>
        <w:gridCol w:w="1417"/>
        <w:gridCol w:w="5976"/>
      </w:tblGrid>
      <w:tr w:rsidR="00BB0F2C">
        <w:tc>
          <w:tcPr>
            <w:tcW w:w="9061" w:type="dxa"/>
            <w:gridSpan w:val="3"/>
          </w:tcPr>
          <w:p w:rsidR="00BB0F2C" w:rsidRDefault="00BB0F2C">
            <w:pPr>
              <w:pStyle w:val="elementHeading"/>
              <w:jc w:val="center"/>
              <w:rPr>
                <w:sz w:val="20"/>
              </w:rPr>
            </w:pPr>
            <w:r>
              <w:rPr>
                <w:sz w:val="20"/>
              </w:rPr>
              <w:br w:type="page"/>
            </w:r>
            <w:r w:rsidR="002E2D95">
              <w:rPr>
                <w:rFonts w:ascii="Arial Bold" w:hAnsi="Arial Bold"/>
                <w:highlight w:val="yellow"/>
              </w:rPr>
              <w:pict>
                <v:shape id="_x0000_i1033" type="#_x0000_t75" style="width:424.5pt;height:540pt">
                  <v:imagedata r:id="rId24" o:title=""/>
                </v:shape>
              </w:pict>
            </w:r>
          </w:p>
        </w:tc>
      </w:tr>
      <w:tr w:rsidR="00BB0F2C">
        <w:trPr>
          <w:trHeight w:val="336"/>
        </w:trPr>
        <w:tc>
          <w:tcPr>
            <w:tcW w:w="9061" w:type="dxa"/>
            <w:gridSpan w:val="3"/>
          </w:tcPr>
          <w:p w:rsidR="00BB0F2C" w:rsidRDefault="00BB0F2C">
            <w:pPr>
              <w:pStyle w:val="elementHeading"/>
              <w:rPr>
                <w:b w:val="0"/>
                <w:szCs w:val="24"/>
              </w:rPr>
            </w:pPr>
            <w:r>
              <w:rPr>
                <w:b w:val="0"/>
                <w:szCs w:val="24"/>
              </w:rPr>
              <w:t>Figure C5 Setbacks –Option 1</w:t>
            </w:r>
          </w:p>
        </w:tc>
      </w:tr>
      <w:tr w:rsidR="00BB0F2C">
        <w:tc>
          <w:tcPr>
            <w:tcW w:w="1668" w:type="dxa"/>
          </w:tcPr>
          <w:p w:rsidR="00BB0F2C" w:rsidRDefault="002E2D95">
            <w:pPr>
              <w:pStyle w:val="elementHeading"/>
              <w:rPr>
                <w:b w:val="0"/>
                <w:sz w:val="20"/>
              </w:rPr>
            </w:pPr>
            <w:r>
              <w:pict>
                <v:shape id="_x0000_i1034" type="#_x0000_t75" style="width:40.5pt;height:20.25pt" o:allowoverlap="f">
                  <v:imagedata r:id="rId25" o:title=""/>
                </v:shape>
              </w:pict>
            </w:r>
          </w:p>
        </w:tc>
        <w:tc>
          <w:tcPr>
            <w:tcW w:w="1417" w:type="dxa"/>
          </w:tcPr>
          <w:p w:rsidR="00BB0F2C" w:rsidRDefault="00BB0F2C">
            <w:pPr>
              <w:pStyle w:val="elementHeading"/>
              <w:rPr>
                <w:b w:val="0"/>
                <w:sz w:val="16"/>
                <w:szCs w:val="16"/>
              </w:rPr>
            </w:pPr>
            <w:r>
              <w:rPr>
                <w:b w:val="0"/>
                <w:sz w:val="16"/>
                <w:szCs w:val="16"/>
              </w:rPr>
              <w:t>Lower Floor Level Setbacks</w:t>
            </w:r>
          </w:p>
        </w:tc>
        <w:tc>
          <w:tcPr>
            <w:tcW w:w="5976" w:type="dxa"/>
          </w:tcPr>
          <w:p w:rsidR="00BB0F2C" w:rsidRDefault="00BB0F2C">
            <w:pPr>
              <w:pStyle w:val="elementHeading"/>
              <w:rPr>
                <w:b w:val="0"/>
                <w:sz w:val="16"/>
                <w:szCs w:val="16"/>
              </w:rPr>
            </w:pPr>
          </w:p>
        </w:tc>
      </w:tr>
      <w:tr w:rsidR="00BB0F2C">
        <w:tc>
          <w:tcPr>
            <w:tcW w:w="1668" w:type="dxa"/>
          </w:tcPr>
          <w:p w:rsidR="00BB0F2C" w:rsidRDefault="002E2D95">
            <w:pPr>
              <w:pStyle w:val="elementHeading"/>
              <w:rPr>
                <w:b w:val="0"/>
                <w:sz w:val="20"/>
              </w:rPr>
            </w:pPr>
            <w:r>
              <w:pict>
                <v:shape id="_x0000_i1035" type="#_x0000_t75" style="width:40.5pt;height:20.25pt" o:allowoverlap="f">
                  <v:imagedata r:id="rId26" o:title=""/>
                </v:shape>
              </w:pict>
            </w:r>
          </w:p>
        </w:tc>
        <w:tc>
          <w:tcPr>
            <w:tcW w:w="1417" w:type="dxa"/>
          </w:tcPr>
          <w:p w:rsidR="00BB0F2C" w:rsidRDefault="00BB0F2C">
            <w:pPr>
              <w:pStyle w:val="elementHeading"/>
              <w:rPr>
                <w:b w:val="0"/>
                <w:sz w:val="16"/>
                <w:szCs w:val="16"/>
              </w:rPr>
            </w:pPr>
            <w:r>
              <w:rPr>
                <w:b w:val="0"/>
                <w:sz w:val="16"/>
                <w:szCs w:val="16"/>
              </w:rPr>
              <w:t xml:space="preserve">Lower Floor Level Setback </w:t>
            </w:r>
          </w:p>
        </w:tc>
        <w:tc>
          <w:tcPr>
            <w:tcW w:w="5976" w:type="dxa"/>
          </w:tcPr>
          <w:p w:rsidR="00BB0F2C" w:rsidRDefault="00BB0F2C">
            <w:pPr>
              <w:rPr>
                <w:rFonts w:cs="Arial"/>
                <w:sz w:val="16"/>
                <w:szCs w:val="16"/>
              </w:rPr>
            </w:pPr>
            <w:r>
              <w:rPr>
                <w:sz w:val="16"/>
                <w:szCs w:val="16"/>
              </w:rPr>
              <w:t xml:space="preserve">Where the total length of the wall on the boundary does not exceed 13m (may extend up to 2.5m into the rear zone).  Blank walls on boundaries may include walls to garages and non habitable rooms and cavity walls to habitable rooms.  </w:t>
            </w:r>
          </w:p>
        </w:tc>
      </w:tr>
      <w:tr w:rsidR="00BB0F2C">
        <w:tc>
          <w:tcPr>
            <w:tcW w:w="1668" w:type="dxa"/>
          </w:tcPr>
          <w:p w:rsidR="00BB0F2C" w:rsidRDefault="002E2D95">
            <w:pPr>
              <w:pStyle w:val="elementHeading"/>
              <w:rPr>
                <w:b w:val="0"/>
                <w:sz w:val="20"/>
              </w:rPr>
            </w:pPr>
            <w:r>
              <w:pict>
                <v:shape id="_x0000_i1036" type="#_x0000_t75" style="width:40.5pt;height:20.25pt" o:allowoverlap="f">
                  <v:imagedata r:id="rId27" o:title=""/>
                </v:shape>
              </w:pict>
            </w:r>
          </w:p>
        </w:tc>
        <w:tc>
          <w:tcPr>
            <w:tcW w:w="1417" w:type="dxa"/>
          </w:tcPr>
          <w:p w:rsidR="00BB0F2C" w:rsidRDefault="00BB0F2C">
            <w:pPr>
              <w:pStyle w:val="elementHeading"/>
              <w:rPr>
                <w:b w:val="0"/>
                <w:sz w:val="16"/>
                <w:szCs w:val="16"/>
              </w:rPr>
            </w:pPr>
            <w:r>
              <w:rPr>
                <w:b w:val="0"/>
                <w:sz w:val="16"/>
                <w:szCs w:val="16"/>
              </w:rPr>
              <w:t>Upper Floor Level Setback</w:t>
            </w:r>
          </w:p>
        </w:tc>
        <w:tc>
          <w:tcPr>
            <w:tcW w:w="5976" w:type="dxa"/>
          </w:tcPr>
          <w:p w:rsidR="00BB0F2C" w:rsidRDefault="00BB0F2C">
            <w:pPr>
              <w:rPr>
                <w:rFonts w:cs="Arial"/>
                <w:sz w:val="16"/>
                <w:szCs w:val="16"/>
              </w:rPr>
            </w:pPr>
            <w:r>
              <w:rPr>
                <w:rFonts w:cs="Arial"/>
                <w:sz w:val="16"/>
                <w:szCs w:val="16"/>
              </w:rPr>
              <w:t>Where design incorporates blank walls, walls with windows with sill heights ≥ 1.7m or with permanent fixed panes of obscure glass, or screen walls.</w:t>
            </w:r>
          </w:p>
          <w:p w:rsidR="00BB0F2C" w:rsidRDefault="00BB0F2C">
            <w:pPr>
              <w:pStyle w:val="elementHeading"/>
              <w:rPr>
                <w:b w:val="0"/>
                <w:sz w:val="16"/>
                <w:szCs w:val="16"/>
              </w:rPr>
            </w:pPr>
          </w:p>
        </w:tc>
      </w:tr>
      <w:tr w:rsidR="00BB0F2C">
        <w:tc>
          <w:tcPr>
            <w:tcW w:w="1668" w:type="dxa"/>
          </w:tcPr>
          <w:p w:rsidR="00BB0F2C" w:rsidRDefault="002E2D95">
            <w:pPr>
              <w:pStyle w:val="elementHeading"/>
              <w:rPr>
                <w:b w:val="0"/>
                <w:sz w:val="20"/>
              </w:rPr>
            </w:pPr>
            <w:r>
              <w:pict>
                <v:shape id="_x0000_i1037" type="#_x0000_t75" style="width:40.5pt;height:20.25pt" o:allowoverlap="f">
                  <v:imagedata r:id="rId28" o:title=""/>
                </v:shape>
              </w:pict>
            </w:r>
          </w:p>
        </w:tc>
        <w:tc>
          <w:tcPr>
            <w:tcW w:w="1417" w:type="dxa"/>
          </w:tcPr>
          <w:p w:rsidR="00BB0F2C" w:rsidRDefault="00BB0F2C">
            <w:pPr>
              <w:pStyle w:val="elementHeading"/>
              <w:rPr>
                <w:b w:val="0"/>
                <w:sz w:val="16"/>
                <w:szCs w:val="16"/>
              </w:rPr>
            </w:pPr>
            <w:r>
              <w:rPr>
                <w:b w:val="0"/>
                <w:sz w:val="16"/>
                <w:szCs w:val="16"/>
              </w:rPr>
              <w:t>Upper Floor Level Setback</w:t>
            </w:r>
          </w:p>
        </w:tc>
        <w:tc>
          <w:tcPr>
            <w:tcW w:w="5976" w:type="dxa"/>
          </w:tcPr>
          <w:p w:rsidR="00BB0F2C" w:rsidRDefault="00BB0F2C">
            <w:pPr>
              <w:rPr>
                <w:rFonts w:cs="Arial"/>
                <w:sz w:val="16"/>
                <w:szCs w:val="16"/>
              </w:rPr>
            </w:pPr>
            <w:r>
              <w:rPr>
                <w:rFonts w:cs="Arial"/>
                <w:sz w:val="16"/>
                <w:szCs w:val="16"/>
              </w:rPr>
              <w:t xml:space="preserve">Where design incorporates other windows, outer faces of unscreened decks, balconies and external stairs. </w:t>
            </w:r>
          </w:p>
          <w:p w:rsidR="00BB0F2C" w:rsidRDefault="00BB0F2C">
            <w:pPr>
              <w:pStyle w:val="elementHeading"/>
              <w:rPr>
                <w:b w:val="0"/>
                <w:sz w:val="16"/>
                <w:szCs w:val="16"/>
              </w:rPr>
            </w:pPr>
          </w:p>
        </w:tc>
      </w:tr>
      <w:tr w:rsidR="00BB0F2C">
        <w:tc>
          <w:tcPr>
            <w:tcW w:w="1668" w:type="dxa"/>
          </w:tcPr>
          <w:p w:rsidR="00BB0F2C" w:rsidRDefault="00BB0F2C">
            <w:pPr>
              <w:pStyle w:val="elementHeading"/>
              <w:rPr>
                <w:b w:val="0"/>
                <w:sz w:val="16"/>
                <w:szCs w:val="16"/>
              </w:rPr>
            </w:pPr>
            <w:r>
              <w:rPr>
                <w:sz w:val="16"/>
                <w:szCs w:val="16"/>
              </w:rPr>
              <w:t xml:space="preserve">RZ </w:t>
            </w:r>
            <w:r>
              <w:rPr>
                <w:b w:val="0"/>
                <w:sz w:val="16"/>
                <w:szCs w:val="16"/>
              </w:rPr>
              <w:t>= Rear Zone</w:t>
            </w:r>
          </w:p>
        </w:tc>
        <w:tc>
          <w:tcPr>
            <w:tcW w:w="1417" w:type="dxa"/>
          </w:tcPr>
          <w:p w:rsidR="00BB0F2C" w:rsidRDefault="00BB0F2C">
            <w:pPr>
              <w:pStyle w:val="elementHeading"/>
              <w:rPr>
                <w:b w:val="0"/>
                <w:sz w:val="16"/>
                <w:szCs w:val="16"/>
              </w:rPr>
            </w:pPr>
            <w:r>
              <w:rPr>
                <w:sz w:val="16"/>
                <w:szCs w:val="16"/>
              </w:rPr>
              <w:t>PBZ</w:t>
            </w:r>
            <w:r>
              <w:rPr>
                <w:b w:val="0"/>
                <w:sz w:val="16"/>
                <w:szCs w:val="16"/>
              </w:rPr>
              <w:t xml:space="preserve"> = Primary Building Zone</w:t>
            </w:r>
          </w:p>
        </w:tc>
        <w:tc>
          <w:tcPr>
            <w:tcW w:w="5976" w:type="dxa"/>
          </w:tcPr>
          <w:p w:rsidR="00BB0F2C" w:rsidRDefault="00BB0F2C">
            <w:pPr>
              <w:pStyle w:val="elementHeading"/>
              <w:rPr>
                <w:b w:val="0"/>
                <w:sz w:val="16"/>
                <w:szCs w:val="16"/>
              </w:rPr>
            </w:pPr>
            <w:r>
              <w:rPr>
                <w:sz w:val="16"/>
                <w:szCs w:val="16"/>
              </w:rPr>
              <w:t>FZ</w:t>
            </w:r>
            <w:r>
              <w:rPr>
                <w:b w:val="0"/>
                <w:sz w:val="16"/>
                <w:szCs w:val="16"/>
              </w:rPr>
              <w:t xml:space="preserve"> = Front Zone</w:t>
            </w:r>
          </w:p>
        </w:tc>
      </w:tr>
    </w:tbl>
    <w:p w:rsidR="00BB0F2C" w:rsidRDefault="00BB0F2C">
      <w:pPr>
        <w:rPr>
          <w:rFonts w:cs="Arial"/>
          <w:sz w:val="20"/>
        </w:rPr>
      </w:pPr>
      <w:r>
        <w:rPr>
          <w:rFonts w:cs="Arial"/>
          <w:b/>
          <w:sz w:val="20"/>
        </w:rPr>
        <w:t xml:space="preserve">Table 3 - Side Boundary Setbacks –Option 2 (blocks must be nominated in a precinct code) </w:t>
      </w:r>
      <w:r>
        <w:rPr>
          <w:rFonts w:cs="Arial"/>
          <w:sz w:val="20"/>
        </w:rPr>
        <w:t>(Refer Figures C6 and C7)</w:t>
      </w:r>
      <w:r>
        <w:rPr>
          <w:rFonts w:cs="Arial"/>
          <w:b/>
          <w:sz w:val="20"/>
        </w:rPr>
        <w:t xml:space="preserve"> </w:t>
      </w:r>
    </w:p>
    <w:p w:rsidR="00BB0F2C" w:rsidRDefault="00BB0F2C">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1808"/>
        <w:gridCol w:w="1808"/>
        <w:gridCol w:w="1808"/>
        <w:gridCol w:w="1808"/>
      </w:tblGrid>
      <w:tr w:rsidR="00BB0F2C">
        <w:trPr>
          <w:trHeight w:val="915"/>
        </w:trPr>
        <w:tc>
          <w:tcPr>
            <w:tcW w:w="1807" w:type="dxa"/>
          </w:tcPr>
          <w:p w:rsidR="00BB0F2C" w:rsidRDefault="00BB0F2C">
            <w:pPr>
              <w:rPr>
                <w:rFonts w:cs="Arial"/>
                <w:b/>
                <w:sz w:val="20"/>
              </w:rPr>
            </w:pPr>
          </w:p>
        </w:tc>
        <w:tc>
          <w:tcPr>
            <w:tcW w:w="1808" w:type="dxa"/>
          </w:tcPr>
          <w:p w:rsidR="00BB0F2C" w:rsidRDefault="00BB0F2C">
            <w:pPr>
              <w:rPr>
                <w:rFonts w:cs="Arial"/>
                <w:b/>
                <w:sz w:val="20"/>
              </w:rPr>
            </w:pPr>
            <w:r>
              <w:rPr>
                <w:rFonts w:cs="Arial"/>
                <w:b/>
                <w:sz w:val="20"/>
              </w:rPr>
              <w:t>South^ Facing Boundary</w:t>
            </w:r>
          </w:p>
        </w:tc>
        <w:tc>
          <w:tcPr>
            <w:tcW w:w="1808" w:type="dxa"/>
          </w:tcPr>
          <w:p w:rsidR="00BB0F2C" w:rsidRDefault="00BB0F2C">
            <w:pPr>
              <w:rPr>
                <w:rFonts w:cs="Arial"/>
                <w:b/>
                <w:sz w:val="20"/>
              </w:rPr>
            </w:pPr>
            <w:r>
              <w:rPr>
                <w:rFonts w:cs="Arial"/>
                <w:b/>
                <w:sz w:val="20"/>
              </w:rPr>
              <w:t xml:space="preserve">North^^ Facing Boundary  </w:t>
            </w:r>
          </w:p>
        </w:tc>
        <w:tc>
          <w:tcPr>
            <w:tcW w:w="1808" w:type="dxa"/>
          </w:tcPr>
          <w:p w:rsidR="00BB0F2C" w:rsidRDefault="00BB0F2C">
            <w:pPr>
              <w:rPr>
                <w:rFonts w:cs="Arial"/>
                <w:b/>
                <w:sz w:val="20"/>
              </w:rPr>
            </w:pPr>
            <w:r>
              <w:rPr>
                <w:rFonts w:cs="Arial"/>
                <w:b/>
                <w:sz w:val="20"/>
              </w:rPr>
              <w:t>East/ West^^^ Facing Boundary 1</w:t>
            </w:r>
          </w:p>
        </w:tc>
        <w:tc>
          <w:tcPr>
            <w:tcW w:w="1808" w:type="dxa"/>
          </w:tcPr>
          <w:p w:rsidR="00BB0F2C" w:rsidRDefault="00BB0F2C">
            <w:pPr>
              <w:rPr>
                <w:rFonts w:cs="Arial"/>
                <w:b/>
                <w:sz w:val="20"/>
              </w:rPr>
            </w:pPr>
            <w:r>
              <w:rPr>
                <w:rFonts w:cs="Arial"/>
                <w:b/>
                <w:sz w:val="20"/>
              </w:rPr>
              <w:t>East / West^^^ Facing Boundary 2*</w:t>
            </w:r>
          </w:p>
        </w:tc>
      </w:tr>
      <w:tr w:rsidR="00BB0F2C">
        <w:trPr>
          <w:trHeight w:val="915"/>
        </w:trPr>
        <w:tc>
          <w:tcPr>
            <w:tcW w:w="1807" w:type="dxa"/>
            <w:vAlign w:val="center"/>
          </w:tcPr>
          <w:p w:rsidR="00BB0F2C" w:rsidRDefault="00BB0F2C">
            <w:pPr>
              <w:rPr>
                <w:rFonts w:cs="Arial"/>
                <w:b/>
                <w:sz w:val="20"/>
              </w:rPr>
            </w:pPr>
            <w:r>
              <w:rPr>
                <w:rFonts w:cs="Arial"/>
                <w:b/>
                <w:sz w:val="20"/>
              </w:rPr>
              <w:t>LFL in the PBZ</w:t>
            </w:r>
          </w:p>
        </w:tc>
        <w:tc>
          <w:tcPr>
            <w:tcW w:w="1808" w:type="dxa"/>
            <w:vAlign w:val="center"/>
          </w:tcPr>
          <w:p w:rsidR="00BB0F2C" w:rsidRDefault="00BB0F2C">
            <w:pPr>
              <w:jc w:val="center"/>
              <w:rPr>
                <w:rFonts w:cs="Arial"/>
                <w:sz w:val="20"/>
              </w:rPr>
            </w:pPr>
            <w:r>
              <w:rPr>
                <w:rFonts w:cs="Arial"/>
                <w:sz w:val="20"/>
              </w:rPr>
              <w:t>1.5m</w:t>
            </w:r>
          </w:p>
          <w:p w:rsidR="00BB0F2C" w:rsidRDefault="00BB0F2C">
            <w:pPr>
              <w:jc w:val="center"/>
              <w:rPr>
                <w:rFonts w:cs="Arial"/>
                <w:b/>
                <w:sz w:val="20"/>
              </w:rPr>
            </w:pPr>
            <w:r>
              <w:rPr>
                <w:rFonts w:cs="Arial"/>
                <w:sz w:val="20"/>
              </w:rPr>
              <w:t>0m</w:t>
            </w:r>
            <w:r>
              <w:rPr>
                <w:rFonts w:cs="Arial"/>
                <w:b/>
                <w:sz w:val="20"/>
              </w:rPr>
              <w:t>**</w:t>
            </w:r>
          </w:p>
          <w:p w:rsidR="00BB0F2C" w:rsidRDefault="00BB0F2C">
            <w:pPr>
              <w:jc w:val="center"/>
              <w:rPr>
                <w:rFonts w:cs="Arial"/>
                <w:sz w:val="20"/>
              </w:rPr>
            </w:pPr>
          </w:p>
        </w:tc>
        <w:tc>
          <w:tcPr>
            <w:tcW w:w="1808" w:type="dxa"/>
            <w:vAlign w:val="center"/>
          </w:tcPr>
          <w:p w:rsidR="00BB0F2C" w:rsidRDefault="00BB0F2C">
            <w:pPr>
              <w:jc w:val="center"/>
              <w:rPr>
                <w:rFonts w:cs="Arial"/>
                <w:sz w:val="20"/>
              </w:rPr>
            </w:pPr>
          </w:p>
          <w:p w:rsidR="00BB0F2C" w:rsidRDefault="00BB0F2C">
            <w:pPr>
              <w:jc w:val="center"/>
              <w:rPr>
                <w:rFonts w:cs="Arial"/>
                <w:sz w:val="20"/>
              </w:rPr>
            </w:pPr>
            <w:r>
              <w:rPr>
                <w:rFonts w:cs="Arial"/>
                <w:sz w:val="20"/>
              </w:rPr>
              <w:t>1.5m</w:t>
            </w:r>
          </w:p>
          <w:p w:rsidR="00BB0F2C" w:rsidRDefault="00BB0F2C">
            <w:pPr>
              <w:jc w:val="center"/>
              <w:rPr>
                <w:rFonts w:cs="Arial"/>
                <w:b/>
                <w:sz w:val="20"/>
              </w:rPr>
            </w:pPr>
            <w:r>
              <w:rPr>
                <w:rFonts w:cs="Arial"/>
                <w:sz w:val="20"/>
              </w:rPr>
              <w:t>4.0m</w:t>
            </w:r>
            <w:r>
              <w:rPr>
                <w:rFonts w:cs="Arial"/>
                <w:b/>
                <w:sz w:val="20"/>
              </w:rPr>
              <w:t>+</w:t>
            </w:r>
          </w:p>
          <w:p w:rsidR="00BB0F2C" w:rsidRDefault="00BB0F2C">
            <w:pPr>
              <w:jc w:val="center"/>
              <w:rPr>
                <w:rFonts w:cs="Arial"/>
                <w:sz w:val="20"/>
              </w:rPr>
            </w:pPr>
          </w:p>
        </w:tc>
        <w:tc>
          <w:tcPr>
            <w:tcW w:w="1808" w:type="dxa"/>
            <w:vAlign w:val="center"/>
          </w:tcPr>
          <w:p w:rsidR="00BB0F2C" w:rsidRDefault="00BB0F2C">
            <w:pPr>
              <w:jc w:val="center"/>
              <w:rPr>
                <w:rFonts w:cs="Arial"/>
                <w:sz w:val="20"/>
              </w:rPr>
            </w:pPr>
            <w:r>
              <w:rPr>
                <w:rFonts w:cs="Arial"/>
                <w:sz w:val="20"/>
              </w:rPr>
              <w:t>1.5m</w:t>
            </w:r>
          </w:p>
          <w:p w:rsidR="00BB0F2C" w:rsidRDefault="00BB0F2C">
            <w:pPr>
              <w:jc w:val="center"/>
              <w:rPr>
                <w:rFonts w:cs="Arial"/>
                <w:sz w:val="20"/>
              </w:rPr>
            </w:pPr>
          </w:p>
        </w:tc>
        <w:tc>
          <w:tcPr>
            <w:tcW w:w="1808" w:type="dxa"/>
            <w:vAlign w:val="center"/>
          </w:tcPr>
          <w:p w:rsidR="00BB0F2C" w:rsidRDefault="00BB0F2C">
            <w:pPr>
              <w:jc w:val="center"/>
              <w:rPr>
                <w:rFonts w:cs="Arial"/>
                <w:sz w:val="20"/>
              </w:rPr>
            </w:pPr>
            <w:r>
              <w:rPr>
                <w:rFonts w:cs="Arial"/>
                <w:sz w:val="20"/>
              </w:rPr>
              <w:t>1.5m</w:t>
            </w:r>
          </w:p>
          <w:p w:rsidR="00BB0F2C" w:rsidRDefault="00BB0F2C">
            <w:pPr>
              <w:jc w:val="center"/>
              <w:rPr>
                <w:rFonts w:cs="Arial"/>
                <w:b/>
                <w:sz w:val="20"/>
              </w:rPr>
            </w:pPr>
            <w:r>
              <w:rPr>
                <w:rFonts w:cs="Arial"/>
                <w:sz w:val="20"/>
              </w:rPr>
              <w:t>0m</w:t>
            </w:r>
            <w:r>
              <w:rPr>
                <w:rFonts w:cs="Arial"/>
                <w:b/>
                <w:sz w:val="20"/>
              </w:rPr>
              <w:t>**</w:t>
            </w:r>
          </w:p>
          <w:p w:rsidR="00BB0F2C" w:rsidRDefault="00BB0F2C">
            <w:pPr>
              <w:jc w:val="center"/>
              <w:rPr>
                <w:rFonts w:cs="Arial"/>
                <w:sz w:val="20"/>
              </w:rPr>
            </w:pPr>
          </w:p>
        </w:tc>
      </w:tr>
      <w:tr w:rsidR="00BB0F2C">
        <w:trPr>
          <w:trHeight w:val="915"/>
        </w:trPr>
        <w:tc>
          <w:tcPr>
            <w:tcW w:w="1807" w:type="dxa"/>
            <w:vAlign w:val="center"/>
          </w:tcPr>
          <w:p w:rsidR="00BB0F2C" w:rsidRDefault="00BB0F2C">
            <w:pPr>
              <w:rPr>
                <w:rFonts w:cs="Arial"/>
                <w:b/>
                <w:sz w:val="20"/>
              </w:rPr>
            </w:pPr>
            <w:r>
              <w:rPr>
                <w:rFonts w:cs="Arial"/>
                <w:b/>
                <w:sz w:val="20"/>
              </w:rPr>
              <w:t>LFL in the RZ</w:t>
            </w:r>
          </w:p>
        </w:tc>
        <w:tc>
          <w:tcPr>
            <w:tcW w:w="1808" w:type="dxa"/>
            <w:vAlign w:val="center"/>
          </w:tcPr>
          <w:p w:rsidR="00BB0F2C" w:rsidRDefault="00BB0F2C">
            <w:pPr>
              <w:jc w:val="center"/>
              <w:rPr>
                <w:rFonts w:cs="Arial"/>
                <w:sz w:val="20"/>
              </w:rPr>
            </w:pPr>
            <w:r>
              <w:rPr>
                <w:rFonts w:cs="Arial"/>
                <w:sz w:val="20"/>
              </w:rPr>
              <w:t>1.5m</w:t>
            </w:r>
          </w:p>
          <w:p w:rsidR="00BB0F2C" w:rsidRDefault="00BB0F2C">
            <w:pPr>
              <w:jc w:val="center"/>
              <w:rPr>
                <w:rFonts w:cs="Arial"/>
                <w:sz w:val="20"/>
              </w:rPr>
            </w:pPr>
          </w:p>
        </w:tc>
        <w:tc>
          <w:tcPr>
            <w:tcW w:w="1808" w:type="dxa"/>
            <w:vAlign w:val="center"/>
          </w:tcPr>
          <w:p w:rsidR="00BB0F2C" w:rsidRDefault="00BB0F2C">
            <w:pPr>
              <w:jc w:val="center"/>
              <w:rPr>
                <w:rFonts w:cs="Arial"/>
                <w:sz w:val="20"/>
              </w:rPr>
            </w:pPr>
            <w:r>
              <w:rPr>
                <w:rFonts w:cs="Arial"/>
                <w:sz w:val="20"/>
              </w:rPr>
              <w:t xml:space="preserve">1.5m </w:t>
            </w:r>
          </w:p>
          <w:p w:rsidR="00BB0F2C" w:rsidRDefault="00BB0F2C">
            <w:pPr>
              <w:jc w:val="center"/>
              <w:rPr>
                <w:rFonts w:cs="Arial"/>
                <w:sz w:val="20"/>
              </w:rPr>
            </w:pPr>
            <w:r>
              <w:rPr>
                <w:rFonts w:cs="Arial"/>
                <w:sz w:val="20"/>
              </w:rPr>
              <w:t>4.0m</w:t>
            </w:r>
            <w:r>
              <w:rPr>
                <w:rFonts w:cs="Arial"/>
                <w:b/>
                <w:sz w:val="20"/>
              </w:rPr>
              <w:t>+</w:t>
            </w:r>
          </w:p>
        </w:tc>
        <w:tc>
          <w:tcPr>
            <w:tcW w:w="1808" w:type="dxa"/>
            <w:vAlign w:val="center"/>
          </w:tcPr>
          <w:p w:rsidR="00BB0F2C" w:rsidRDefault="00BB0F2C">
            <w:pPr>
              <w:jc w:val="center"/>
              <w:rPr>
                <w:rFonts w:cs="Arial"/>
                <w:sz w:val="20"/>
              </w:rPr>
            </w:pPr>
            <w:r>
              <w:rPr>
                <w:rFonts w:cs="Arial"/>
                <w:sz w:val="20"/>
              </w:rPr>
              <w:t xml:space="preserve">1.5m </w:t>
            </w:r>
          </w:p>
        </w:tc>
        <w:tc>
          <w:tcPr>
            <w:tcW w:w="1808" w:type="dxa"/>
            <w:vAlign w:val="center"/>
          </w:tcPr>
          <w:p w:rsidR="00BB0F2C" w:rsidRDefault="00BB0F2C">
            <w:pPr>
              <w:jc w:val="center"/>
              <w:rPr>
                <w:rFonts w:cs="Arial"/>
                <w:sz w:val="20"/>
              </w:rPr>
            </w:pPr>
            <w:r>
              <w:rPr>
                <w:rFonts w:cs="Arial"/>
                <w:sz w:val="20"/>
              </w:rPr>
              <w:t xml:space="preserve">1.5m </w:t>
            </w:r>
          </w:p>
        </w:tc>
      </w:tr>
      <w:tr w:rsidR="00BB0F2C">
        <w:trPr>
          <w:trHeight w:val="915"/>
        </w:trPr>
        <w:tc>
          <w:tcPr>
            <w:tcW w:w="1807" w:type="dxa"/>
            <w:vAlign w:val="center"/>
          </w:tcPr>
          <w:p w:rsidR="00BB0F2C" w:rsidRDefault="00BB0F2C">
            <w:pPr>
              <w:rPr>
                <w:rFonts w:cs="Arial"/>
                <w:b/>
                <w:sz w:val="20"/>
              </w:rPr>
            </w:pPr>
            <w:r>
              <w:rPr>
                <w:rFonts w:cs="Arial"/>
                <w:b/>
                <w:sz w:val="20"/>
              </w:rPr>
              <w:t>UFL 1 in PBZ***</w:t>
            </w:r>
          </w:p>
        </w:tc>
        <w:tc>
          <w:tcPr>
            <w:tcW w:w="1808" w:type="dxa"/>
            <w:vAlign w:val="center"/>
          </w:tcPr>
          <w:p w:rsidR="00BB0F2C" w:rsidRDefault="00BB0F2C">
            <w:pPr>
              <w:jc w:val="center"/>
              <w:rPr>
                <w:rFonts w:cs="Arial"/>
                <w:sz w:val="20"/>
              </w:rPr>
            </w:pPr>
            <w:r>
              <w:rPr>
                <w:rFonts w:cs="Arial"/>
                <w:sz w:val="20"/>
              </w:rPr>
              <w:t>1.5m</w:t>
            </w:r>
          </w:p>
        </w:tc>
        <w:tc>
          <w:tcPr>
            <w:tcW w:w="1808" w:type="dxa"/>
            <w:vAlign w:val="center"/>
          </w:tcPr>
          <w:p w:rsidR="00BB0F2C" w:rsidRDefault="00BB0F2C">
            <w:pPr>
              <w:jc w:val="center"/>
              <w:rPr>
                <w:rFonts w:cs="Arial"/>
                <w:sz w:val="20"/>
              </w:rPr>
            </w:pPr>
            <w:r>
              <w:rPr>
                <w:rFonts w:cs="Arial"/>
                <w:sz w:val="20"/>
              </w:rPr>
              <w:t>1.5m</w:t>
            </w:r>
          </w:p>
          <w:p w:rsidR="00BB0F2C" w:rsidRDefault="00BB0F2C">
            <w:pPr>
              <w:jc w:val="center"/>
              <w:rPr>
                <w:rFonts w:cs="Arial"/>
                <w:sz w:val="20"/>
              </w:rPr>
            </w:pPr>
            <w:r>
              <w:rPr>
                <w:rFonts w:cs="Arial"/>
                <w:sz w:val="20"/>
              </w:rPr>
              <w:t>4.0m</w:t>
            </w:r>
            <w:r>
              <w:rPr>
                <w:rFonts w:cs="Arial"/>
                <w:b/>
                <w:sz w:val="20"/>
              </w:rPr>
              <w:t>+</w:t>
            </w:r>
          </w:p>
        </w:tc>
        <w:tc>
          <w:tcPr>
            <w:tcW w:w="1808" w:type="dxa"/>
            <w:vAlign w:val="center"/>
          </w:tcPr>
          <w:p w:rsidR="00BB0F2C" w:rsidRDefault="00BB0F2C">
            <w:pPr>
              <w:jc w:val="center"/>
              <w:rPr>
                <w:rFonts w:cs="Arial"/>
                <w:sz w:val="20"/>
              </w:rPr>
            </w:pPr>
            <w:r>
              <w:rPr>
                <w:rFonts w:cs="Arial"/>
                <w:sz w:val="20"/>
              </w:rPr>
              <w:t>1.5m</w:t>
            </w:r>
          </w:p>
        </w:tc>
        <w:tc>
          <w:tcPr>
            <w:tcW w:w="1808" w:type="dxa"/>
            <w:vAlign w:val="center"/>
          </w:tcPr>
          <w:p w:rsidR="00BB0F2C" w:rsidRDefault="00BB0F2C">
            <w:pPr>
              <w:jc w:val="center"/>
              <w:rPr>
                <w:rFonts w:cs="Arial"/>
                <w:sz w:val="20"/>
              </w:rPr>
            </w:pPr>
            <w:r>
              <w:rPr>
                <w:rFonts w:cs="Arial"/>
                <w:sz w:val="20"/>
              </w:rPr>
              <w:t>1.5m</w:t>
            </w:r>
          </w:p>
        </w:tc>
      </w:tr>
      <w:tr w:rsidR="00BB0F2C">
        <w:trPr>
          <w:trHeight w:val="915"/>
        </w:trPr>
        <w:tc>
          <w:tcPr>
            <w:tcW w:w="1807" w:type="dxa"/>
            <w:vAlign w:val="center"/>
          </w:tcPr>
          <w:p w:rsidR="00BB0F2C" w:rsidRDefault="00BB0F2C">
            <w:pPr>
              <w:rPr>
                <w:rFonts w:cs="Arial"/>
                <w:b/>
                <w:sz w:val="20"/>
              </w:rPr>
            </w:pPr>
            <w:r>
              <w:rPr>
                <w:rFonts w:cs="Arial"/>
                <w:b/>
                <w:sz w:val="20"/>
              </w:rPr>
              <w:t>UFL 1in RZ***</w:t>
            </w:r>
          </w:p>
        </w:tc>
        <w:tc>
          <w:tcPr>
            <w:tcW w:w="1808" w:type="dxa"/>
            <w:vAlign w:val="center"/>
          </w:tcPr>
          <w:p w:rsidR="00BB0F2C" w:rsidRDefault="00BB0F2C">
            <w:pPr>
              <w:jc w:val="center"/>
              <w:rPr>
                <w:rFonts w:cs="Arial"/>
                <w:sz w:val="20"/>
              </w:rPr>
            </w:pPr>
            <w:r>
              <w:rPr>
                <w:rFonts w:cs="Arial"/>
                <w:sz w:val="20"/>
              </w:rPr>
              <w:t>Not permitted</w:t>
            </w:r>
          </w:p>
          <w:p w:rsidR="00BB0F2C" w:rsidRDefault="00BB0F2C">
            <w:pPr>
              <w:jc w:val="center"/>
              <w:rPr>
                <w:rFonts w:cs="Arial"/>
                <w:sz w:val="20"/>
              </w:rPr>
            </w:pPr>
          </w:p>
        </w:tc>
        <w:tc>
          <w:tcPr>
            <w:tcW w:w="1808" w:type="dxa"/>
            <w:vAlign w:val="center"/>
          </w:tcPr>
          <w:p w:rsidR="00BB0F2C" w:rsidRDefault="00BB0F2C">
            <w:pPr>
              <w:jc w:val="center"/>
              <w:rPr>
                <w:rFonts w:cs="Arial"/>
                <w:sz w:val="20"/>
              </w:rPr>
            </w:pPr>
            <w:r>
              <w:rPr>
                <w:rFonts w:cs="Arial"/>
                <w:sz w:val="20"/>
              </w:rPr>
              <w:t>Not permitted</w:t>
            </w:r>
          </w:p>
          <w:p w:rsidR="00BB0F2C" w:rsidRDefault="00BB0F2C">
            <w:pPr>
              <w:jc w:val="center"/>
              <w:rPr>
                <w:rFonts w:cs="Arial"/>
                <w:sz w:val="20"/>
              </w:rPr>
            </w:pPr>
          </w:p>
        </w:tc>
        <w:tc>
          <w:tcPr>
            <w:tcW w:w="1808" w:type="dxa"/>
            <w:vAlign w:val="center"/>
          </w:tcPr>
          <w:p w:rsidR="00BB0F2C" w:rsidRDefault="00BB0F2C">
            <w:pPr>
              <w:jc w:val="center"/>
              <w:rPr>
                <w:rFonts w:cs="Arial"/>
                <w:sz w:val="20"/>
              </w:rPr>
            </w:pPr>
            <w:r>
              <w:rPr>
                <w:rFonts w:cs="Arial"/>
                <w:sz w:val="20"/>
              </w:rPr>
              <w:t>3.0m</w:t>
            </w:r>
          </w:p>
        </w:tc>
        <w:tc>
          <w:tcPr>
            <w:tcW w:w="1808" w:type="dxa"/>
            <w:vAlign w:val="center"/>
          </w:tcPr>
          <w:p w:rsidR="00BB0F2C" w:rsidRDefault="00BB0F2C">
            <w:pPr>
              <w:jc w:val="center"/>
              <w:rPr>
                <w:rFonts w:cs="Arial"/>
                <w:sz w:val="20"/>
              </w:rPr>
            </w:pPr>
            <w:r>
              <w:rPr>
                <w:rFonts w:cs="Arial"/>
                <w:sz w:val="20"/>
              </w:rPr>
              <w:t>3.0m</w:t>
            </w:r>
          </w:p>
        </w:tc>
      </w:tr>
      <w:tr w:rsidR="00BB0F2C">
        <w:trPr>
          <w:trHeight w:val="915"/>
        </w:trPr>
        <w:tc>
          <w:tcPr>
            <w:tcW w:w="1807" w:type="dxa"/>
            <w:vAlign w:val="center"/>
          </w:tcPr>
          <w:p w:rsidR="00BB0F2C" w:rsidRDefault="00BB0F2C">
            <w:pPr>
              <w:rPr>
                <w:rFonts w:cs="Arial"/>
                <w:b/>
                <w:sz w:val="20"/>
              </w:rPr>
            </w:pPr>
            <w:r>
              <w:rPr>
                <w:rFonts w:cs="Arial"/>
                <w:b/>
                <w:sz w:val="20"/>
              </w:rPr>
              <w:t xml:space="preserve">UFL 2 in the PBZ**** </w:t>
            </w:r>
          </w:p>
        </w:tc>
        <w:tc>
          <w:tcPr>
            <w:tcW w:w="1808" w:type="dxa"/>
            <w:vAlign w:val="center"/>
          </w:tcPr>
          <w:p w:rsidR="00BB0F2C" w:rsidRDefault="00BB0F2C">
            <w:pPr>
              <w:jc w:val="center"/>
              <w:rPr>
                <w:rFonts w:cs="Arial"/>
                <w:sz w:val="20"/>
              </w:rPr>
            </w:pPr>
            <w:r>
              <w:rPr>
                <w:rFonts w:cs="Arial"/>
                <w:sz w:val="20"/>
              </w:rPr>
              <w:t>6.0m</w:t>
            </w:r>
          </w:p>
        </w:tc>
        <w:tc>
          <w:tcPr>
            <w:tcW w:w="1808" w:type="dxa"/>
            <w:vAlign w:val="center"/>
          </w:tcPr>
          <w:p w:rsidR="00BB0F2C" w:rsidRDefault="00BB0F2C">
            <w:pPr>
              <w:jc w:val="center"/>
              <w:rPr>
                <w:rFonts w:cs="Arial"/>
                <w:sz w:val="20"/>
              </w:rPr>
            </w:pPr>
            <w:r>
              <w:rPr>
                <w:rFonts w:cs="Arial"/>
                <w:sz w:val="20"/>
              </w:rPr>
              <w:t>6.0m</w:t>
            </w:r>
          </w:p>
        </w:tc>
        <w:tc>
          <w:tcPr>
            <w:tcW w:w="1808" w:type="dxa"/>
            <w:vAlign w:val="center"/>
          </w:tcPr>
          <w:p w:rsidR="00BB0F2C" w:rsidRDefault="00BB0F2C">
            <w:pPr>
              <w:jc w:val="center"/>
              <w:rPr>
                <w:rFonts w:cs="Arial"/>
                <w:sz w:val="20"/>
              </w:rPr>
            </w:pPr>
            <w:r>
              <w:rPr>
                <w:rFonts w:cs="Arial"/>
                <w:sz w:val="20"/>
              </w:rPr>
              <w:t xml:space="preserve">6.0m </w:t>
            </w:r>
          </w:p>
        </w:tc>
        <w:tc>
          <w:tcPr>
            <w:tcW w:w="1808" w:type="dxa"/>
            <w:vAlign w:val="center"/>
          </w:tcPr>
          <w:p w:rsidR="00BB0F2C" w:rsidRDefault="00BB0F2C">
            <w:pPr>
              <w:jc w:val="center"/>
              <w:rPr>
                <w:rFonts w:cs="Arial"/>
                <w:sz w:val="20"/>
              </w:rPr>
            </w:pPr>
            <w:r>
              <w:rPr>
                <w:rFonts w:cs="Arial"/>
                <w:sz w:val="20"/>
              </w:rPr>
              <w:t xml:space="preserve">6.0m </w:t>
            </w:r>
          </w:p>
        </w:tc>
      </w:tr>
      <w:tr w:rsidR="00BB0F2C">
        <w:trPr>
          <w:trHeight w:val="915"/>
        </w:trPr>
        <w:tc>
          <w:tcPr>
            <w:tcW w:w="1807" w:type="dxa"/>
            <w:vAlign w:val="center"/>
          </w:tcPr>
          <w:p w:rsidR="00BB0F2C" w:rsidRDefault="00BB0F2C">
            <w:pPr>
              <w:rPr>
                <w:rFonts w:cs="Arial"/>
                <w:b/>
                <w:sz w:val="20"/>
              </w:rPr>
            </w:pPr>
            <w:r>
              <w:rPr>
                <w:rFonts w:cs="Arial"/>
                <w:b/>
                <w:sz w:val="20"/>
              </w:rPr>
              <w:t xml:space="preserve">UFL 2 in the RZ**** </w:t>
            </w:r>
          </w:p>
        </w:tc>
        <w:tc>
          <w:tcPr>
            <w:tcW w:w="1808" w:type="dxa"/>
            <w:vAlign w:val="center"/>
          </w:tcPr>
          <w:p w:rsidR="00BB0F2C" w:rsidRDefault="00BB0F2C">
            <w:pPr>
              <w:jc w:val="center"/>
              <w:rPr>
                <w:rFonts w:cs="Arial"/>
                <w:sz w:val="20"/>
              </w:rPr>
            </w:pPr>
            <w:r>
              <w:rPr>
                <w:rFonts w:cs="Arial"/>
                <w:sz w:val="20"/>
              </w:rPr>
              <w:t>Not permitted</w:t>
            </w:r>
          </w:p>
        </w:tc>
        <w:tc>
          <w:tcPr>
            <w:tcW w:w="1808" w:type="dxa"/>
            <w:vAlign w:val="center"/>
          </w:tcPr>
          <w:p w:rsidR="00BB0F2C" w:rsidRDefault="00BB0F2C">
            <w:pPr>
              <w:jc w:val="center"/>
              <w:rPr>
                <w:rFonts w:cs="Arial"/>
                <w:sz w:val="20"/>
              </w:rPr>
            </w:pPr>
            <w:r>
              <w:rPr>
                <w:rFonts w:cs="Arial"/>
                <w:sz w:val="20"/>
              </w:rPr>
              <w:t>Not permitted</w:t>
            </w:r>
          </w:p>
        </w:tc>
        <w:tc>
          <w:tcPr>
            <w:tcW w:w="1808" w:type="dxa"/>
            <w:vAlign w:val="center"/>
          </w:tcPr>
          <w:p w:rsidR="00BB0F2C" w:rsidRDefault="00BB0F2C">
            <w:pPr>
              <w:jc w:val="center"/>
              <w:rPr>
                <w:rFonts w:cs="Arial"/>
                <w:sz w:val="20"/>
              </w:rPr>
            </w:pPr>
            <w:r>
              <w:rPr>
                <w:rFonts w:cs="Arial"/>
                <w:sz w:val="20"/>
              </w:rPr>
              <w:t xml:space="preserve">6.0m </w:t>
            </w:r>
          </w:p>
        </w:tc>
        <w:tc>
          <w:tcPr>
            <w:tcW w:w="1808" w:type="dxa"/>
            <w:vAlign w:val="center"/>
          </w:tcPr>
          <w:p w:rsidR="00BB0F2C" w:rsidRDefault="00BB0F2C">
            <w:pPr>
              <w:jc w:val="center"/>
              <w:rPr>
                <w:rFonts w:cs="Arial"/>
                <w:sz w:val="20"/>
              </w:rPr>
            </w:pPr>
            <w:r>
              <w:rPr>
                <w:rFonts w:cs="Arial"/>
                <w:sz w:val="20"/>
              </w:rPr>
              <w:t xml:space="preserve">6.0m </w:t>
            </w:r>
          </w:p>
        </w:tc>
      </w:tr>
    </w:tbl>
    <w:p w:rsidR="00BB0F2C" w:rsidRDefault="00BB0F2C">
      <w:pPr>
        <w:ind w:left="567" w:hanging="567"/>
        <w:rPr>
          <w:rFonts w:cs="Arial"/>
          <w:sz w:val="16"/>
          <w:szCs w:val="16"/>
        </w:rPr>
      </w:pPr>
      <w:r>
        <w:rPr>
          <w:rFonts w:cs="Arial"/>
          <w:b/>
          <w:sz w:val="16"/>
          <w:szCs w:val="16"/>
        </w:rPr>
        <w:t>^</w:t>
      </w:r>
      <w:r>
        <w:rPr>
          <w:rFonts w:cs="Arial"/>
          <w:sz w:val="16"/>
          <w:szCs w:val="16"/>
        </w:rPr>
        <w:tab/>
        <w:t>South facing boundary means a boundary of a block where a line drawn perpendicular to the boundary outwards is orientated between south 30 degrees west and south 20 degrees east.</w:t>
      </w:r>
    </w:p>
    <w:p w:rsidR="00BB0F2C" w:rsidRDefault="00BB0F2C">
      <w:pPr>
        <w:ind w:left="567" w:hanging="567"/>
        <w:rPr>
          <w:rFonts w:cs="Arial"/>
          <w:sz w:val="16"/>
          <w:szCs w:val="16"/>
        </w:rPr>
      </w:pPr>
      <w:r>
        <w:rPr>
          <w:rFonts w:cs="Arial"/>
          <w:b/>
          <w:sz w:val="16"/>
          <w:szCs w:val="16"/>
        </w:rPr>
        <w:t>^^</w:t>
      </w:r>
      <w:r>
        <w:rPr>
          <w:rFonts w:cs="Arial"/>
          <w:b/>
          <w:sz w:val="16"/>
          <w:szCs w:val="16"/>
        </w:rPr>
        <w:tab/>
      </w:r>
      <w:r>
        <w:rPr>
          <w:rFonts w:cs="Arial"/>
          <w:sz w:val="16"/>
          <w:szCs w:val="16"/>
        </w:rPr>
        <w:t>North facing boundary means a boundary of a block where a line drawn perpendicular to the boundary outwards is orientated between north 20 degrees west and north 30 degrees east.</w:t>
      </w:r>
    </w:p>
    <w:p w:rsidR="00BB0F2C" w:rsidRDefault="00BB0F2C">
      <w:pPr>
        <w:ind w:left="567" w:hanging="567"/>
        <w:rPr>
          <w:rFonts w:cs="Arial"/>
          <w:sz w:val="16"/>
          <w:szCs w:val="16"/>
        </w:rPr>
      </w:pPr>
      <w:r>
        <w:rPr>
          <w:rFonts w:cs="Arial"/>
          <w:b/>
          <w:sz w:val="16"/>
          <w:szCs w:val="16"/>
        </w:rPr>
        <w:t>^^^</w:t>
      </w:r>
      <w:r>
        <w:rPr>
          <w:rFonts w:cs="Arial"/>
          <w:b/>
          <w:sz w:val="16"/>
          <w:szCs w:val="16"/>
        </w:rPr>
        <w:tab/>
      </w:r>
      <w:r>
        <w:rPr>
          <w:rFonts w:cs="Arial"/>
          <w:sz w:val="16"/>
          <w:szCs w:val="16"/>
        </w:rPr>
        <w:t>East/West boundary means a boundary of a block where a line drawn perpendicular to the boundary outwards is orientated either between east 20 degrees north and east 30 degrees south or between west 30 degrees north and west 20 degrees south.</w:t>
      </w:r>
    </w:p>
    <w:p w:rsidR="00BB0F2C" w:rsidRDefault="00BB0F2C">
      <w:pPr>
        <w:ind w:left="567" w:hanging="567"/>
        <w:rPr>
          <w:rFonts w:cs="Arial"/>
          <w:sz w:val="16"/>
          <w:szCs w:val="16"/>
        </w:rPr>
      </w:pPr>
      <w:r>
        <w:rPr>
          <w:rFonts w:cs="Arial"/>
          <w:b/>
          <w:sz w:val="16"/>
          <w:szCs w:val="16"/>
        </w:rPr>
        <w:t>*</w:t>
      </w:r>
      <w:r>
        <w:rPr>
          <w:rFonts w:cs="Arial"/>
          <w:sz w:val="16"/>
          <w:szCs w:val="16"/>
        </w:rPr>
        <w:tab/>
        <w:t>Boundary 2 may be stipulated in a precinct code.</w:t>
      </w:r>
    </w:p>
    <w:p w:rsidR="00BB0F2C" w:rsidRDefault="00BB0F2C">
      <w:pPr>
        <w:ind w:left="567" w:hanging="567"/>
        <w:rPr>
          <w:rFonts w:cs="Arial"/>
          <w:sz w:val="16"/>
          <w:szCs w:val="16"/>
        </w:rPr>
      </w:pPr>
      <w:r>
        <w:rPr>
          <w:rFonts w:cs="Arial"/>
          <w:b/>
          <w:sz w:val="16"/>
          <w:szCs w:val="16"/>
        </w:rPr>
        <w:t>**</w:t>
      </w:r>
      <w:r>
        <w:rPr>
          <w:rFonts w:cs="Arial"/>
          <w:sz w:val="16"/>
          <w:szCs w:val="16"/>
        </w:rPr>
        <w:tab/>
        <w:t xml:space="preserve">Provided the total length of the wall on the boundary does not exceed 13m (may extend up to 2.5m into the rear zone).  Blank walls on boundaries may include walls to garages and non habitable rooms and cavity walls to habitable rooms. </w:t>
      </w:r>
    </w:p>
    <w:p w:rsidR="00BB0F2C" w:rsidRDefault="00BB0F2C">
      <w:pPr>
        <w:ind w:left="567" w:hanging="567"/>
        <w:rPr>
          <w:rFonts w:cs="Arial"/>
          <w:sz w:val="16"/>
          <w:szCs w:val="16"/>
        </w:rPr>
      </w:pPr>
      <w:r>
        <w:rPr>
          <w:rFonts w:cs="Arial"/>
          <w:b/>
          <w:sz w:val="16"/>
          <w:szCs w:val="16"/>
        </w:rPr>
        <w:t>***</w:t>
      </w:r>
      <w:r>
        <w:rPr>
          <w:rFonts w:cs="Arial"/>
          <w:sz w:val="16"/>
          <w:szCs w:val="16"/>
        </w:rPr>
        <w:tab/>
        <w:t>Blank walls, walls with windows with sill heights ≥ 1.7m or with permanent fixed panes of obscure glass, or screen walls.</w:t>
      </w:r>
    </w:p>
    <w:p w:rsidR="00BB0F2C" w:rsidRDefault="00BB0F2C">
      <w:pPr>
        <w:ind w:left="567" w:hanging="567"/>
        <w:rPr>
          <w:rFonts w:cs="Arial"/>
          <w:sz w:val="16"/>
          <w:szCs w:val="16"/>
        </w:rPr>
      </w:pPr>
      <w:r>
        <w:rPr>
          <w:rFonts w:cs="Arial"/>
          <w:b/>
          <w:sz w:val="16"/>
          <w:szCs w:val="16"/>
        </w:rPr>
        <w:t>****</w:t>
      </w:r>
      <w:r>
        <w:rPr>
          <w:rFonts w:cs="Arial"/>
          <w:sz w:val="16"/>
          <w:szCs w:val="16"/>
        </w:rPr>
        <w:tab/>
        <w:t xml:space="preserve">Walls with other windows, outer faces of unscreened decks, balconies and external stairs. </w:t>
      </w:r>
    </w:p>
    <w:p w:rsidR="00BB0F2C" w:rsidRDefault="00BB0F2C">
      <w:pPr>
        <w:ind w:left="567" w:hanging="567"/>
        <w:rPr>
          <w:rFonts w:cs="Arial"/>
          <w:sz w:val="16"/>
          <w:szCs w:val="16"/>
        </w:rPr>
      </w:pPr>
      <w:r>
        <w:rPr>
          <w:rFonts w:cs="Arial"/>
          <w:b/>
          <w:sz w:val="16"/>
          <w:szCs w:val="16"/>
        </w:rPr>
        <w:t>+</w:t>
      </w:r>
      <w:r>
        <w:rPr>
          <w:rFonts w:cs="Arial"/>
          <w:sz w:val="16"/>
          <w:szCs w:val="16"/>
        </w:rPr>
        <w:tab/>
        <w:t>The dwelling is required to be setback 4m from the north facing boundary for 50% or greater of the building length commencing from 4m or greater behind the front building line.  The building length is measured 4m behind the front building line.</w:t>
      </w:r>
    </w:p>
    <w:p w:rsidR="00BB0F2C" w:rsidRDefault="00BB0F2C">
      <w:pPr>
        <w:pStyle w:val="elementHeading"/>
        <w:rPr>
          <w:sz w:val="16"/>
          <w:szCs w:val="16"/>
        </w:rPr>
      </w:pPr>
    </w:p>
    <w:p w:rsidR="00BB0F2C" w:rsidRDefault="00BB0F2C">
      <w:pPr>
        <w:pStyle w:val="elementHeading"/>
        <w:rPr>
          <w:sz w:val="16"/>
          <w:szCs w:val="16"/>
        </w:rPr>
      </w:pPr>
    </w:p>
    <w:tbl>
      <w:tblPr>
        <w:tblStyle w:val="TableGrid"/>
        <w:tblpPr w:leftFromText="181" w:rightFromText="181" w:vertAnchor="page" w:horzAnchor="margin" w:tblpXSpec="center" w:tblpY="1606"/>
        <w:tblW w:w="9747" w:type="dxa"/>
        <w:tblLook w:val="00A0" w:firstRow="1" w:lastRow="0" w:firstColumn="1" w:lastColumn="0" w:noHBand="0" w:noVBand="0"/>
      </w:tblPr>
      <w:tblGrid>
        <w:gridCol w:w="2229"/>
        <w:gridCol w:w="1893"/>
        <w:gridCol w:w="5625"/>
      </w:tblGrid>
      <w:tr w:rsidR="00E1053C" w:rsidTr="00E1053C">
        <w:tc>
          <w:tcPr>
            <w:tcW w:w="9747" w:type="dxa"/>
            <w:gridSpan w:val="3"/>
          </w:tcPr>
          <w:p w:rsidR="00E1053C" w:rsidRDefault="00E1053C" w:rsidP="00E1053C">
            <w:pPr>
              <w:pStyle w:val="elementHeading"/>
              <w:jc w:val="center"/>
              <w:rPr>
                <w:sz w:val="20"/>
              </w:rPr>
            </w:pPr>
            <w:r>
              <w:rPr>
                <w:sz w:val="16"/>
                <w:szCs w:val="16"/>
              </w:rPr>
              <w:br w:type="page"/>
            </w:r>
            <w:r>
              <w:rPr>
                <w:sz w:val="16"/>
                <w:szCs w:val="16"/>
              </w:rPr>
              <w:br w:type="page"/>
            </w:r>
            <w:r>
              <w:rPr>
                <w:sz w:val="20"/>
              </w:rPr>
              <w:br w:type="page"/>
            </w:r>
            <w:r w:rsidR="002E2D95">
              <w:rPr>
                <w:rFonts w:ascii="Times New Roman" w:hAnsi="Times New Roman"/>
                <w:i/>
              </w:rPr>
              <w:pict>
                <v:shape id="_x0000_i1038" type="#_x0000_t75" style="width:438.75pt;height:438.75pt">
                  <v:imagedata r:id="rId29" o:title=""/>
                </v:shape>
              </w:pict>
            </w:r>
          </w:p>
        </w:tc>
      </w:tr>
      <w:tr w:rsidR="00E1053C" w:rsidTr="00E1053C">
        <w:trPr>
          <w:trHeight w:val="336"/>
        </w:trPr>
        <w:tc>
          <w:tcPr>
            <w:tcW w:w="9747" w:type="dxa"/>
            <w:gridSpan w:val="3"/>
          </w:tcPr>
          <w:p w:rsidR="00E1053C" w:rsidRDefault="00E1053C" w:rsidP="00E1053C">
            <w:pPr>
              <w:pStyle w:val="elementHeading"/>
              <w:rPr>
                <w:b w:val="0"/>
                <w:szCs w:val="24"/>
              </w:rPr>
            </w:pPr>
            <w:r>
              <w:rPr>
                <w:b w:val="0"/>
                <w:szCs w:val="24"/>
              </w:rPr>
              <w:t xml:space="preserve">Figure C6 Setbacks –Option 2 – North and south facing side boundaries </w:t>
            </w:r>
          </w:p>
        </w:tc>
      </w:tr>
      <w:tr w:rsidR="00E1053C" w:rsidTr="00E1053C">
        <w:tc>
          <w:tcPr>
            <w:tcW w:w="2229" w:type="dxa"/>
          </w:tcPr>
          <w:p w:rsidR="00E1053C" w:rsidRDefault="002E2D95" w:rsidP="00E1053C">
            <w:pPr>
              <w:pStyle w:val="elementHeading"/>
              <w:rPr>
                <w:b w:val="0"/>
                <w:sz w:val="20"/>
              </w:rPr>
            </w:pPr>
            <w:r>
              <w:pict>
                <v:shape id="_x0000_i1039" type="#_x0000_t75" style="width:40.5pt;height:20.25pt" o:allowoverlap="f">
                  <v:imagedata r:id="rId25" o:title=""/>
                </v:shape>
              </w:pict>
            </w:r>
          </w:p>
        </w:tc>
        <w:tc>
          <w:tcPr>
            <w:tcW w:w="1893" w:type="dxa"/>
          </w:tcPr>
          <w:p w:rsidR="00E1053C" w:rsidRDefault="00E1053C" w:rsidP="00E1053C">
            <w:pPr>
              <w:pStyle w:val="elementHeading"/>
              <w:rPr>
                <w:b w:val="0"/>
                <w:sz w:val="16"/>
                <w:szCs w:val="16"/>
              </w:rPr>
            </w:pPr>
            <w:r>
              <w:rPr>
                <w:b w:val="0"/>
                <w:sz w:val="16"/>
                <w:szCs w:val="16"/>
              </w:rPr>
              <w:t>Lower Floor Level Setbacks</w:t>
            </w:r>
          </w:p>
        </w:tc>
        <w:tc>
          <w:tcPr>
            <w:tcW w:w="5625" w:type="dxa"/>
          </w:tcPr>
          <w:p w:rsidR="00E1053C" w:rsidRDefault="00E1053C" w:rsidP="00E1053C">
            <w:pPr>
              <w:pStyle w:val="elementHeading"/>
              <w:rPr>
                <w:b w:val="0"/>
                <w:sz w:val="16"/>
                <w:szCs w:val="16"/>
              </w:rPr>
            </w:pPr>
          </w:p>
        </w:tc>
      </w:tr>
      <w:tr w:rsidR="00E1053C" w:rsidTr="00E1053C">
        <w:tc>
          <w:tcPr>
            <w:tcW w:w="2229" w:type="dxa"/>
          </w:tcPr>
          <w:p w:rsidR="00E1053C" w:rsidRDefault="002E2D95" w:rsidP="00E1053C">
            <w:pPr>
              <w:pStyle w:val="elementHeading"/>
              <w:rPr>
                <w:b w:val="0"/>
                <w:sz w:val="20"/>
              </w:rPr>
            </w:pPr>
            <w:r>
              <w:pict>
                <v:shape id="_x0000_i1040" type="#_x0000_t75" style="width:40.5pt;height:20.25pt" o:allowoverlap="f">
                  <v:imagedata r:id="rId26" o:title=""/>
                </v:shape>
              </w:pict>
            </w:r>
          </w:p>
        </w:tc>
        <w:tc>
          <w:tcPr>
            <w:tcW w:w="1893" w:type="dxa"/>
          </w:tcPr>
          <w:p w:rsidR="00E1053C" w:rsidRDefault="00E1053C" w:rsidP="00E1053C">
            <w:pPr>
              <w:pStyle w:val="elementHeading"/>
              <w:rPr>
                <w:b w:val="0"/>
                <w:sz w:val="16"/>
                <w:szCs w:val="16"/>
              </w:rPr>
            </w:pPr>
            <w:r>
              <w:rPr>
                <w:b w:val="0"/>
                <w:sz w:val="16"/>
                <w:szCs w:val="16"/>
              </w:rPr>
              <w:t xml:space="preserve">Lower Floor Level Setback </w:t>
            </w:r>
          </w:p>
        </w:tc>
        <w:tc>
          <w:tcPr>
            <w:tcW w:w="5625" w:type="dxa"/>
          </w:tcPr>
          <w:p w:rsidR="00E1053C" w:rsidRDefault="00E1053C" w:rsidP="00E1053C">
            <w:pPr>
              <w:rPr>
                <w:rFonts w:cs="Arial"/>
                <w:sz w:val="16"/>
                <w:szCs w:val="16"/>
              </w:rPr>
            </w:pPr>
            <w:r>
              <w:rPr>
                <w:sz w:val="16"/>
                <w:szCs w:val="16"/>
              </w:rPr>
              <w:t xml:space="preserve">Where the total length of the wall on the boundary does not exceed 13m (may extend up to 2.5m into the rear zone).  Blank walls on boundaries may include walls to garages and non habitable rooms and cavity walls to habitable rooms.  </w:t>
            </w:r>
          </w:p>
        </w:tc>
      </w:tr>
      <w:tr w:rsidR="00E1053C" w:rsidTr="00E1053C">
        <w:tc>
          <w:tcPr>
            <w:tcW w:w="2229" w:type="dxa"/>
          </w:tcPr>
          <w:p w:rsidR="00E1053C" w:rsidRDefault="002E2D95" w:rsidP="00E1053C">
            <w:pPr>
              <w:pStyle w:val="elementHeading"/>
              <w:rPr>
                <w:b w:val="0"/>
                <w:sz w:val="20"/>
              </w:rPr>
            </w:pPr>
            <w:r>
              <w:pict>
                <v:shape id="_x0000_i1041" type="#_x0000_t75" style="width:40.5pt;height:20.25pt" o:allowoverlap="f">
                  <v:imagedata r:id="rId27" o:title=""/>
                </v:shape>
              </w:pict>
            </w:r>
          </w:p>
        </w:tc>
        <w:tc>
          <w:tcPr>
            <w:tcW w:w="1893" w:type="dxa"/>
          </w:tcPr>
          <w:p w:rsidR="00E1053C" w:rsidRDefault="00E1053C" w:rsidP="00E1053C">
            <w:pPr>
              <w:pStyle w:val="elementHeading"/>
              <w:rPr>
                <w:b w:val="0"/>
                <w:sz w:val="16"/>
                <w:szCs w:val="16"/>
              </w:rPr>
            </w:pPr>
            <w:r>
              <w:rPr>
                <w:b w:val="0"/>
                <w:sz w:val="16"/>
                <w:szCs w:val="16"/>
              </w:rPr>
              <w:t>Upper Floor Level Setback</w:t>
            </w:r>
          </w:p>
        </w:tc>
        <w:tc>
          <w:tcPr>
            <w:tcW w:w="5625" w:type="dxa"/>
          </w:tcPr>
          <w:p w:rsidR="00E1053C" w:rsidRDefault="00E1053C" w:rsidP="00E1053C">
            <w:pPr>
              <w:rPr>
                <w:rFonts w:cs="Arial"/>
                <w:sz w:val="16"/>
                <w:szCs w:val="16"/>
              </w:rPr>
            </w:pPr>
            <w:r>
              <w:rPr>
                <w:rFonts w:cs="Arial"/>
                <w:sz w:val="16"/>
                <w:szCs w:val="16"/>
              </w:rPr>
              <w:t>Where design incorporates blank walls, walls with windows with sill heights ≥ 1.7m or with permanent fixed panes of obscure glass, or screen walls.</w:t>
            </w:r>
          </w:p>
          <w:p w:rsidR="00E1053C" w:rsidRDefault="00E1053C" w:rsidP="00E1053C">
            <w:pPr>
              <w:pStyle w:val="elementHeading"/>
              <w:rPr>
                <w:b w:val="0"/>
                <w:sz w:val="16"/>
                <w:szCs w:val="16"/>
              </w:rPr>
            </w:pPr>
          </w:p>
        </w:tc>
      </w:tr>
      <w:tr w:rsidR="00E1053C" w:rsidTr="00E1053C">
        <w:tc>
          <w:tcPr>
            <w:tcW w:w="2229" w:type="dxa"/>
          </w:tcPr>
          <w:p w:rsidR="00E1053C" w:rsidRDefault="002E2D95" w:rsidP="00E1053C">
            <w:pPr>
              <w:pStyle w:val="elementHeading"/>
              <w:rPr>
                <w:b w:val="0"/>
                <w:sz w:val="20"/>
              </w:rPr>
            </w:pPr>
            <w:r>
              <w:pict>
                <v:shape id="_x0000_i1042" type="#_x0000_t75" style="width:40.5pt;height:20.25pt" o:allowoverlap="f">
                  <v:imagedata r:id="rId28" o:title=""/>
                </v:shape>
              </w:pict>
            </w:r>
          </w:p>
        </w:tc>
        <w:tc>
          <w:tcPr>
            <w:tcW w:w="1893" w:type="dxa"/>
          </w:tcPr>
          <w:p w:rsidR="00E1053C" w:rsidRDefault="00E1053C" w:rsidP="00E1053C">
            <w:pPr>
              <w:pStyle w:val="elementHeading"/>
              <w:rPr>
                <w:b w:val="0"/>
                <w:sz w:val="16"/>
                <w:szCs w:val="16"/>
              </w:rPr>
            </w:pPr>
            <w:r>
              <w:rPr>
                <w:b w:val="0"/>
                <w:sz w:val="16"/>
                <w:szCs w:val="16"/>
              </w:rPr>
              <w:t>Upper Floor Level Setback</w:t>
            </w:r>
          </w:p>
        </w:tc>
        <w:tc>
          <w:tcPr>
            <w:tcW w:w="5625" w:type="dxa"/>
          </w:tcPr>
          <w:p w:rsidR="00E1053C" w:rsidRDefault="00E1053C" w:rsidP="00E1053C">
            <w:pPr>
              <w:rPr>
                <w:rFonts w:cs="Arial"/>
                <w:sz w:val="16"/>
                <w:szCs w:val="16"/>
              </w:rPr>
            </w:pPr>
            <w:r>
              <w:rPr>
                <w:rFonts w:cs="Arial"/>
                <w:sz w:val="16"/>
                <w:szCs w:val="16"/>
              </w:rPr>
              <w:t xml:space="preserve">Where design incorporates other windows, outer faces of unscreened decks, balconies and external stairs. </w:t>
            </w:r>
          </w:p>
          <w:p w:rsidR="00E1053C" w:rsidRDefault="00E1053C" w:rsidP="00E1053C">
            <w:pPr>
              <w:pStyle w:val="elementHeading"/>
              <w:rPr>
                <w:b w:val="0"/>
                <w:sz w:val="16"/>
                <w:szCs w:val="16"/>
              </w:rPr>
            </w:pPr>
          </w:p>
        </w:tc>
      </w:tr>
      <w:tr w:rsidR="00E1053C" w:rsidTr="00E1053C">
        <w:tc>
          <w:tcPr>
            <w:tcW w:w="2229" w:type="dxa"/>
          </w:tcPr>
          <w:p w:rsidR="00E1053C" w:rsidRDefault="00E1053C" w:rsidP="00E1053C">
            <w:pPr>
              <w:pStyle w:val="elementHeading"/>
              <w:rPr>
                <w:b w:val="0"/>
                <w:sz w:val="16"/>
                <w:szCs w:val="16"/>
              </w:rPr>
            </w:pPr>
            <w:r>
              <w:rPr>
                <w:sz w:val="16"/>
                <w:szCs w:val="16"/>
              </w:rPr>
              <w:t xml:space="preserve">RZ </w:t>
            </w:r>
            <w:r>
              <w:rPr>
                <w:b w:val="0"/>
                <w:sz w:val="16"/>
                <w:szCs w:val="16"/>
              </w:rPr>
              <w:t>= Rear Zone</w:t>
            </w:r>
          </w:p>
        </w:tc>
        <w:tc>
          <w:tcPr>
            <w:tcW w:w="1893" w:type="dxa"/>
          </w:tcPr>
          <w:p w:rsidR="00E1053C" w:rsidRDefault="00E1053C" w:rsidP="00E1053C">
            <w:pPr>
              <w:pStyle w:val="elementHeading"/>
              <w:rPr>
                <w:b w:val="0"/>
                <w:sz w:val="16"/>
                <w:szCs w:val="16"/>
              </w:rPr>
            </w:pPr>
            <w:r>
              <w:rPr>
                <w:sz w:val="16"/>
                <w:szCs w:val="16"/>
              </w:rPr>
              <w:t>PBZ</w:t>
            </w:r>
            <w:r>
              <w:rPr>
                <w:b w:val="0"/>
                <w:sz w:val="16"/>
                <w:szCs w:val="16"/>
              </w:rPr>
              <w:t xml:space="preserve"> = Primary Building Zone</w:t>
            </w:r>
          </w:p>
        </w:tc>
        <w:tc>
          <w:tcPr>
            <w:tcW w:w="5625" w:type="dxa"/>
          </w:tcPr>
          <w:p w:rsidR="00E1053C" w:rsidRDefault="00E1053C" w:rsidP="00E1053C">
            <w:pPr>
              <w:pStyle w:val="elementHeading"/>
              <w:rPr>
                <w:b w:val="0"/>
                <w:sz w:val="16"/>
                <w:szCs w:val="16"/>
              </w:rPr>
            </w:pPr>
            <w:r>
              <w:rPr>
                <w:sz w:val="16"/>
                <w:szCs w:val="16"/>
              </w:rPr>
              <w:t>FZ</w:t>
            </w:r>
            <w:r>
              <w:rPr>
                <w:b w:val="0"/>
                <w:sz w:val="16"/>
                <w:szCs w:val="16"/>
              </w:rPr>
              <w:t xml:space="preserve"> = Front Zone</w:t>
            </w:r>
          </w:p>
        </w:tc>
      </w:tr>
    </w:tbl>
    <w:p w:rsidR="00BB0F2C" w:rsidRDefault="00BB0F2C">
      <w:pPr>
        <w:pStyle w:val="elementHeading"/>
        <w:rPr>
          <w:sz w:val="20"/>
        </w:rPr>
      </w:pPr>
    </w:p>
    <w:p w:rsidR="00E1053C" w:rsidRDefault="00E1053C">
      <w:pPr>
        <w:pStyle w:val="elementHeading"/>
        <w:rPr>
          <w:sz w:val="20"/>
        </w:rPr>
      </w:pPr>
    </w:p>
    <w:p w:rsidR="00E1053C" w:rsidRDefault="00E1053C">
      <w:pPr>
        <w:pStyle w:val="elementHeading"/>
        <w:rPr>
          <w:sz w:val="20"/>
        </w:rPr>
      </w:pPr>
    </w:p>
    <w:tbl>
      <w:tblPr>
        <w:tblStyle w:val="TableGrid"/>
        <w:tblpPr w:leftFromText="181" w:rightFromText="181" w:vertAnchor="page" w:horzAnchor="page" w:tblpXSpec="center" w:tblpYSpec="center"/>
        <w:tblW w:w="9081" w:type="dxa"/>
        <w:tblLook w:val="00A0" w:firstRow="1" w:lastRow="0" w:firstColumn="1" w:lastColumn="0" w:noHBand="0" w:noVBand="0"/>
      </w:tblPr>
      <w:tblGrid>
        <w:gridCol w:w="2128"/>
        <w:gridCol w:w="1808"/>
        <w:gridCol w:w="5145"/>
      </w:tblGrid>
      <w:tr w:rsidR="00BB0F2C">
        <w:trPr>
          <w:trHeight w:val="8892"/>
        </w:trPr>
        <w:tc>
          <w:tcPr>
            <w:tcW w:w="9081" w:type="dxa"/>
            <w:gridSpan w:val="3"/>
          </w:tcPr>
          <w:p w:rsidR="00BB0F2C" w:rsidRDefault="00BB0F2C">
            <w:pPr>
              <w:pStyle w:val="elementHeading"/>
              <w:jc w:val="center"/>
              <w:rPr>
                <w:sz w:val="20"/>
              </w:rPr>
            </w:pPr>
            <w:r>
              <w:rPr>
                <w:sz w:val="20"/>
              </w:rPr>
              <w:br w:type="page"/>
            </w:r>
            <w:r>
              <w:rPr>
                <w:sz w:val="16"/>
                <w:szCs w:val="16"/>
              </w:rPr>
              <w:br w:type="page"/>
            </w:r>
            <w:r>
              <w:rPr>
                <w:sz w:val="16"/>
                <w:szCs w:val="16"/>
              </w:rPr>
              <w:br w:type="page"/>
            </w:r>
            <w:r>
              <w:rPr>
                <w:sz w:val="20"/>
              </w:rPr>
              <w:br w:type="page"/>
            </w:r>
            <w:r w:rsidR="002E2D95">
              <w:rPr>
                <w:sz w:val="16"/>
                <w:szCs w:val="16"/>
              </w:rPr>
              <w:pict>
                <v:shape id="_x0000_i1043" type="#_x0000_t75" style="width:396pt;height:483.75pt">
                  <v:imagedata r:id="rId30" o:title=""/>
                </v:shape>
              </w:pict>
            </w:r>
          </w:p>
        </w:tc>
      </w:tr>
      <w:tr w:rsidR="00BB0F2C">
        <w:trPr>
          <w:trHeight w:val="267"/>
        </w:trPr>
        <w:tc>
          <w:tcPr>
            <w:tcW w:w="9081" w:type="dxa"/>
            <w:gridSpan w:val="3"/>
          </w:tcPr>
          <w:p w:rsidR="00BB0F2C" w:rsidRDefault="00BB0F2C">
            <w:pPr>
              <w:pStyle w:val="elementHeading"/>
              <w:rPr>
                <w:b w:val="0"/>
                <w:szCs w:val="24"/>
              </w:rPr>
            </w:pPr>
            <w:r>
              <w:rPr>
                <w:b w:val="0"/>
                <w:szCs w:val="24"/>
              </w:rPr>
              <w:t xml:space="preserve">Figure C7 – Setbacks - Alternative Option - East and west facing side boundaries </w:t>
            </w:r>
          </w:p>
        </w:tc>
      </w:tr>
      <w:tr w:rsidR="00BB0F2C">
        <w:trPr>
          <w:trHeight w:val="434"/>
        </w:trPr>
        <w:tc>
          <w:tcPr>
            <w:tcW w:w="2128" w:type="dxa"/>
          </w:tcPr>
          <w:p w:rsidR="00BB0F2C" w:rsidRDefault="002E2D95">
            <w:pPr>
              <w:pStyle w:val="elementHeading"/>
              <w:rPr>
                <w:b w:val="0"/>
                <w:sz w:val="20"/>
              </w:rPr>
            </w:pPr>
            <w:r>
              <w:pict>
                <v:shape id="_x0000_i1044" type="#_x0000_t75" style="width:40.5pt;height:20.25pt" o:allowoverlap="f">
                  <v:imagedata r:id="rId25" o:title=""/>
                </v:shape>
              </w:pict>
            </w:r>
          </w:p>
        </w:tc>
        <w:tc>
          <w:tcPr>
            <w:tcW w:w="1808" w:type="dxa"/>
          </w:tcPr>
          <w:p w:rsidR="00BB0F2C" w:rsidRDefault="00BB0F2C">
            <w:pPr>
              <w:pStyle w:val="elementHeading"/>
              <w:rPr>
                <w:b w:val="0"/>
                <w:sz w:val="16"/>
                <w:szCs w:val="16"/>
              </w:rPr>
            </w:pPr>
            <w:r>
              <w:rPr>
                <w:b w:val="0"/>
                <w:sz w:val="16"/>
                <w:szCs w:val="16"/>
              </w:rPr>
              <w:t>Lower Floor Level Setbacks</w:t>
            </w:r>
          </w:p>
        </w:tc>
        <w:tc>
          <w:tcPr>
            <w:tcW w:w="5145" w:type="dxa"/>
          </w:tcPr>
          <w:p w:rsidR="00BB0F2C" w:rsidRDefault="00BB0F2C">
            <w:pPr>
              <w:pStyle w:val="elementHeading"/>
              <w:rPr>
                <w:b w:val="0"/>
                <w:sz w:val="16"/>
                <w:szCs w:val="16"/>
              </w:rPr>
            </w:pPr>
          </w:p>
        </w:tc>
      </w:tr>
      <w:tr w:rsidR="00BB0F2C">
        <w:trPr>
          <w:trHeight w:val="558"/>
        </w:trPr>
        <w:tc>
          <w:tcPr>
            <w:tcW w:w="2128" w:type="dxa"/>
          </w:tcPr>
          <w:p w:rsidR="00BB0F2C" w:rsidRDefault="002E2D95">
            <w:pPr>
              <w:pStyle w:val="elementHeading"/>
              <w:rPr>
                <w:b w:val="0"/>
                <w:sz w:val="20"/>
              </w:rPr>
            </w:pPr>
            <w:r>
              <w:pict>
                <v:shape id="_x0000_i1045" type="#_x0000_t75" style="width:40.5pt;height:20.25pt" o:allowoverlap="f">
                  <v:imagedata r:id="rId26" o:title=""/>
                </v:shape>
              </w:pict>
            </w:r>
          </w:p>
        </w:tc>
        <w:tc>
          <w:tcPr>
            <w:tcW w:w="1808" w:type="dxa"/>
          </w:tcPr>
          <w:p w:rsidR="00BB0F2C" w:rsidRDefault="00BB0F2C">
            <w:pPr>
              <w:pStyle w:val="elementHeading"/>
              <w:rPr>
                <w:b w:val="0"/>
                <w:sz w:val="16"/>
                <w:szCs w:val="16"/>
              </w:rPr>
            </w:pPr>
            <w:r>
              <w:rPr>
                <w:b w:val="0"/>
                <w:sz w:val="16"/>
                <w:szCs w:val="16"/>
              </w:rPr>
              <w:t xml:space="preserve">Lower Floor Level Setback </w:t>
            </w:r>
          </w:p>
        </w:tc>
        <w:tc>
          <w:tcPr>
            <w:tcW w:w="5145" w:type="dxa"/>
          </w:tcPr>
          <w:p w:rsidR="00BB0F2C" w:rsidRDefault="00BB0F2C">
            <w:pPr>
              <w:rPr>
                <w:rFonts w:cs="Arial"/>
                <w:sz w:val="16"/>
                <w:szCs w:val="16"/>
              </w:rPr>
            </w:pPr>
            <w:r>
              <w:rPr>
                <w:sz w:val="16"/>
                <w:szCs w:val="16"/>
              </w:rPr>
              <w:t xml:space="preserve">Where the total length of the wall on the boundary does not exceed 13m (may extend up to 2.5m into the rear zone).  Blank walls on boundaries may include walls to garages and non habitable rooms and cavity walls to habitable rooms.  </w:t>
            </w:r>
          </w:p>
        </w:tc>
      </w:tr>
      <w:tr w:rsidR="00BB0F2C">
        <w:trPr>
          <w:trHeight w:val="681"/>
        </w:trPr>
        <w:tc>
          <w:tcPr>
            <w:tcW w:w="2128" w:type="dxa"/>
          </w:tcPr>
          <w:p w:rsidR="00BB0F2C" w:rsidRDefault="002E2D95">
            <w:pPr>
              <w:pStyle w:val="elementHeading"/>
              <w:rPr>
                <w:b w:val="0"/>
                <w:sz w:val="20"/>
              </w:rPr>
            </w:pPr>
            <w:r>
              <w:pict>
                <v:shape id="_x0000_i1046" type="#_x0000_t75" style="width:40.5pt;height:20.25pt" o:allowoverlap="f">
                  <v:imagedata r:id="rId27" o:title=""/>
                </v:shape>
              </w:pict>
            </w:r>
          </w:p>
        </w:tc>
        <w:tc>
          <w:tcPr>
            <w:tcW w:w="1808" w:type="dxa"/>
          </w:tcPr>
          <w:p w:rsidR="00BB0F2C" w:rsidRDefault="00BB0F2C">
            <w:pPr>
              <w:pStyle w:val="elementHeading"/>
              <w:rPr>
                <w:b w:val="0"/>
                <w:sz w:val="16"/>
                <w:szCs w:val="16"/>
              </w:rPr>
            </w:pPr>
            <w:r>
              <w:rPr>
                <w:b w:val="0"/>
                <w:sz w:val="16"/>
                <w:szCs w:val="16"/>
              </w:rPr>
              <w:t>Upper Floor Level Setback</w:t>
            </w:r>
          </w:p>
        </w:tc>
        <w:tc>
          <w:tcPr>
            <w:tcW w:w="5145" w:type="dxa"/>
          </w:tcPr>
          <w:p w:rsidR="00BB0F2C" w:rsidRDefault="00BB0F2C">
            <w:pPr>
              <w:rPr>
                <w:rFonts w:cs="Arial"/>
                <w:sz w:val="16"/>
                <w:szCs w:val="16"/>
              </w:rPr>
            </w:pPr>
            <w:r>
              <w:rPr>
                <w:rFonts w:cs="Arial"/>
                <w:sz w:val="16"/>
                <w:szCs w:val="16"/>
              </w:rPr>
              <w:t>Where design incorporates blank walls, walls with windows with sill heights ≥ 1.7m or with permanent fixed panes of obscure glass, or screen walls.</w:t>
            </w:r>
          </w:p>
          <w:p w:rsidR="00BB0F2C" w:rsidRDefault="00BB0F2C">
            <w:pPr>
              <w:pStyle w:val="elementHeading"/>
              <w:rPr>
                <w:b w:val="0"/>
                <w:sz w:val="16"/>
                <w:szCs w:val="16"/>
              </w:rPr>
            </w:pPr>
          </w:p>
        </w:tc>
      </w:tr>
      <w:tr w:rsidR="00BB0F2C">
        <w:trPr>
          <w:trHeight w:val="558"/>
        </w:trPr>
        <w:tc>
          <w:tcPr>
            <w:tcW w:w="2128" w:type="dxa"/>
          </w:tcPr>
          <w:p w:rsidR="00BB0F2C" w:rsidRDefault="002E2D95">
            <w:pPr>
              <w:pStyle w:val="elementHeading"/>
              <w:rPr>
                <w:b w:val="0"/>
                <w:sz w:val="20"/>
              </w:rPr>
            </w:pPr>
            <w:r>
              <w:pict>
                <v:shape id="_x0000_i1047" type="#_x0000_t75" style="width:38.25pt;height:18.75pt" o:allowoverlap="f">
                  <v:imagedata r:id="rId28" o:title=""/>
                </v:shape>
              </w:pict>
            </w:r>
          </w:p>
        </w:tc>
        <w:tc>
          <w:tcPr>
            <w:tcW w:w="1808" w:type="dxa"/>
          </w:tcPr>
          <w:p w:rsidR="00BB0F2C" w:rsidRDefault="00BB0F2C">
            <w:pPr>
              <w:pStyle w:val="elementHeading"/>
              <w:rPr>
                <w:b w:val="0"/>
                <w:sz w:val="16"/>
                <w:szCs w:val="16"/>
              </w:rPr>
            </w:pPr>
            <w:r>
              <w:rPr>
                <w:b w:val="0"/>
                <w:sz w:val="16"/>
                <w:szCs w:val="16"/>
              </w:rPr>
              <w:t>Upper Floor Level Setback</w:t>
            </w:r>
          </w:p>
        </w:tc>
        <w:tc>
          <w:tcPr>
            <w:tcW w:w="5145" w:type="dxa"/>
          </w:tcPr>
          <w:p w:rsidR="00BB0F2C" w:rsidRDefault="00BB0F2C">
            <w:pPr>
              <w:rPr>
                <w:rFonts w:cs="Arial"/>
                <w:sz w:val="16"/>
                <w:szCs w:val="16"/>
              </w:rPr>
            </w:pPr>
            <w:r>
              <w:rPr>
                <w:rFonts w:cs="Arial"/>
                <w:sz w:val="16"/>
                <w:szCs w:val="16"/>
              </w:rPr>
              <w:t xml:space="preserve">Where design incorporates other windows, outer faces of unscreened decks, balconies and external stairs. </w:t>
            </w:r>
          </w:p>
          <w:p w:rsidR="00BB0F2C" w:rsidRDefault="00BB0F2C">
            <w:pPr>
              <w:pStyle w:val="elementHeading"/>
              <w:rPr>
                <w:b w:val="0"/>
                <w:sz w:val="16"/>
                <w:szCs w:val="16"/>
              </w:rPr>
            </w:pPr>
          </w:p>
        </w:tc>
      </w:tr>
      <w:tr w:rsidR="00BB0F2C">
        <w:trPr>
          <w:trHeight w:val="691"/>
        </w:trPr>
        <w:tc>
          <w:tcPr>
            <w:tcW w:w="2128" w:type="dxa"/>
          </w:tcPr>
          <w:p w:rsidR="00BB0F2C" w:rsidRDefault="00BB0F2C">
            <w:pPr>
              <w:pStyle w:val="elementHeading"/>
              <w:rPr>
                <w:b w:val="0"/>
                <w:sz w:val="16"/>
                <w:szCs w:val="16"/>
              </w:rPr>
            </w:pPr>
            <w:r>
              <w:rPr>
                <w:sz w:val="16"/>
                <w:szCs w:val="16"/>
              </w:rPr>
              <w:t xml:space="preserve">RZ </w:t>
            </w:r>
            <w:r>
              <w:rPr>
                <w:b w:val="0"/>
                <w:sz w:val="16"/>
                <w:szCs w:val="16"/>
              </w:rPr>
              <w:t>= Rear Zone</w:t>
            </w:r>
          </w:p>
        </w:tc>
        <w:tc>
          <w:tcPr>
            <w:tcW w:w="1808" w:type="dxa"/>
          </w:tcPr>
          <w:p w:rsidR="00BB0F2C" w:rsidRDefault="00BB0F2C">
            <w:pPr>
              <w:pStyle w:val="elementHeading"/>
              <w:rPr>
                <w:b w:val="0"/>
                <w:sz w:val="16"/>
                <w:szCs w:val="16"/>
              </w:rPr>
            </w:pPr>
            <w:r>
              <w:rPr>
                <w:sz w:val="16"/>
                <w:szCs w:val="16"/>
              </w:rPr>
              <w:t>PBZ</w:t>
            </w:r>
            <w:r>
              <w:rPr>
                <w:b w:val="0"/>
                <w:sz w:val="16"/>
                <w:szCs w:val="16"/>
              </w:rPr>
              <w:t xml:space="preserve"> = Primary Building Zone</w:t>
            </w:r>
          </w:p>
        </w:tc>
        <w:tc>
          <w:tcPr>
            <w:tcW w:w="5145" w:type="dxa"/>
          </w:tcPr>
          <w:p w:rsidR="00BB0F2C" w:rsidRDefault="00BB0F2C">
            <w:pPr>
              <w:pStyle w:val="elementHeading"/>
              <w:rPr>
                <w:b w:val="0"/>
                <w:sz w:val="16"/>
                <w:szCs w:val="16"/>
              </w:rPr>
            </w:pPr>
            <w:r>
              <w:rPr>
                <w:sz w:val="16"/>
                <w:szCs w:val="16"/>
              </w:rPr>
              <w:t>FZ</w:t>
            </w:r>
            <w:r>
              <w:rPr>
                <w:b w:val="0"/>
                <w:sz w:val="16"/>
                <w:szCs w:val="16"/>
              </w:rPr>
              <w:t xml:space="preserve"> = Front Zone</w:t>
            </w:r>
          </w:p>
        </w:tc>
      </w:tr>
    </w:tbl>
    <w:p w:rsidR="00BB0F2C" w:rsidRDefault="00BB0F2C">
      <w:pPr>
        <w:pStyle w:val="elementHeading"/>
        <w:rPr>
          <w:sz w:val="20"/>
        </w:rPr>
      </w:pPr>
    </w:p>
    <w:p w:rsidR="003C6444" w:rsidRDefault="003C6444">
      <w:pPr>
        <w:pStyle w:val="elementHeading"/>
        <w:rPr>
          <w:sz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B0F2C">
        <w:trPr>
          <w:tblHeader/>
        </w:trPr>
        <w:tc>
          <w:tcPr>
            <w:tcW w:w="4621" w:type="dxa"/>
            <w:shd w:val="clear" w:color="auto" w:fill="CCCCCC"/>
          </w:tcPr>
          <w:p w:rsidR="00BB0F2C" w:rsidRDefault="00BB0F2C">
            <w:pPr>
              <w:pStyle w:val="codeHeading"/>
            </w:pPr>
            <w:r>
              <w:t>Rules</w:t>
            </w:r>
          </w:p>
        </w:tc>
        <w:tc>
          <w:tcPr>
            <w:tcW w:w="4622" w:type="dxa"/>
            <w:shd w:val="clear" w:color="auto" w:fill="CCCCCC"/>
          </w:tcPr>
          <w:p w:rsidR="00BB0F2C" w:rsidRDefault="00BB0F2C">
            <w:pPr>
              <w:pStyle w:val="codeHeading"/>
            </w:pPr>
            <w:r>
              <w:t>Criteria</w:t>
            </w:r>
          </w:p>
        </w:tc>
      </w:tr>
      <w:tr w:rsidR="00BB0F2C">
        <w:tc>
          <w:tcPr>
            <w:tcW w:w="9243" w:type="dxa"/>
            <w:gridSpan w:val="2"/>
            <w:shd w:val="clear" w:color="auto" w:fill="E0E0E0"/>
          </w:tcPr>
          <w:p w:rsidR="00BB0F2C" w:rsidRDefault="00BB0F2C">
            <w:pPr>
              <w:pStyle w:val="CodeItem"/>
              <w:ind w:left="448" w:hanging="448"/>
              <w:rPr>
                <w:b w:val="0"/>
              </w:rPr>
            </w:pPr>
            <w:r>
              <w:rPr>
                <w:b w:val="0"/>
                <w:bCs w:val="0"/>
              </w:rPr>
              <w:br w:type="page"/>
            </w:r>
            <w:r>
              <w:t>2.4</w:t>
            </w:r>
            <w:r>
              <w:tab/>
              <w:t>Rear setback</w:t>
            </w:r>
            <w:r>
              <w:rPr>
                <w:b w:val="0"/>
              </w:rPr>
              <w:t xml:space="preserve"> (Replaces R32)</w:t>
            </w:r>
          </w:p>
        </w:tc>
      </w:tr>
      <w:tr w:rsidR="00BB0F2C">
        <w:tc>
          <w:tcPr>
            <w:tcW w:w="4621" w:type="dxa"/>
          </w:tcPr>
          <w:p w:rsidR="00BB0F2C" w:rsidRDefault="00BB0F2C">
            <w:pPr>
              <w:pStyle w:val="codeList"/>
              <w:numPr>
                <w:ilvl w:val="0"/>
                <w:numId w:val="0"/>
              </w:numPr>
              <w:spacing w:before="40"/>
              <w:ind w:left="448" w:hanging="448"/>
            </w:pPr>
            <w:r>
              <w:t>R84</w:t>
            </w:r>
          </w:p>
          <w:p w:rsidR="00BB0F2C" w:rsidRDefault="00BB0F2C">
            <w:pPr>
              <w:pStyle w:val="codeList"/>
              <w:numPr>
                <w:ilvl w:val="0"/>
                <w:numId w:val="0"/>
              </w:numPr>
              <w:spacing w:before="40"/>
              <w:ind w:left="34" w:hanging="34"/>
            </w:pPr>
            <w:r>
              <w:t>Rear setbacks are a minimum of:</w:t>
            </w:r>
          </w:p>
          <w:p w:rsidR="00BB0F2C" w:rsidRDefault="00BB0F2C">
            <w:pPr>
              <w:pStyle w:val="codeList"/>
              <w:numPr>
                <w:ilvl w:val="0"/>
                <w:numId w:val="13"/>
              </w:numPr>
              <w:spacing w:before="40"/>
            </w:pPr>
            <w:r>
              <w:t>3m to the lower floor level</w:t>
            </w:r>
          </w:p>
          <w:p w:rsidR="00BB0F2C" w:rsidRDefault="00BB0F2C">
            <w:pPr>
              <w:pStyle w:val="codeList"/>
              <w:numPr>
                <w:ilvl w:val="0"/>
                <w:numId w:val="13"/>
              </w:numPr>
              <w:spacing w:before="40"/>
            </w:pPr>
            <w:r>
              <w:t>6m to the upper floor level, or</w:t>
            </w:r>
          </w:p>
          <w:p w:rsidR="00BB0F2C" w:rsidRDefault="00BB0F2C">
            <w:pPr>
              <w:pStyle w:val="codeList"/>
              <w:numPr>
                <w:ilvl w:val="0"/>
                <w:numId w:val="0"/>
              </w:numPr>
              <w:spacing w:before="40"/>
            </w:pPr>
            <w:r>
              <w:t>Where identified in a precinct code as having the option 2 side setbacks, the minimum rear setbacks for blocks with east/ west facing side boundaries are:</w:t>
            </w:r>
          </w:p>
          <w:p w:rsidR="00BB0F2C" w:rsidRDefault="00BB0F2C">
            <w:pPr>
              <w:pStyle w:val="codeList"/>
              <w:numPr>
                <w:ilvl w:val="0"/>
                <w:numId w:val="14"/>
              </w:numPr>
              <w:spacing w:before="40"/>
            </w:pPr>
            <w:r>
              <w:t>3m to the lower floor level</w:t>
            </w:r>
          </w:p>
          <w:p w:rsidR="00BB0F2C" w:rsidRDefault="00BB0F2C">
            <w:pPr>
              <w:pStyle w:val="codeList"/>
              <w:numPr>
                <w:ilvl w:val="0"/>
                <w:numId w:val="14"/>
              </w:numPr>
              <w:spacing w:before="40"/>
            </w:pPr>
            <w:r>
              <w:t>6m to the upper floor level*</w:t>
            </w:r>
          </w:p>
          <w:p w:rsidR="00BB0F2C" w:rsidRDefault="00BB0F2C">
            <w:pPr>
              <w:pStyle w:val="codeList"/>
              <w:numPr>
                <w:ilvl w:val="0"/>
                <w:numId w:val="14"/>
              </w:numPr>
              <w:spacing w:before="40"/>
            </w:pPr>
            <w:r>
              <w:t>9m to the upper floor level**.</w:t>
            </w:r>
          </w:p>
          <w:p w:rsidR="00BB0F2C" w:rsidRDefault="00BB0F2C">
            <w:pPr>
              <w:pStyle w:val="codeList"/>
              <w:numPr>
                <w:ilvl w:val="0"/>
                <w:numId w:val="0"/>
              </w:numPr>
              <w:spacing w:before="40"/>
            </w:pPr>
          </w:p>
        </w:tc>
        <w:tc>
          <w:tcPr>
            <w:tcW w:w="4622" w:type="dxa"/>
          </w:tcPr>
          <w:p w:rsidR="00BB0F2C" w:rsidRDefault="00BB0F2C">
            <w:pPr>
              <w:pStyle w:val="codeCriteriaList"/>
              <w:numPr>
                <w:ilvl w:val="0"/>
                <w:numId w:val="0"/>
              </w:numPr>
            </w:pPr>
            <w:r>
              <w:t>C84</w:t>
            </w:r>
          </w:p>
          <w:p w:rsidR="00BB0F2C" w:rsidRDefault="00BB0F2C">
            <w:pPr>
              <w:spacing w:before="60" w:after="60" w:line="288" w:lineRule="auto"/>
              <w:rPr>
                <w:rStyle w:val="Emphasis"/>
                <w:rFonts w:cs="Arial"/>
                <w:i w:val="0"/>
                <w:sz w:val="20"/>
              </w:rPr>
            </w:pPr>
            <w:r>
              <w:rPr>
                <w:rStyle w:val="Emphasis"/>
                <w:rFonts w:cs="Arial"/>
                <w:i w:val="0"/>
                <w:sz w:val="20"/>
              </w:rPr>
              <w:t>Buildings and other structures are sited and reflect residential (suburban) scale, height and length to ensure:</w:t>
            </w:r>
          </w:p>
          <w:p w:rsidR="00BB0F2C" w:rsidRDefault="00BB0F2C">
            <w:pPr>
              <w:tabs>
                <w:tab w:val="left" w:pos="360"/>
              </w:tabs>
              <w:spacing w:before="60" w:after="60" w:line="288" w:lineRule="auto"/>
              <w:ind w:left="360" w:hanging="360"/>
              <w:rPr>
                <w:rFonts w:cs="Arial"/>
                <w:sz w:val="20"/>
              </w:rPr>
            </w:pPr>
            <w:r>
              <w:rPr>
                <w:rFonts w:cs="Arial"/>
                <w:sz w:val="20"/>
              </w:rPr>
              <w:t>a)</w:t>
            </w:r>
            <w:r>
              <w:rPr>
                <w:rFonts w:cs="Arial"/>
                <w:sz w:val="20"/>
              </w:rPr>
              <w:tab/>
              <w:t>sufficient spatial separation between adjoining developments</w:t>
            </w:r>
          </w:p>
          <w:p w:rsidR="00BB0F2C" w:rsidRDefault="00BB0F2C">
            <w:pPr>
              <w:pStyle w:val="codeRuleCriteria"/>
              <w:ind w:left="374" w:hanging="374"/>
              <w:rPr>
                <w:highlight w:val="cyan"/>
              </w:rPr>
            </w:pPr>
            <w:r>
              <w:t>b)</w:t>
            </w:r>
            <w:r>
              <w:tab/>
              <w:t>the protection of a reasonable amount of privacy and solar access to the dwelling (or adjacent dwellings) and outdoor spaces (or adjacent outdoor spaces).</w:t>
            </w:r>
          </w:p>
        </w:tc>
      </w:tr>
    </w:tbl>
    <w:p w:rsidR="00BB0F2C" w:rsidRDefault="00BB0F2C">
      <w:pPr>
        <w:ind w:left="567" w:hanging="567"/>
        <w:rPr>
          <w:rFonts w:cs="Arial"/>
          <w:sz w:val="16"/>
          <w:szCs w:val="16"/>
        </w:rPr>
      </w:pPr>
      <w:r>
        <w:rPr>
          <w:rFonts w:cs="Arial"/>
          <w:sz w:val="20"/>
        </w:rPr>
        <w:t>*</w:t>
      </w:r>
      <w:r>
        <w:rPr>
          <w:rFonts w:cs="Arial"/>
          <w:sz w:val="20"/>
        </w:rPr>
        <w:tab/>
      </w:r>
      <w:r>
        <w:rPr>
          <w:rFonts w:cs="Arial"/>
          <w:sz w:val="16"/>
          <w:szCs w:val="16"/>
        </w:rPr>
        <w:t>Blank walls, walls with windows with sill heights ≥ 1.7m or with permanent fixed panes of obscure glass, or screen walls.</w:t>
      </w:r>
    </w:p>
    <w:p w:rsidR="00BB0F2C" w:rsidRDefault="00BB0F2C">
      <w:pPr>
        <w:ind w:left="567" w:hanging="567"/>
        <w:rPr>
          <w:rFonts w:cs="Arial"/>
          <w:sz w:val="16"/>
          <w:szCs w:val="16"/>
        </w:rPr>
      </w:pPr>
      <w:r>
        <w:rPr>
          <w:rFonts w:cs="Arial"/>
          <w:b/>
          <w:sz w:val="16"/>
          <w:szCs w:val="16"/>
        </w:rPr>
        <w:t>**</w:t>
      </w:r>
      <w:r>
        <w:rPr>
          <w:rFonts w:cs="Arial"/>
          <w:b/>
          <w:sz w:val="16"/>
          <w:szCs w:val="16"/>
        </w:rPr>
        <w:tab/>
      </w:r>
      <w:r>
        <w:rPr>
          <w:rFonts w:cs="Arial"/>
          <w:sz w:val="16"/>
          <w:szCs w:val="16"/>
        </w:rPr>
        <w:t xml:space="preserve">Walls with other windows, outer faces of unscreened decks, balconies and external stairs. </w:t>
      </w:r>
    </w:p>
    <w:p w:rsidR="00BB0F2C" w:rsidRDefault="00BB0F2C">
      <w:pPr>
        <w:pStyle w:val="elementHeading"/>
        <w:rPr>
          <w:sz w:val="20"/>
        </w:rPr>
      </w:pPr>
    </w:p>
    <w:p w:rsidR="00BB0F2C" w:rsidRDefault="00BB0F2C">
      <w:pPr>
        <w:pStyle w:val="elementHeading"/>
      </w:pPr>
      <w:r>
        <w:rPr>
          <w:rFonts w:ascii="Arial Bold" w:hAnsi="Arial Bold"/>
        </w:rPr>
        <w:t>Element 3:</w:t>
      </w:r>
      <w:r>
        <w:rPr>
          <w:rFonts w:ascii="Arial Bold" w:hAnsi="Arial Bold"/>
        </w:rPr>
        <w:tab/>
      </w:r>
      <w:r>
        <w:t>Built Form</w:t>
      </w:r>
      <w:bookmarkEnd w:id="41"/>
    </w:p>
    <w:p w:rsidR="00BB0F2C" w:rsidRDefault="00BB0F2C">
      <w:pPr>
        <w:pStyle w:val="bodySubheading"/>
        <w:keepNext/>
        <w:rPr>
          <w:b w:val="0"/>
        </w:rPr>
      </w:pPr>
      <w:r>
        <w:t>Intent:</w:t>
      </w:r>
      <w:r>
        <w:rPr>
          <w:b w:val="0"/>
        </w:rPr>
        <w:t xml:space="preserve"> </w:t>
      </w:r>
    </w:p>
    <w:p w:rsidR="00BB0F2C" w:rsidRDefault="00BB0F2C">
      <w:pPr>
        <w:pStyle w:val="codeList"/>
        <w:numPr>
          <w:ilvl w:val="0"/>
          <w:numId w:val="0"/>
        </w:numPr>
        <w:spacing w:after="40"/>
        <w:ind w:left="448" w:hanging="448"/>
      </w:pPr>
      <w:r>
        <w:t>a)</w:t>
      </w:r>
      <w:r>
        <w:tab/>
        <w:t xml:space="preserve">To ensure that the design of buildings are compatible with, and complement, the built form of surrounding properties </w:t>
      </w:r>
    </w:p>
    <w:p w:rsidR="00BB0F2C" w:rsidRDefault="00BB0F2C">
      <w:pPr>
        <w:pStyle w:val="codeList"/>
        <w:numPr>
          <w:ilvl w:val="0"/>
          <w:numId w:val="0"/>
        </w:numPr>
        <w:spacing w:after="40"/>
        <w:ind w:left="448" w:hanging="448"/>
      </w:pPr>
      <w:r>
        <w:t>b)</w:t>
      </w:r>
      <w:r>
        <w:tab/>
        <w:t>To allow flexibility in design and use of materials and colours and encourage high quality architectural standards that contribute to visually harmonious and attractive streetscapes</w:t>
      </w:r>
    </w:p>
    <w:p w:rsidR="00BB0F2C" w:rsidRDefault="00BB0F2C">
      <w:pPr>
        <w:pStyle w:val="codeList"/>
        <w:numPr>
          <w:ilvl w:val="0"/>
          <w:numId w:val="0"/>
        </w:numPr>
        <w:spacing w:after="40"/>
        <w:ind w:left="448" w:hanging="448"/>
      </w:pPr>
      <w:r>
        <w:t>c)</w:t>
      </w:r>
      <w:r>
        <w:tab/>
        <w:t xml:space="preserve">To ensure that rear and side fencing will assist in providing privacy to open space areas </w:t>
      </w:r>
    </w:p>
    <w:p w:rsidR="00BB0F2C" w:rsidRDefault="00BB0F2C">
      <w:pPr>
        <w:pStyle w:val="codeList"/>
        <w:numPr>
          <w:ilvl w:val="0"/>
          <w:numId w:val="0"/>
        </w:numPr>
        <w:spacing w:after="40"/>
        <w:ind w:left="448" w:hanging="448"/>
      </w:pPr>
      <w:r>
        <w:t>d)</w:t>
      </w:r>
      <w:r>
        <w:tab/>
        <w:t xml:space="preserve">To ensure buildings are designed and sited to provide privacy between neighbours and between occupants and the public </w:t>
      </w:r>
    </w:p>
    <w:p w:rsidR="00BB0F2C" w:rsidRDefault="00BB0F2C">
      <w:pPr>
        <w:pStyle w:val="codeList"/>
        <w:numPr>
          <w:ilvl w:val="0"/>
          <w:numId w:val="0"/>
        </w:numPr>
        <w:spacing w:after="40"/>
        <w:ind w:left="448" w:hanging="448"/>
      </w:pPr>
      <w:r>
        <w:t>e)</w:t>
      </w:r>
      <w:r>
        <w:tab/>
        <w:t>To provide adequate light and natural ventilation between dwellings</w:t>
      </w:r>
    </w:p>
    <w:p w:rsidR="00BB0F2C" w:rsidRDefault="00BB0F2C">
      <w:pPr>
        <w:pStyle w:val="codeList"/>
        <w:numPr>
          <w:ilvl w:val="0"/>
          <w:numId w:val="0"/>
        </w:numPr>
        <w:spacing w:after="40"/>
        <w:ind w:left="448" w:hanging="448"/>
      </w:pPr>
      <w:r>
        <w:t>f)</w:t>
      </w:r>
      <w:r>
        <w:tab/>
        <w:t>To ensure that the design of buildings provides visual variety and interest within overall harmony with surrounding development</w:t>
      </w:r>
    </w:p>
    <w:p w:rsidR="00BB0F2C" w:rsidRDefault="00BB0F2C">
      <w:pPr>
        <w:pStyle w:val="codeList"/>
        <w:numPr>
          <w:ilvl w:val="0"/>
          <w:numId w:val="0"/>
        </w:numPr>
        <w:spacing w:after="40"/>
        <w:ind w:left="448" w:hanging="448"/>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B0F2C">
        <w:trPr>
          <w:tblHeader/>
        </w:trPr>
        <w:tc>
          <w:tcPr>
            <w:tcW w:w="2500" w:type="pct"/>
            <w:shd w:val="clear" w:color="auto" w:fill="CCCCCC"/>
          </w:tcPr>
          <w:p w:rsidR="00BB0F2C" w:rsidRDefault="00BB0F2C">
            <w:pPr>
              <w:pStyle w:val="codeHeading"/>
            </w:pPr>
            <w:r>
              <w:t>Rules</w:t>
            </w:r>
          </w:p>
        </w:tc>
        <w:tc>
          <w:tcPr>
            <w:tcW w:w="2500" w:type="pct"/>
            <w:shd w:val="clear" w:color="auto" w:fill="CCCCCC"/>
          </w:tcPr>
          <w:p w:rsidR="00BB0F2C" w:rsidRDefault="00BB0F2C">
            <w:pPr>
              <w:pStyle w:val="codeHeading"/>
            </w:pPr>
            <w:r>
              <w:t>Criteria</w:t>
            </w:r>
          </w:p>
        </w:tc>
      </w:tr>
      <w:tr w:rsidR="00BB0F2C">
        <w:trPr>
          <w:cantSplit/>
        </w:trPr>
        <w:tc>
          <w:tcPr>
            <w:tcW w:w="5000" w:type="pct"/>
            <w:gridSpan w:val="2"/>
            <w:shd w:val="clear" w:color="auto" w:fill="E0E0E0"/>
          </w:tcPr>
          <w:p w:rsidR="00BB0F2C" w:rsidRDefault="00BB0F2C">
            <w:pPr>
              <w:pStyle w:val="CodeItem"/>
              <w:ind w:left="448" w:hanging="448"/>
              <w:rPr>
                <w:b w:val="0"/>
              </w:rPr>
            </w:pPr>
            <w:bookmarkStart w:id="42" w:name="_Toc176083124"/>
            <w:bookmarkStart w:id="43" w:name="_Toc176148448"/>
            <w:bookmarkStart w:id="44" w:name="_Toc177276010"/>
            <w:bookmarkStart w:id="45" w:name="_Toc177787228"/>
            <w:bookmarkStart w:id="46" w:name="_Toc222029883"/>
            <w:r>
              <w:t>3.1</w:t>
            </w:r>
            <w:r>
              <w:tab/>
              <w:t>Interface</w:t>
            </w:r>
            <w:bookmarkEnd w:id="42"/>
            <w:bookmarkEnd w:id="43"/>
            <w:bookmarkEnd w:id="44"/>
            <w:bookmarkEnd w:id="45"/>
            <w:bookmarkEnd w:id="46"/>
            <w:r>
              <w:rPr>
                <w:b w:val="0"/>
              </w:rPr>
              <w:t xml:space="preserve"> (Replaces R37) </w:t>
            </w:r>
          </w:p>
        </w:tc>
      </w:tr>
      <w:tr w:rsidR="00BB0F2C">
        <w:tc>
          <w:tcPr>
            <w:tcW w:w="2500" w:type="pct"/>
          </w:tcPr>
          <w:p w:rsidR="00BB0F2C" w:rsidRDefault="00BB0F2C">
            <w:pPr>
              <w:pStyle w:val="codeRuleList"/>
              <w:numPr>
                <w:ilvl w:val="0"/>
                <w:numId w:val="0"/>
              </w:numPr>
            </w:pPr>
            <w:r>
              <w:t>R85</w:t>
            </w:r>
          </w:p>
          <w:p w:rsidR="00BB0F2C" w:rsidRDefault="00BB0F2C">
            <w:pPr>
              <w:spacing w:before="60" w:after="60" w:line="288" w:lineRule="auto"/>
              <w:rPr>
                <w:rFonts w:cs="Arial"/>
                <w:sz w:val="20"/>
              </w:rPr>
            </w:pPr>
            <w:r>
              <w:rPr>
                <w:rFonts w:cs="Arial"/>
                <w:sz w:val="20"/>
              </w:rPr>
              <w:t>Courtyard walls forward of the building line have a minimum front setback of 1m provided:</w:t>
            </w:r>
          </w:p>
          <w:p w:rsidR="00BB0F2C" w:rsidRDefault="00BB0F2C">
            <w:pPr>
              <w:numPr>
                <w:ilvl w:val="0"/>
                <w:numId w:val="9"/>
              </w:numPr>
              <w:tabs>
                <w:tab w:val="clear" w:pos="1080"/>
                <w:tab w:val="num" w:pos="-5070"/>
              </w:tabs>
              <w:spacing w:before="60" w:after="60" w:line="288" w:lineRule="auto"/>
              <w:ind w:left="383" w:hanging="383"/>
              <w:rPr>
                <w:rFonts w:cs="Arial"/>
                <w:sz w:val="20"/>
              </w:rPr>
            </w:pPr>
            <w:r>
              <w:rPr>
                <w:rFonts w:cs="Arial"/>
                <w:sz w:val="20"/>
              </w:rPr>
              <w:t>the maximum height of the courtyard wall does not exceed 1.5m, and</w:t>
            </w:r>
          </w:p>
          <w:p w:rsidR="00BB0F2C" w:rsidRDefault="00BB0F2C">
            <w:pPr>
              <w:numPr>
                <w:ilvl w:val="0"/>
                <w:numId w:val="9"/>
              </w:numPr>
              <w:tabs>
                <w:tab w:val="clear" w:pos="1080"/>
                <w:tab w:val="num" w:pos="-5070"/>
              </w:tabs>
              <w:spacing w:before="60" w:after="60" w:line="288" w:lineRule="auto"/>
              <w:ind w:left="383" w:hanging="383"/>
              <w:rPr>
                <w:rFonts w:cs="Arial"/>
                <w:sz w:val="20"/>
              </w:rPr>
            </w:pPr>
            <w:r>
              <w:rPr>
                <w:rFonts w:cs="Arial"/>
                <w:sz w:val="20"/>
              </w:rPr>
              <w:t>the total length of the courtyard wall measured parallel to the front street boundary does not exceed 6.5m or 50% of the width of the block whichever is the greater, and</w:t>
            </w:r>
          </w:p>
          <w:p w:rsidR="00BB0F2C" w:rsidRDefault="00BB0F2C">
            <w:pPr>
              <w:numPr>
                <w:ilvl w:val="0"/>
                <w:numId w:val="9"/>
              </w:numPr>
              <w:tabs>
                <w:tab w:val="clear" w:pos="1080"/>
                <w:tab w:val="num" w:pos="-5070"/>
              </w:tabs>
              <w:spacing w:before="60" w:after="60" w:line="288" w:lineRule="auto"/>
              <w:ind w:left="383" w:hanging="383"/>
              <w:rPr>
                <w:rFonts w:cs="Arial"/>
                <w:sz w:val="20"/>
              </w:rPr>
            </w:pPr>
            <w:r>
              <w:rPr>
                <w:rFonts w:cs="Arial"/>
                <w:sz w:val="20"/>
              </w:rPr>
              <w:t>the wall is finished and constructed to match or complement the dwelling, and</w:t>
            </w:r>
          </w:p>
          <w:p w:rsidR="00BB0F2C" w:rsidRDefault="00BB0F2C">
            <w:pPr>
              <w:numPr>
                <w:ilvl w:val="0"/>
                <w:numId w:val="9"/>
              </w:numPr>
              <w:tabs>
                <w:tab w:val="clear" w:pos="1080"/>
                <w:tab w:val="num" w:pos="-5070"/>
              </w:tabs>
              <w:spacing w:before="60" w:after="60" w:line="288" w:lineRule="auto"/>
              <w:ind w:left="383" w:hanging="383"/>
              <w:rPr>
                <w:rFonts w:cs="Arial"/>
                <w:sz w:val="20"/>
              </w:rPr>
            </w:pPr>
            <w:r>
              <w:rPr>
                <w:rFonts w:cs="Arial"/>
                <w:sz w:val="20"/>
              </w:rPr>
              <w:t>the area between the wall and the front street boundary is planted with shrubs, and</w:t>
            </w:r>
          </w:p>
          <w:p w:rsidR="00BB0F2C" w:rsidRDefault="00BB0F2C">
            <w:pPr>
              <w:numPr>
                <w:ilvl w:val="0"/>
                <w:numId w:val="9"/>
              </w:numPr>
              <w:tabs>
                <w:tab w:val="clear" w:pos="1080"/>
                <w:tab w:val="num" w:pos="-5070"/>
              </w:tabs>
              <w:spacing w:before="60" w:after="60" w:line="288" w:lineRule="auto"/>
              <w:ind w:left="383" w:hanging="383"/>
              <w:rPr>
                <w:rFonts w:cs="Arial"/>
                <w:sz w:val="20"/>
              </w:rPr>
            </w:pPr>
            <w:r>
              <w:rPr>
                <w:rFonts w:cs="Arial"/>
                <w:sz w:val="20"/>
              </w:rPr>
              <w:t xml:space="preserve">the proposal demonstrates that  the location of the courtyard wall does not obstruct sightlines for vehicles and pedestrians on public paths or roads in accordance with A2890.1 – </w:t>
            </w:r>
            <w:r>
              <w:rPr>
                <w:rFonts w:cs="Arial"/>
                <w:i/>
                <w:sz w:val="20"/>
              </w:rPr>
              <w:t>The Australian Standard for Off-Street Parking.</w:t>
            </w:r>
          </w:p>
          <w:p w:rsidR="00BB0F2C" w:rsidRDefault="00BB0F2C">
            <w:pPr>
              <w:pStyle w:val="codeList"/>
              <w:numPr>
                <w:ilvl w:val="0"/>
                <w:numId w:val="0"/>
              </w:numPr>
              <w:rPr>
                <w:highlight w:val="cyan"/>
              </w:rPr>
            </w:pPr>
          </w:p>
        </w:tc>
        <w:tc>
          <w:tcPr>
            <w:tcW w:w="2500" w:type="pct"/>
          </w:tcPr>
          <w:p w:rsidR="00BB0F2C" w:rsidRDefault="00BB0F2C">
            <w:pPr>
              <w:pStyle w:val="codeCriteriaList"/>
              <w:numPr>
                <w:ilvl w:val="0"/>
                <w:numId w:val="0"/>
              </w:numPr>
            </w:pPr>
            <w:r>
              <w:t>C85</w:t>
            </w:r>
          </w:p>
          <w:p w:rsidR="00BB0F2C" w:rsidRDefault="00BB0F2C">
            <w:pPr>
              <w:pStyle w:val="codeList"/>
              <w:numPr>
                <w:ilvl w:val="0"/>
                <w:numId w:val="0"/>
              </w:numPr>
              <w:ind w:left="448" w:hanging="448"/>
            </w:pPr>
            <w:r>
              <w:t>a)</w:t>
            </w:r>
            <w:r>
              <w:tab/>
              <w:t xml:space="preserve">Courtyard walls forward of the building line may be considered where the existing front building facade is maintained as the dominant built element in the streetscape. </w:t>
            </w:r>
          </w:p>
          <w:p w:rsidR="00BB0F2C" w:rsidRDefault="00BB0F2C">
            <w:pPr>
              <w:pStyle w:val="codeList"/>
              <w:numPr>
                <w:ilvl w:val="0"/>
                <w:numId w:val="0"/>
              </w:numPr>
              <w:ind w:left="448" w:hanging="448"/>
            </w:pPr>
            <w:r>
              <w:t>b)</w:t>
            </w:r>
            <w:r>
              <w:tab/>
              <w:t>The courtyard wall reads as a secondary built element of appropriate proportions and character with respect to:</w:t>
            </w:r>
          </w:p>
          <w:p w:rsidR="00BB0F2C" w:rsidRDefault="00BB0F2C">
            <w:pPr>
              <w:pStyle w:val="codeList2"/>
              <w:numPr>
                <w:ilvl w:val="0"/>
                <w:numId w:val="0"/>
              </w:numPr>
              <w:spacing w:before="40" w:after="40"/>
              <w:ind w:left="720" w:hanging="272"/>
            </w:pPr>
            <w:r>
              <w:t>i)</w:t>
            </w:r>
            <w:r>
              <w:tab/>
              <w:t>height</w:t>
            </w:r>
          </w:p>
          <w:p w:rsidR="00BB0F2C" w:rsidRDefault="00BB0F2C">
            <w:pPr>
              <w:pStyle w:val="codeList2"/>
              <w:numPr>
                <w:ilvl w:val="0"/>
                <w:numId w:val="0"/>
              </w:numPr>
              <w:spacing w:before="40" w:after="40"/>
              <w:ind w:left="720" w:hanging="272"/>
            </w:pPr>
            <w:r>
              <w:t>ii)</w:t>
            </w:r>
            <w:r>
              <w:tab/>
              <w:t>relationship to verge footpath</w:t>
            </w:r>
          </w:p>
          <w:p w:rsidR="00BB0F2C" w:rsidRDefault="00BB0F2C">
            <w:pPr>
              <w:pStyle w:val="codeList2"/>
              <w:numPr>
                <w:ilvl w:val="0"/>
                <w:numId w:val="0"/>
              </w:numPr>
              <w:spacing w:before="40" w:after="40"/>
              <w:ind w:left="720" w:hanging="272"/>
            </w:pPr>
            <w:r>
              <w:t>iii)</w:t>
            </w:r>
            <w:r>
              <w:tab/>
              <w:t>total proportion relative to the building width</w:t>
            </w:r>
          </w:p>
          <w:p w:rsidR="00BB0F2C" w:rsidRDefault="00BB0F2C">
            <w:pPr>
              <w:pStyle w:val="codeList2"/>
              <w:numPr>
                <w:ilvl w:val="0"/>
                <w:numId w:val="0"/>
              </w:numPr>
              <w:spacing w:before="40" w:after="40"/>
              <w:ind w:left="720" w:hanging="272"/>
            </w:pPr>
            <w:r>
              <w:t>iv)</w:t>
            </w:r>
            <w:r>
              <w:tab/>
              <w:t>colour and design features</w:t>
            </w:r>
          </w:p>
          <w:p w:rsidR="00BB0F2C" w:rsidRDefault="00BB0F2C">
            <w:pPr>
              <w:pStyle w:val="codeList2"/>
              <w:numPr>
                <w:ilvl w:val="0"/>
                <w:numId w:val="0"/>
              </w:numPr>
              <w:spacing w:before="40" w:after="40"/>
              <w:ind w:left="720" w:hanging="272"/>
            </w:pPr>
            <w:r>
              <w:t>v)</w:t>
            </w:r>
            <w:r>
              <w:tab/>
              <w:t>transparency and articulation</w:t>
            </w:r>
          </w:p>
          <w:p w:rsidR="00BB0F2C" w:rsidRDefault="00BB0F2C">
            <w:pPr>
              <w:pStyle w:val="codeList2"/>
              <w:numPr>
                <w:ilvl w:val="0"/>
                <w:numId w:val="0"/>
              </w:numPr>
              <w:spacing w:before="40" w:after="40"/>
              <w:ind w:left="720" w:hanging="272"/>
            </w:pPr>
            <w:r>
              <w:t>vi)</w:t>
            </w:r>
            <w:r>
              <w:tab/>
              <w:t>protection of existing desirable landscape features</w:t>
            </w:r>
          </w:p>
          <w:p w:rsidR="00BB0F2C" w:rsidRDefault="00BB0F2C">
            <w:pPr>
              <w:pStyle w:val="codeList2"/>
              <w:numPr>
                <w:ilvl w:val="0"/>
                <w:numId w:val="0"/>
              </w:numPr>
              <w:spacing w:before="40" w:after="40"/>
              <w:ind w:left="720" w:hanging="272"/>
            </w:pPr>
            <w:r>
              <w:t>vii)</w:t>
            </w:r>
            <w:r>
              <w:tab/>
              <w:t>tree and shrub planting forward of the wall.</w:t>
            </w:r>
          </w:p>
          <w:p w:rsidR="00BB0F2C" w:rsidRDefault="00BB0F2C">
            <w:pPr>
              <w:pStyle w:val="codeList"/>
              <w:numPr>
                <w:ilvl w:val="0"/>
                <w:numId w:val="0"/>
              </w:numPr>
              <w:ind w:left="448" w:hanging="448"/>
            </w:pPr>
            <w:r>
              <w:t>c)</w:t>
            </w:r>
            <w:r>
              <w:tab/>
              <w:t xml:space="preserve">Courtyard walls do not obstruct sight lines for vehicles and pedestrians on public paths or driveways in accordance with </w:t>
            </w:r>
            <w:r>
              <w:rPr>
                <w:i/>
                <w:iCs/>
              </w:rPr>
              <w:t>AS2890.1- The Australian Standard for Off-Street Parking</w:t>
            </w:r>
            <w:r>
              <w:t>.</w:t>
            </w:r>
          </w:p>
        </w:tc>
      </w:tr>
    </w:tbl>
    <w:p w:rsidR="00BB0F2C" w:rsidRDefault="00BB0F2C">
      <w:pPr>
        <w:pStyle w:val="BodyText"/>
        <w:tabs>
          <w:tab w:val="left" w:pos="426"/>
        </w:tabs>
        <w:spacing w:before="60" w:after="60" w:line="288" w:lineRule="auto"/>
        <w:rPr>
          <w:rFonts w:cs="Arial"/>
          <w:sz w:val="16"/>
          <w:szCs w:val="16"/>
        </w:rPr>
      </w:pPr>
    </w:p>
    <w:p w:rsidR="00BB0F2C" w:rsidRDefault="00BB0F2C">
      <w:pPr>
        <w:pStyle w:val="elementHeading"/>
      </w:pPr>
      <w:bookmarkStart w:id="47" w:name="_Toc176083128"/>
      <w:bookmarkStart w:id="48" w:name="_Toc176148452"/>
      <w:bookmarkStart w:id="49" w:name="_Toc177276014"/>
      <w:bookmarkStart w:id="50" w:name="_Toc222029887"/>
      <w:r>
        <w:rPr>
          <w:rFonts w:ascii="Arial Bold" w:hAnsi="Arial Bold"/>
        </w:rPr>
        <w:t>Element 5:</w:t>
      </w:r>
      <w:r>
        <w:rPr>
          <w:rFonts w:ascii="Arial Bold" w:hAnsi="Arial Bold"/>
        </w:rPr>
        <w:tab/>
      </w:r>
      <w:r>
        <w:t>Amenity</w:t>
      </w:r>
      <w:bookmarkEnd w:id="47"/>
      <w:bookmarkEnd w:id="48"/>
      <w:bookmarkEnd w:id="49"/>
      <w:bookmarkEnd w:id="50"/>
    </w:p>
    <w:p w:rsidR="00BB0F2C" w:rsidRDefault="00BB0F2C">
      <w:pPr>
        <w:pStyle w:val="bodySubheading"/>
        <w:keepNext/>
      </w:pPr>
      <w:r>
        <w:t>Intent:</w:t>
      </w:r>
    </w:p>
    <w:p w:rsidR="00BB0F2C" w:rsidRDefault="00BB0F2C">
      <w:pPr>
        <w:pStyle w:val="codeList"/>
        <w:numPr>
          <w:ilvl w:val="0"/>
          <w:numId w:val="0"/>
        </w:numPr>
        <w:ind w:left="448" w:hanging="448"/>
      </w:pPr>
      <w:r>
        <w:t>a)</w:t>
      </w:r>
      <w:r>
        <w:tab/>
        <w:t>Development is sited and designed to promote energy efficiency and maximise solar access to private open space and living areas of dwellings</w:t>
      </w:r>
    </w:p>
    <w:p w:rsidR="00BB0F2C" w:rsidRDefault="00BB0F2C">
      <w:pPr>
        <w:pStyle w:val="codeList"/>
        <w:numPr>
          <w:ilvl w:val="0"/>
          <w:numId w:val="0"/>
        </w:numPr>
        <w:ind w:left="448" w:hanging="448"/>
      </w:pPr>
      <w:r>
        <w:t>b)</w:t>
      </w:r>
      <w:r>
        <w:tab/>
        <w:t>Dwellings are provided with private and useable private open space that is integrated with, and directly accessible from, the living areas of the dwelling</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B0F2C">
        <w:trPr>
          <w:tblHeader/>
        </w:trPr>
        <w:tc>
          <w:tcPr>
            <w:tcW w:w="4621" w:type="dxa"/>
            <w:shd w:val="clear" w:color="auto" w:fill="CCCCCC"/>
          </w:tcPr>
          <w:p w:rsidR="00BB0F2C" w:rsidRDefault="00BB0F2C">
            <w:pPr>
              <w:pStyle w:val="codeHeading"/>
            </w:pPr>
            <w:r>
              <w:t>Rules</w:t>
            </w:r>
          </w:p>
        </w:tc>
        <w:tc>
          <w:tcPr>
            <w:tcW w:w="4622" w:type="dxa"/>
            <w:shd w:val="clear" w:color="auto" w:fill="CCCCCC"/>
          </w:tcPr>
          <w:p w:rsidR="00BB0F2C" w:rsidRDefault="00BB0F2C">
            <w:pPr>
              <w:pStyle w:val="codeHeading"/>
            </w:pPr>
            <w:r>
              <w:t>Criteria</w:t>
            </w:r>
          </w:p>
        </w:tc>
      </w:tr>
      <w:tr w:rsidR="00BB0F2C">
        <w:trPr>
          <w:cantSplit/>
        </w:trPr>
        <w:tc>
          <w:tcPr>
            <w:tcW w:w="9243" w:type="dxa"/>
            <w:gridSpan w:val="2"/>
            <w:shd w:val="clear" w:color="auto" w:fill="E0E0E0"/>
          </w:tcPr>
          <w:p w:rsidR="00BB0F2C" w:rsidRDefault="00BB0F2C">
            <w:pPr>
              <w:pStyle w:val="CodeItem"/>
              <w:ind w:left="448" w:hanging="448"/>
              <w:rPr>
                <w:b w:val="0"/>
              </w:rPr>
            </w:pPr>
            <w:bookmarkStart w:id="51" w:name="_Toc176083130"/>
            <w:bookmarkStart w:id="52" w:name="_Toc176148454"/>
            <w:bookmarkStart w:id="53" w:name="_Toc177276016"/>
            <w:bookmarkStart w:id="54" w:name="_Toc222029889"/>
            <w:r>
              <w:t>5.2</w:t>
            </w:r>
            <w:r>
              <w:tab/>
              <w:t>Private Open Space</w:t>
            </w:r>
            <w:bookmarkEnd w:id="51"/>
            <w:bookmarkEnd w:id="52"/>
            <w:bookmarkEnd w:id="53"/>
            <w:bookmarkEnd w:id="54"/>
            <w:r>
              <w:t xml:space="preserve"> </w:t>
            </w:r>
            <w:r>
              <w:rPr>
                <w:b w:val="0"/>
              </w:rPr>
              <w:t xml:space="preserve">(Replaces Rule 47, 48, 49 and 50 ) </w:t>
            </w:r>
          </w:p>
        </w:tc>
      </w:tr>
      <w:tr w:rsidR="00BB0F2C">
        <w:tc>
          <w:tcPr>
            <w:tcW w:w="4621" w:type="dxa"/>
          </w:tcPr>
          <w:p w:rsidR="00BB0F2C" w:rsidRDefault="00BB0F2C">
            <w:pPr>
              <w:pStyle w:val="codeRuleList"/>
              <w:numPr>
                <w:ilvl w:val="0"/>
                <w:numId w:val="0"/>
              </w:numPr>
              <w:rPr>
                <w:color w:val="0000FF"/>
              </w:rPr>
            </w:pPr>
            <w:r>
              <w:t>R86</w:t>
            </w:r>
          </w:p>
          <w:p w:rsidR="00BB0F2C" w:rsidRDefault="00BB0F2C">
            <w:pPr>
              <w:pStyle w:val="codeList"/>
              <w:numPr>
                <w:ilvl w:val="0"/>
                <w:numId w:val="10"/>
              </w:numPr>
              <w:tabs>
                <w:tab w:val="clear" w:pos="450"/>
                <w:tab w:val="num" w:pos="360"/>
              </w:tabs>
              <w:ind w:left="360" w:hanging="360"/>
            </w:pPr>
            <w:r>
              <w:t>The development:</w:t>
            </w:r>
          </w:p>
          <w:p w:rsidR="00BB0F2C" w:rsidRDefault="00BB0F2C">
            <w:pPr>
              <w:pStyle w:val="codeList"/>
              <w:numPr>
                <w:ilvl w:val="1"/>
                <w:numId w:val="11"/>
              </w:numPr>
              <w:tabs>
                <w:tab w:val="num" w:pos="885"/>
              </w:tabs>
            </w:pPr>
            <w:r>
              <w:t>provides a minimum of 60% of the area of the block, less 50m</w:t>
            </w:r>
            <w:r>
              <w:rPr>
                <w:vertAlign w:val="superscript"/>
              </w:rPr>
              <w:t>2</w:t>
            </w:r>
            <w:r>
              <w:t xml:space="preserve"> as private open space; or </w:t>
            </w:r>
          </w:p>
          <w:p w:rsidR="00BB0F2C" w:rsidRDefault="00BB0F2C">
            <w:pPr>
              <w:pStyle w:val="codeList"/>
              <w:numPr>
                <w:ilvl w:val="1"/>
                <w:numId w:val="11"/>
              </w:numPr>
              <w:tabs>
                <w:tab w:val="num" w:pos="885"/>
              </w:tabs>
            </w:pPr>
            <w:r>
              <w:t xml:space="preserve">If the block is identified in a precinct code as an alternative side setback block, provides a minimum of 40% of the area of the block, </w:t>
            </w:r>
          </w:p>
          <w:p w:rsidR="00BB0F2C" w:rsidRDefault="00BB0F2C">
            <w:pPr>
              <w:pStyle w:val="codeList"/>
              <w:numPr>
                <w:ilvl w:val="0"/>
                <w:numId w:val="11"/>
              </w:numPr>
            </w:pPr>
            <w:r>
              <w:t>At least one area of private open space on the block meets one of the following minimum dimension, area, location and screening requirements:</w:t>
            </w:r>
          </w:p>
          <w:p w:rsidR="00BB0F2C" w:rsidRDefault="00BB0F2C">
            <w:pPr>
              <w:pStyle w:val="codeList"/>
              <w:numPr>
                <w:ilvl w:val="1"/>
                <w:numId w:val="11"/>
              </w:numPr>
              <w:tabs>
                <w:tab w:val="num" w:pos="885"/>
              </w:tabs>
            </w:pPr>
            <w:r>
              <w:t>6m x 6m and 10% of the block area, screened from public view and behind the building line or enclosed by a courtyard wall forward of the building, or</w:t>
            </w:r>
          </w:p>
          <w:p w:rsidR="00BB0F2C" w:rsidRDefault="00BB0F2C">
            <w:pPr>
              <w:pStyle w:val="codeList"/>
              <w:numPr>
                <w:ilvl w:val="1"/>
                <w:numId w:val="11"/>
              </w:numPr>
              <w:tabs>
                <w:tab w:val="num" w:pos="885"/>
              </w:tabs>
            </w:pPr>
            <w:r>
              <w:t>If the block is identified in a precinct code as an alternative side setback, 6m x 4m and 20% of the block area, screened from public view and behind the building or enclosed by a courtyard wall and forward of the building</w:t>
            </w:r>
          </w:p>
          <w:p w:rsidR="00BB0F2C" w:rsidRDefault="00BB0F2C">
            <w:pPr>
              <w:pStyle w:val="codeList"/>
              <w:numPr>
                <w:ilvl w:val="0"/>
                <w:numId w:val="11"/>
              </w:numPr>
            </w:pPr>
            <w:r>
              <w:t>The area of private open space provided under R86 (b) is:</w:t>
            </w:r>
          </w:p>
          <w:p w:rsidR="00BB0F2C" w:rsidRDefault="00BB0F2C">
            <w:pPr>
              <w:pStyle w:val="codeList"/>
              <w:numPr>
                <w:ilvl w:val="1"/>
                <w:numId w:val="11"/>
              </w:numPr>
              <w:tabs>
                <w:tab w:val="num" w:pos="885"/>
              </w:tabs>
            </w:pPr>
            <w:r>
              <w:t xml:space="preserve">For R86 (b) i) located to maintain a minimum three hours sunlight onto 50% of the ground area between the hours of 9:00am and 3:00pm on 21 June (winter solstice), </w:t>
            </w:r>
          </w:p>
          <w:p w:rsidR="00BB0F2C" w:rsidRDefault="00BB0F2C">
            <w:pPr>
              <w:pStyle w:val="codeList"/>
              <w:numPr>
                <w:ilvl w:val="1"/>
                <w:numId w:val="11"/>
              </w:numPr>
              <w:tabs>
                <w:tab w:val="num" w:pos="885"/>
              </w:tabs>
            </w:pPr>
            <w:r>
              <w:t xml:space="preserve">For R86 (b) ii) located to maintain a minimum three hours sunlight onto 25% of the ground area between the hours of 9:00am and 3:00pm on 21 June (winter solstice), </w:t>
            </w:r>
          </w:p>
          <w:p w:rsidR="00BB0F2C" w:rsidRDefault="00BB0F2C">
            <w:pPr>
              <w:pStyle w:val="codeList"/>
              <w:numPr>
                <w:ilvl w:val="1"/>
                <w:numId w:val="11"/>
              </w:numPr>
              <w:tabs>
                <w:tab w:val="num" w:pos="885"/>
              </w:tabs>
            </w:pPr>
            <w:r>
              <w:t>at ground level and directly accessible from a main daytime living area of the dwelling.</w:t>
            </w:r>
          </w:p>
        </w:tc>
        <w:tc>
          <w:tcPr>
            <w:tcW w:w="4622" w:type="dxa"/>
          </w:tcPr>
          <w:p w:rsidR="00BB0F2C" w:rsidRDefault="00BB0F2C">
            <w:pPr>
              <w:pStyle w:val="codeCriteriaList"/>
              <w:numPr>
                <w:ilvl w:val="0"/>
                <w:numId w:val="0"/>
              </w:numPr>
            </w:pPr>
            <w:r>
              <w:t>C86</w:t>
            </w:r>
          </w:p>
          <w:p w:rsidR="00BB0F2C" w:rsidRDefault="00BB0F2C">
            <w:pPr>
              <w:pStyle w:val="codeRuleCriteria"/>
            </w:pPr>
            <w:r>
              <w:t>Private open space provided in the development:</w:t>
            </w:r>
          </w:p>
          <w:p w:rsidR="00BB0F2C" w:rsidRDefault="00BB0F2C">
            <w:pPr>
              <w:pStyle w:val="codeRuleCriteria"/>
              <w:numPr>
                <w:ilvl w:val="0"/>
                <w:numId w:val="12"/>
              </w:numPr>
            </w:pPr>
            <w:r>
              <w:t>Has dimensions to suit the projected requirements of the dwelling’s occupants and to accommodate both outdoor recreation needs as well as providing space for service functions such as clothes drying and domestic storage.</w:t>
            </w:r>
          </w:p>
          <w:p w:rsidR="00BB0F2C" w:rsidRDefault="00BB0F2C">
            <w:pPr>
              <w:pStyle w:val="codeRuleCriteria"/>
              <w:numPr>
                <w:ilvl w:val="0"/>
                <w:numId w:val="12"/>
              </w:numPr>
            </w:pPr>
            <w:r>
              <w:t>Is capable of enabling an extension of the function of the dwelling for relaxation, dining, entertainment, recreation, and is directly accessible from the dwelling.</w:t>
            </w:r>
          </w:p>
          <w:p w:rsidR="00BB0F2C" w:rsidRDefault="00BB0F2C">
            <w:pPr>
              <w:pStyle w:val="codeRuleCriteria"/>
              <w:numPr>
                <w:ilvl w:val="0"/>
                <w:numId w:val="12"/>
              </w:numPr>
            </w:pPr>
            <w:r>
              <w:t>Where forward of the front of the building ensures the amenity of the private open space and the dwelling is protected whilst maintaining opportunities for passive surveillance.</w:t>
            </w:r>
          </w:p>
          <w:p w:rsidR="00BB0F2C" w:rsidRDefault="00BB0F2C">
            <w:pPr>
              <w:pStyle w:val="codeRuleCriteria"/>
              <w:numPr>
                <w:ilvl w:val="0"/>
                <w:numId w:val="12"/>
              </w:numPr>
            </w:pPr>
            <w:r>
              <w:t>Takes account of outlook, natural features of the site and neighbouring buildings or open space and to provide for maximum year round use.</w:t>
            </w:r>
          </w:p>
        </w:tc>
      </w:tr>
      <w:tr w:rsidR="00BB0F2C">
        <w:tc>
          <w:tcPr>
            <w:tcW w:w="4621" w:type="dxa"/>
          </w:tcPr>
          <w:p w:rsidR="00BB0F2C" w:rsidRDefault="00BB0F2C">
            <w:pPr>
              <w:pStyle w:val="codeRuleList"/>
              <w:numPr>
                <w:ilvl w:val="0"/>
                <w:numId w:val="0"/>
              </w:numPr>
            </w:pPr>
            <w:r>
              <w:t>R87</w:t>
            </w:r>
          </w:p>
          <w:p w:rsidR="00BB0F2C" w:rsidRDefault="00BB0F2C">
            <w:pPr>
              <w:pStyle w:val="codeRuleCriteria"/>
            </w:pPr>
            <w:r>
              <w:t>A minimum of 50% of the private open space is to be retained as planting area.</w:t>
            </w:r>
          </w:p>
        </w:tc>
        <w:tc>
          <w:tcPr>
            <w:tcW w:w="4622" w:type="dxa"/>
          </w:tcPr>
          <w:p w:rsidR="00BB0F2C" w:rsidRDefault="00BB0F2C">
            <w:pPr>
              <w:pStyle w:val="codeCriteriaList"/>
              <w:numPr>
                <w:ilvl w:val="0"/>
                <w:numId w:val="0"/>
              </w:numPr>
              <w:rPr>
                <w:lang w:val="en-US"/>
              </w:rPr>
            </w:pPr>
            <w:r>
              <w:rPr>
                <w:lang w:val="en-US"/>
              </w:rPr>
              <w:t>C87</w:t>
            </w:r>
          </w:p>
          <w:p w:rsidR="00BB0F2C" w:rsidRDefault="00BB0F2C">
            <w:pPr>
              <w:pStyle w:val="codeRuleCriteria"/>
              <w:rPr>
                <w:lang w:val="en-US"/>
              </w:rPr>
            </w:pPr>
            <w:r>
              <w:rPr>
                <w:lang w:val="en-US"/>
              </w:rPr>
              <w:t>Unpaved or unsealed areas are provided to facilitate on-site infiltration of stormwater run-off and provision of landscaping.</w:t>
            </w:r>
          </w:p>
        </w:tc>
      </w:tr>
    </w:tbl>
    <w:p w:rsidR="00BB0F2C" w:rsidRDefault="00BB0F2C">
      <w:pPr>
        <w:rPr>
          <w:rFonts w:ascii="Times New Roman" w:hAnsi="Times New Roman"/>
        </w:rPr>
      </w:pPr>
    </w:p>
    <w:p w:rsidR="00BB0F2C" w:rsidRDefault="00BB0F2C">
      <w:pPr>
        <w:rPr>
          <w:rFonts w:cs="Arial"/>
          <w:sz w:val="20"/>
        </w:rPr>
      </w:pPr>
    </w:p>
    <w:p w:rsidR="00BB0F2C" w:rsidRDefault="00BB0F2C">
      <w:pPr>
        <w:rPr>
          <w:rFonts w:ascii="Times New Roman" w:hAnsi="Times New Roman"/>
        </w:rPr>
      </w:pPr>
    </w:p>
    <w:p w:rsidR="00BB0F2C" w:rsidRDefault="00BB0F2C">
      <w:pPr>
        <w:shd w:val="clear" w:color="auto" w:fill="BFBFBF"/>
        <w:rPr>
          <w:rFonts w:cs="Arial"/>
          <w:b/>
        </w:rPr>
      </w:pPr>
      <w:r>
        <w:rPr>
          <w:rFonts w:cs="Arial"/>
          <w:b/>
        </w:rPr>
        <w:t>8</w:t>
      </w:r>
      <w:r>
        <w:rPr>
          <w:rFonts w:cs="Arial"/>
          <w:b/>
        </w:rPr>
        <w:tab/>
        <w:t>Table of Contents Single Dwelling Housing Development Code</w:t>
      </w:r>
    </w:p>
    <w:p w:rsidR="00BB0F2C" w:rsidRDefault="00BB0F2C">
      <w:pPr>
        <w:rPr>
          <w:rFonts w:ascii="Times New Roman" w:hAnsi="Times New Roman"/>
          <w:i/>
        </w:rPr>
      </w:pPr>
    </w:p>
    <w:p w:rsidR="00BB0F2C" w:rsidRDefault="00BB0F2C">
      <w:pPr>
        <w:ind w:left="720"/>
        <w:rPr>
          <w:rFonts w:ascii="Times New Roman" w:hAnsi="Times New Roman"/>
          <w:i/>
        </w:rPr>
      </w:pPr>
      <w:r>
        <w:rPr>
          <w:rFonts w:ascii="Times New Roman" w:hAnsi="Times New Roman"/>
          <w:i/>
        </w:rPr>
        <w:t>Update the Table of Contents to reflect the new Part C(4) and other changes</w:t>
      </w:r>
    </w:p>
    <w:p w:rsidR="00BB0F2C" w:rsidRDefault="00BB0F2C">
      <w:pPr>
        <w:ind w:left="720"/>
        <w:rPr>
          <w:rFonts w:ascii="Times New Roman" w:hAnsi="Times New Roman"/>
          <w:i/>
        </w:rPr>
      </w:pPr>
    </w:p>
    <w:p w:rsidR="00BB0F2C" w:rsidRDefault="00BB0F2C">
      <w:pPr>
        <w:ind w:left="720"/>
        <w:rPr>
          <w:rFonts w:ascii="Times New Roman" w:hAnsi="Times New Roman"/>
          <w:i/>
        </w:rPr>
      </w:pPr>
      <w:r>
        <w:rPr>
          <w:rFonts w:ascii="Times New Roman" w:hAnsi="Times New Roman"/>
          <w:i/>
        </w:rPr>
        <w:br w:type="page"/>
      </w:r>
    </w:p>
    <w:p w:rsidR="00BB0F2C" w:rsidRDefault="00BB0F2C">
      <w:pPr>
        <w:rPr>
          <w:rFonts w:ascii="Times New Roman" w:hAnsi="Times New Roman"/>
          <w:b/>
        </w:rPr>
      </w:pPr>
    </w:p>
    <w:p w:rsidR="00BB0F2C" w:rsidRDefault="00BB0F2C">
      <w:pPr>
        <w:rPr>
          <w:rFonts w:ascii="Times New Roman" w:hAnsi="Times New Roman"/>
          <w:b/>
        </w:rPr>
      </w:pPr>
    </w:p>
    <w:p w:rsidR="00BB0F2C" w:rsidRDefault="00BB0F2C">
      <w:pPr>
        <w:rPr>
          <w:rFonts w:ascii="Times New Roman" w:hAnsi="Times New Roman"/>
          <w:b/>
        </w:rPr>
      </w:pPr>
    </w:p>
    <w:p w:rsidR="00BB0F2C" w:rsidRDefault="00BB0F2C">
      <w:pPr>
        <w:rPr>
          <w:rFonts w:ascii="Times New Roman" w:hAnsi="Times New Roman"/>
          <w:b/>
        </w:rPr>
      </w:pPr>
    </w:p>
    <w:p w:rsidR="00BB0F2C" w:rsidRDefault="00BB0F2C">
      <w:pPr>
        <w:shd w:val="clear" w:color="auto" w:fill="FFFFFF"/>
        <w:rPr>
          <w:rFonts w:ascii="Times New Roman" w:hAnsi="Times New Roman"/>
          <w:b/>
        </w:rPr>
      </w:pPr>
      <w:r>
        <w:rPr>
          <w:rFonts w:ascii="Times New Roman" w:hAnsi="Times New Roman"/>
          <w:b/>
        </w:rPr>
        <w:t>Interpretation service</w:t>
      </w:r>
    </w:p>
    <w:p w:rsidR="00BB0F2C" w:rsidRDefault="002E2D95">
      <w:pPr>
        <w:rPr>
          <w:rFonts w:cs="Arial"/>
        </w:rPr>
      </w:pPr>
      <w:r>
        <w:rPr>
          <w:rFonts w:cs="Arial"/>
        </w:rPr>
        <w:pict>
          <v:shape id="_x0000_i1048" type="#_x0000_t75" style="width:420.75pt;height:277.5pt" fillcolor="window">
            <v:imagedata r:id="rId31" o:title=""/>
          </v:shape>
        </w:pict>
      </w:r>
    </w:p>
    <w:p w:rsidR="00BB0F2C" w:rsidRDefault="00BB0F2C">
      <w:pPr>
        <w:jc w:val="center"/>
        <w:rPr>
          <w:rFonts w:cs="Arial"/>
          <w:b/>
          <w:bCs/>
        </w:rPr>
      </w:pPr>
    </w:p>
    <w:p w:rsidR="00BB0F2C" w:rsidRDefault="00BB0F2C">
      <w:pPr>
        <w:jc w:val="center"/>
      </w:pPr>
    </w:p>
    <w:p w:rsidR="00BB0F2C" w:rsidRDefault="00BB0F2C">
      <w:pPr>
        <w:jc w:val="center"/>
      </w:pPr>
    </w:p>
    <w:p w:rsidR="00BB0F2C" w:rsidRDefault="00BB0F2C">
      <w:pPr>
        <w:jc w:val="center"/>
      </w:pPr>
    </w:p>
    <w:p w:rsidR="00BB0F2C" w:rsidRDefault="00BB0F2C">
      <w:pPr>
        <w:pStyle w:val="BodyText"/>
        <w:spacing w:after="120"/>
        <w:jc w:val="center"/>
      </w:pPr>
    </w:p>
    <w:sectPr w:rsidR="00BB0F2C">
      <w:footerReference w:type="default" r:id="rId32"/>
      <w:footerReference w:type="first" r:id="rId33"/>
      <w:pgSz w:w="11907" w:h="16840"/>
      <w:pgMar w:top="1440" w:right="1531" w:bottom="1440" w:left="1531"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F2C" w:rsidRDefault="00BB0F2C">
      <w:r>
        <w:separator/>
      </w:r>
    </w:p>
  </w:endnote>
  <w:endnote w:type="continuationSeparator" w:id="0">
    <w:p w:rsidR="00BB0F2C" w:rsidRDefault="00BB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4" w:rsidRDefault="00597F2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4" w:rsidRDefault="00597F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Default="00BB0F2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597F24" w:rsidRPr="00597F24" w:rsidRDefault="00597F24" w:rsidP="00597F24">
    <w:pPr>
      <w:pStyle w:val="Footer"/>
      <w:jc w:val="center"/>
      <w:rPr>
        <w:rFonts w:cs="Arial"/>
        <w:sz w:val="14"/>
      </w:rPr>
    </w:pPr>
    <w:r w:rsidRPr="00597F24">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Default="009D4606">
    <w:pPr>
      <w:pStyle w:val="Footer"/>
      <w:jc w:val="center"/>
    </w:pPr>
    <w:r>
      <w:object w:dxaOrig="669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68.25pt" o:ole="">
          <v:imagedata r:id="rId1" o:title="" croptop="5109f" cropleft="5554f"/>
        </v:shape>
        <o:OLEObject Type="Embed" ProgID="Imaging.Document" ShapeID="_x0000_i1026" DrawAspect="Content" ObjectID="_1596888047" r:id="rId2"/>
      </w:object>
    </w:r>
  </w:p>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Default="00BB0F2C">
    <w:pPr>
      <w:pStyle w:val="Footer"/>
      <w:jc w:val="center"/>
      <w:rPr>
        <w:rStyle w:val="PageNumber"/>
        <w:sz w:val="20"/>
      </w:rPr>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597F24">
      <w:rPr>
        <w:rStyle w:val="PageNumber"/>
        <w:noProof/>
        <w:sz w:val="20"/>
      </w:rPr>
      <w:t>i</w:t>
    </w:r>
    <w:r>
      <w:rPr>
        <w:rStyle w:val="PageNumber"/>
        <w:sz w:val="20"/>
      </w:rPr>
      <w:fldChar w:fldCharType="end"/>
    </w:r>
  </w:p>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Default="00BB0F2C">
    <w:pPr>
      <w:pStyle w:val="Footer"/>
      <w:jc w:val="center"/>
      <w:rPr>
        <w:rStyle w:val="PageNumber"/>
        <w:sz w:val="20"/>
      </w:rPr>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400701">
      <w:rPr>
        <w:rStyle w:val="PageNumber"/>
        <w:noProof/>
        <w:sz w:val="20"/>
      </w:rPr>
      <w:t>2</w:t>
    </w:r>
    <w:r>
      <w:rPr>
        <w:rStyle w:val="PageNumber"/>
        <w:sz w:val="20"/>
      </w:rPr>
      <w:fldChar w:fldCharType="end"/>
    </w:r>
  </w:p>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2C" w:rsidRDefault="00BB0F2C">
    <w:pPr>
      <w:pStyle w:val="Footer"/>
      <w:jc w:val="center"/>
      <w:rPr>
        <w:rStyle w:val="PageNumber"/>
        <w:sz w:val="20"/>
      </w:rPr>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400701">
      <w:rPr>
        <w:rStyle w:val="PageNumber"/>
        <w:noProof/>
        <w:sz w:val="20"/>
      </w:rPr>
      <w:t>16</w:t>
    </w:r>
    <w:r>
      <w:rPr>
        <w:rStyle w:val="PageNumber"/>
        <w:sz w:val="20"/>
      </w:rPr>
      <w:fldChar w:fldCharType="end"/>
    </w:r>
  </w:p>
  <w:p w:rsidR="00BB0F2C" w:rsidRPr="00597F24" w:rsidRDefault="00597F24" w:rsidP="00597F24">
    <w:pPr>
      <w:pStyle w:val="Footer"/>
      <w:jc w:val="center"/>
      <w:rPr>
        <w:rFonts w:cs="Arial"/>
        <w:sz w:val="14"/>
        <w:szCs w:val="14"/>
      </w:rPr>
    </w:pPr>
    <w:r w:rsidRPr="00597F24">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F2C" w:rsidRDefault="00BB0F2C">
      <w:r>
        <w:separator/>
      </w:r>
    </w:p>
  </w:footnote>
  <w:footnote w:type="continuationSeparator" w:id="0">
    <w:p w:rsidR="00BB0F2C" w:rsidRDefault="00BB0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4" w:rsidRDefault="00597F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4" w:rsidRDefault="00597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4" w:rsidRDefault="00597F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60B1"/>
    <w:multiLevelType w:val="hybridMultilevel"/>
    <w:tmpl w:val="83A4BB22"/>
    <w:lvl w:ilvl="0" w:tplc="428A069A">
      <w:start w:val="1"/>
      <w:numFmt w:val="lowerLetter"/>
      <w:lvlText w:val="%1)"/>
      <w:lvlJc w:val="left"/>
      <w:pPr>
        <w:tabs>
          <w:tab w:val="num" w:pos="450"/>
        </w:tabs>
        <w:ind w:left="450" w:hanging="45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9093C14"/>
    <w:multiLevelType w:val="multilevel"/>
    <w:tmpl w:val="8F42456E"/>
    <w:lvl w:ilvl="0">
      <w:start w:val="1"/>
      <w:numFmt w:val="lowerLetter"/>
      <w:lvlText w:val="%1)"/>
      <w:lvlJc w:val="left"/>
      <w:pPr>
        <w:tabs>
          <w:tab w:val="num" w:pos="360"/>
        </w:tabs>
        <w:ind w:left="360" w:hanging="360"/>
      </w:pPr>
      <w:rPr>
        <w:rFonts w:cs="Times New Roman" w:hint="default"/>
      </w:rPr>
    </w:lvl>
    <w:lvl w:ilvl="1">
      <w:start w:val="1"/>
      <w:numFmt w:val="lowerRoman"/>
      <w:lvlText w:val="%2)"/>
      <w:lvlJc w:val="left"/>
      <w:pPr>
        <w:tabs>
          <w:tab w:val="num" w:pos="624"/>
        </w:tabs>
        <w:ind w:left="624" w:hanging="34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C1B1363"/>
    <w:multiLevelType w:val="hybridMultilevel"/>
    <w:tmpl w:val="E42295E0"/>
    <w:lvl w:ilvl="0" w:tplc="54D6EB9E">
      <w:start w:val="1"/>
      <w:numFmt w:val="lowerRoman"/>
      <w:lvlText w:val="(%1)"/>
      <w:lvlJc w:val="left"/>
      <w:pPr>
        <w:tabs>
          <w:tab w:val="num" w:pos="2061"/>
        </w:tabs>
        <w:ind w:left="2061"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247B8F"/>
    <w:multiLevelType w:val="hybridMultilevel"/>
    <w:tmpl w:val="0688F5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6456A8"/>
    <w:multiLevelType w:val="hybridMultilevel"/>
    <w:tmpl w:val="FCD07CB4"/>
    <w:name w:val="SubElement"/>
    <w:lvl w:ilvl="0" w:tplc="FFFFFFFF">
      <w:start w:val="1"/>
      <w:numFmt w:val="low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2DFA182E"/>
    <w:multiLevelType w:val="multilevel"/>
    <w:tmpl w:val="D7A8DAEA"/>
    <w:lvl w:ilvl="0">
      <w:start w:val="1"/>
      <w:numFmt w:val="decimal"/>
      <w:pStyle w:val="codeBullet"/>
      <w:lvlText w:val="Element %1:"/>
      <w:lvlJc w:val="left"/>
      <w:pPr>
        <w:tabs>
          <w:tab w:val="num" w:pos="3873"/>
        </w:tabs>
        <w:ind w:left="993"/>
      </w:pPr>
      <w:rPr>
        <w:rFonts w:ascii="Arial" w:hAnsi="Arial" w:cs="Times New Roman"/>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pStyle w:val="AH5Sec"/>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FDA765D"/>
    <w:multiLevelType w:val="multilevel"/>
    <w:tmpl w:val="72BADBCA"/>
    <w:lvl w:ilvl="0">
      <w:start w:val="1"/>
      <w:numFmt w:val="lowerLetter"/>
      <w:pStyle w:val="codeList"/>
      <w:lvlText w:val="%1)"/>
      <w:lvlJc w:val="left"/>
      <w:pPr>
        <w:tabs>
          <w:tab w:val="num" w:pos="720"/>
        </w:tabs>
        <w:ind w:left="-426" w:firstLine="426"/>
      </w:pPr>
      <w:rPr>
        <w:rFonts w:cs="Times New Roman" w:hint="default"/>
        <w:color w:val="auto"/>
      </w:rPr>
    </w:lvl>
    <w:lvl w:ilvl="1">
      <w:start w:val="1"/>
      <w:numFmt w:val="lowerRoman"/>
      <w:pStyle w:val="codeList2"/>
      <w:lvlText w:val="%2)"/>
      <w:lvlJc w:val="left"/>
      <w:pPr>
        <w:tabs>
          <w:tab w:val="num" w:pos="1505"/>
        </w:tabs>
        <w:ind w:left="-426" w:firstLine="851"/>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 w15:restartNumberingAfterBreak="0">
    <w:nsid w:val="30BF5283"/>
    <w:multiLevelType w:val="hybridMultilevel"/>
    <w:tmpl w:val="2890A814"/>
    <w:name w:val="elementList2"/>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362A324A"/>
    <w:multiLevelType w:val="multilevel"/>
    <w:tmpl w:val="675EF862"/>
    <w:lvl w:ilvl="0">
      <w:start w:val="1"/>
      <w:numFmt w:val="decimal"/>
      <w:pStyle w:val="codeCriteriaList"/>
      <w:suff w:val="nothing"/>
      <w:lvlText w:val="%1"/>
      <w:lvlJc w:val="left"/>
      <w:pPr>
        <w:ind w:left="5202"/>
      </w:pPr>
      <w:rPr>
        <w:rFonts w:cs="Times New Roman" w:hint="default"/>
      </w:rPr>
    </w:lvl>
    <w:lvl w:ilvl="1">
      <w:start w:val="1"/>
      <w:numFmt w:val="upperLetter"/>
      <w:pStyle w:val="codeCriteriaListA"/>
      <w:suff w:val="nothing"/>
      <w:lvlText w:val="%1%2"/>
      <w:lvlJc w:val="left"/>
      <w:pPr>
        <w:ind w:left="5202"/>
      </w:pPr>
      <w:rPr>
        <w:rFonts w:cs="Times New Roman" w:hint="default"/>
      </w:rPr>
    </w:lvl>
    <w:lvl w:ilvl="2">
      <w:start w:val="1"/>
      <w:numFmt w:val="decimal"/>
      <w:lvlText w:val="%1.%2.%3."/>
      <w:lvlJc w:val="left"/>
      <w:pPr>
        <w:tabs>
          <w:tab w:val="num" w:pos="6426"/>
        </w:tabs>
        <w:ind w:left="6426" w:hanging="504"/>
      </w:pPr>
      <w:rPr>
        <w:rFonts w:cs="Times New Roman" w:hint="default"/>
      </w:rPr>
    </w:lvl>
    <w:lvl w:ilvl="3">
      <w:start w:val="1"/>
      <w:numFmt w:val="decimal"/>
      <w:lvlText w:val="%1.%2.%3.%4."/>
      <w:lvlJc w:val="left"/>
      <w:pPr>
        <w:tabs>
          <w:tab w:val="num" w:pos="6930"/>
        </w:tabs>
        <w:ind w:left="6930" w:hanging="648"/>
      </w:pPr>
      <w:rPr>
        <w:rFonts w:cs="Times New Roman" w:hint="default"/>
      </w:rPr>
    </w:lvl>
    <w:lvl w:ilvl="4">
      <w:start w:val="1"/>
      <w:numFmt w:val="decimal"/>
      <w:lvlText w:val="%1.%2.%3.%4.%5."/>
      <w:lvlJc w:val="left"/>
      <w:pPr>
        <w:tabs>
          <w:tab w:val="num" w:pos="7434"/>
        </w:tabs>
        <w:ind w:left="7434" w:hanging="792"/>
      </w:pPr>
      <w:rPr>
        <w:rFonts w:cs="Times New Roman" w:hint="default"/>
      </w:rPr>
    </w:lvl>
    <w:lvl w:ilvl="5">
      <w:start w:val="1"/>
      <w:numFmt w:val="decimal"/>
      <w:lvlText w:val="%1.%2.%3.%4.%5.%6."/>
      <w:lvlJc w:val="left"/>
      <w:pPr>
        <w:tabs>
          <w:tab w:val="num" w:pos="7938"/>
        </w:tabs>
        <w:ind w:left="7938" w:hanging="936"/>
      </w:pPr>
      <w:rPr>
        <w:rFonts w:cs="Times New Roman" w:hint="default"/>
      </w:rPr>
    </w:lvl>
    <w:lvl w:ilvl="6">
      <w:start w:val="1"/>
      <w:numFmt w:val="decimal"/>
      <w:lvlText w:val="%1.%2.%3.%4.%5.%6.%7."/>
      <w:lvlJc w:val="left"/>
      <w:pPr>
        <w:tabs>
          <w:tab w:val="num" w:pos="8442"/>
        </w:tabs>
        <w:ind w:left="8442" w:hanging="1080"/>
      </w:pPr>
      <w:rPr>
        <w:rFonts w:cs="Times New Roman" w:hint="default"/>
      </w:rPr>
    </w:lvl>
    <w:lvl w:ilvl="7">
      <w:start w:val="1"/>
      <w:numFmt w:val="decimal"/>
      <w:lvlText w:val="%1.%2.%3.%4.%5.%6.%7.%8."/>
      <w:lvlJc w:val="left"/>
      <w:pPr>
        <w:tabs>
          <w:tab w:val="num" w:pos="8946"/>
        </w:tabs>
        <w:ind w:left="8946" w:hanging="1224"/>
      </w:pPr>
      <w:rPr>
        <w:rFonts w:cs="Times New Roman" w:hint="default"/>
      </w:rPr>
    </w:lvl>
    <w:lvl w:ilvl="8">
      <w:start w:val="1"/>
      <w:numFmt w:val="decimal"/>
      <w:lvlText w:val="%1.%2.%3.%4.%5.%6.%7.%8.%9."/>
      <w:lvlJc w:val="left"/>
      <w:pPr>
        <w:tabs>
          <w:tab w:val="num" w:pos="9522"/>
        </w:tabs>
        <w:ind w:left="9522" w:hanging="1440"/>
      </w:pPr>
      <w:rPr>
        <w:rFonts w:cs="Times New Roman" w:hint="default"/>
      </w:rPr>
    </w:lvl>
  </w:abstractNum>
  <w:abstractNum w:abstractNumId="9" w15:restartNumberingAfterBreak="0">
    <w:nsid w:val="36343459"/>
    <w:multiLevelType w:val="hybridMultilevel"/>
    <w:tmpl w:val="15BAEA46"/>
    <w:lvl w:ilvl="0" w:tplc="FFFFFFFF">
      <w:start w:val="1"/>
      <w:numFmt w:val="lowerLetter"/>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393A298C"/>
    <w:multiLevelType w:val="hybridMultilevel"/>
    <w:tmpl w:val="1E305840"/>
    <w:name w:val="codeCriteriaList"/>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6F7C41"/>
    <w:multiLevelType w:val="hybridMultilevel"/>
    <w:tmpl w:val="D18C83B6"/>
    <w:lvl w:ilvl="0" w:tplc="FFFFFFFF">
      <w:start w:val="1"/>
      <w:numFmt w:val="bullet"/>
      <w:pStyle w:val="bodySubheading"/>
      <w:lvlText w:val=""/>
      <w:lvlJc w:val="left"/>
      <w:pPr>
        <w:tabs>
          <w:tab w:val="num" w:pos="717"/>
        </w:tabs>
        <w:ind w:left="360" w:hanging="3"/>
      </w:pPr>
      <w:rPr>
        <w:rFonts w:ascii="Symbol" w:hAnsi="Symbol" w:hint="default"/>
        <w:color w:val="666699"/>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86ED4"/>
    <w:multiLevelType w:val="multilevel"/>
    <w:tmpl w:val="0E1477F6"/>
    <w:lvl w:ilvl="0">
      <w:start w:val="1"/>
      <w:numFmt w:val="decimal"/>
      <w:pStyle w:val="ContentsTitle"/>
      <w:suff w:val="nothing"/>
      <w:lvlText w:val="R%1"/>
      <w:lvlJc w:val="left"/>
      <w:rPr>
        <w:rFonts w:cs="Times New Roman" w:hint="default"/>
      </w:rPr>
    </w:lvl>
    <w:lvl w:ilvl="1">
      <w:start w:val="1"/>
      <w:numFmt w:val="upperLetter"/>
      <w:pStyle w:val="codeRuleList"/>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5B3E1F24"/>
    <w:multiLevelType w:val="hybridMultilevel"/>
    <w:tmpl w:val="D85AB088"/>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3"/>
  </w:num>
  <w:num w:numId="2">
    <w:abstractNumId w:val="6"/>
  </w:num>
  <w:num w:numId="3">
    <w:abstractNumId w:val="8"/>
  </w:num>
  <w:num w:numId="4">
    <w:abstractNumId w:val="10"/>
  </w:num>
  <w:num w:numId="5">
    <w:abstractNumId w:val="5"/>
  </w:num>
  <w:num w:numId="6">
    <w:abstractNumId w:val="12"/>
  </w:num>
  <w:num w:numId="7">
    <w:abstractNumId w:val="11"/>
  </w:num>
  <w:num w:numId="8">
    <w:abstractNumId w:val="3"/>
  </w:num>
  <w:num w:numId="9">
    <w:abstractNumId w:val="4"/>
  </w:num>
  <w:num w:numId="10">
    <w:abstractNumId w:val="0"/>
  </w:num>
  <w:num w:numId="11">
    <w:abstractNumId w:val="1"/>
  </w:num>
  <w:num w:numId="12">
    <w:abstractNumId w:val="9"/>
  </w:num>
  <w:num w:numId="13">
    <w:abstractNumId w:val="14"/>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0F2C"/>
    <w:rsid w:val="0025019E"/>
    <w:rsid w:val="002E2D95"/>
    <w:rsid w:val="003C6444"/>
    <w:rsid w:val="00400701"/>
    <w:rsid w:val="00597F24"/>
    <w:rsid w:val="009D4606"/>
    <w:rsid w:val="00BB0F2C"/>
    <w:rsid w:val="00D52327"/>
    <w:rsid w:val="00E105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F815B246-D5DB-45EC-8B7D-25D54523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2">
    <w:name w:val="heading 2"/>
    <w:basedOn w:val="Normal"/>
    <w:next w:val="Normal"/>
    <w:link w:val="Heading2Char"/>
    <w:uiPriority w:val="99"/>
    <w:qFormat/>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semiHidden/>
    <w:rPr>
      <w:rFonts w:ascii="Arial" w:hAnsi="Arial"/>
      <w:sz w:val="24"/>
      <w:szCs w:val="20"/>
      <w:lang w:eastAsia="en-US"/>
    </w:rPr>
  </w:style>
  <w:style w:type="paragraph" w:styleId="BodyText">
    <w:name w:val="Body Text"/>
    <w:basedOn w:val="Normal"/>
    <w:link w:val="BodyTextChar"/>
    <w:uiPriority w:val="99"/>
    <w:rPr>
      <w:b/>
      <w:sz w:val="28"/>
      <w:lang w:val="en-GB"/>
    </w:rPr>
  </w:style>
  <w:style w:type="character" w:customStyle="1" w:styleId="BodyTextChar">
    <w:name w:val="Body Text Char"/>
    <w:basedOn w:val="DefaultParagraphFont"/>
    <w:link w:val="BodyText"/>
    <w:uiPriority w:val="99"/>
    <w:semiHidden/>
    <w:rPr>
      <w:rFonts w:ascii="Arial" w:hAnsi="Arial"/>
      <w:sz w:val="24"/>
      <w:szCs w:val="20"/>
      <w:lang w:eastAsia="en-US"/>
    </w:rPr>
  </w:style>
  <w:style w:type="paragraph" w:customStyle="1" w:styleId="Billname">
    <w:name w:val="Billname"/>
    <w:basedOn w:val="Normal"/>
    <w:uiPriority w:val="99"/>
    <w:pPr>
      <w:tabs>
        <w:tab w:val="left" w:pos="2400"/>
        <w:tab w:val="left" w:pos="2880"/>
      </w:tabs>
      <w:spacing w:before="1220" w:after="100"/>
    </w:pPr>
    <w:rPr>
      <w:b/>
      <w:sz w:val="40"/>
    </w:rPr>
  </w:style>
  <w:style w:type="paragraph" w:customStyle="1" w:styleId="N-line3">
    <w:name w:val="N-line3"/>
    <w:basedOn w:val="Normal"/>
    <w:next w:val="Normal"/>
    <w:uiPriority w:val="99"/>
    <w:pPr>
      <w:pBdr>
        <w:bottom w:val="single" w:sz="12" w:space="1" w:color="auto"/>
      </w:pBdr>
      <w:jc w:val="both"/>
    </w:pPr>
  </w:style>
  <w:style w:type="paragraph" w:customStyle="1" w:styleId="madeunder">
    <w:name w:val="made under"/>
    <w:basedOn w:val="Normal"/>
    <w:uiPriority w:val="99"/>
    <w:pPr>
      <w:spacing w:before="180" w:after="60"/>
      <w:jc w:val="both"/>
    </w:pPr>
  </w:style>
  <w:style w:type="paragraph" w:customStyle="1" w:styleId="CoverActName">
    <w:name w:val="CoverActName"/>
    <w:basedOn w:val="Normal"/>
    <w:uiPriority w:val="99"/>
    <w:pPr>
      <w:tabs>
        <w:tab w:val="left" w:pos="2600"/>
      </w:tabs>
      <w:spacing w:before="200" w:after="60"/>
      <w:jc w:val="both"/>
    </w:pPr>
    <w:rPr>
      <w: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Arial" w:hAnsi="Arial"/>
      <w:sz w:val="24"/>
      <w:szCs w:val="20"/>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pPr>
      <w:spacing w:before="360"/>
    </w:pPr>
    <w:rPr>
      <w:rFonts w:ascii="Times New Roman" w:hAnsi="Times New Roman"/>
      <w:caps/>
      <w:noProof/>
    </w:rPr>
  </w:style>
  <w:style w:type="paragraph" w:styleId="TOC2">
    <w:name w:val="toc 2"/>
    <w:basedOn w:val="Normal"/>
    <w:next w:val="Normal"/>
    <w:uiPriority w:val="99"/>
    <w:pPr>
      <w:spacing w:before="240"/>
    </w:pPr>
    <w:rPr>
      <w:rFonts w:ascii="Times New Roman" w:hAnsi="Times New Roman"/>
    </w:rPr>
  </w:style>
  <w:style w:type="paragraph" w:customStyle="1" w:styleId="Head1">
    <w:name w:val="Head 1"/>
    <w:basedOn w:val="Normal"/>
    <w:next w:val="BodyText"/>
    <w:uiPriority w:val="99"/>
    <w:pPr>
      <w:numPr>
        <w:numId w:val="1"/>
      </w:numPr>
      <w:spacing w:after="240"/>
    </w:pPr>
    <w:rPr>
      <w:rFonts w:ascii="Times New Roman" w:hAnsi="Times New Roman"/>
      <w:b/>
      <w:sz w:val="36"/>
    </w:rPr>
  </w:style>
  <w:style w:type="paragraph" w:customStyle="1" w:styleId="Head2">
    <w:name w:val="Head 2"/>
    <w:basedOn w:val="Normal"/>
    <w:next w:val="BodyText"/>
    <w:uiPriority w:val="99"/>
    <w:pPr>
      <w:numPr>
        <w:ilvl w:val="1"/>
        <w:numId w:val="1"/>
      </w:numPr>
      <w:spacing w:after="240"/>
    </w:pPr>
    <w:rPr>
      <w:rFonts w:ascii="Times New Roman" w:hAnsi="Times New Roman"/>
      <w:b/>
      <w:sz w:val="32"/>
    </w:rPr>
  </w:style>
  <w:style w:type="paragraph" w:customStyle="1" w:styleId="Head3">
    <w:name w:val="Head 3"/>
    <w:basedOn w:val="Normal"/>
    <w:next w:val="BodyText"/>
    <w:uiPriority w:val="99"/>
    <w:pPr>
      <w:numPr>
        <w:ilvl w:val="2"/>
        <w:numId w:val="1"/>
      </w:numPr>
      <w:spacing w:after="240"/>
    </w:pPr>
    <w:rPr>
      <w:rFonts w:ascii="Times New Roman" w:hAnsi="Times New Roman"/>
      <w:b/>
    </w:rPr>
  </w:style>
  <w:style w:type="character" w:styleId="Emphasis">
    <w:name w:val="Emphasis"/>
    <w:basedOn w:val="DefaultParagraphFont"/>
    <w:uiPriority w:val="99"/>
    <w:qFormat/>
    <w:rPr>
      <w:rFonts w:cs="Times New Roman"/>
      <w:i/>
      <w:iCs/>
    </w:rPr>
  </w:style>
  <w:style w:type="paragraph" w:customStyle="1" w:styleId="codeList">
    <w:name w:val="codeList"/>
    <w:basedOn w:val="Normal"/>
    <w:uiPriority w:val="99"/>
    <w:pPr>
      <w:numPr>
        <w:numId w:val="2"/>
      </w:numPr>
      <w:spacing w:before="60" w:after="60" w:line="288" w:lineRule="auto"/>
    </w:pPr>
    <w:rPr>
      <w:rFonts w:cs="Arial"/>
      <w:sz w:val="20"/>
    </w:rPr>
  </w:style>
  <w:style w:type="paragraph" w:customStyle="1" w:styleId="codeList2">
    <w:name w:val="codeList2"/>
    <w:basedOn w:val="codeList"/>
    <w:uiPriority w:val="99"/>
    <w:pPr>
      <w:numPr>
        <w:ilvl w:val="1"/>
      </w:numPr>
    </w:p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RuleCriteria">
    <w:name w:val="codeRuleCriteria"/>
    <w:basedOn w:val="Normal"/>
    <w:uiPriority w:val="99"/>
    <w:pPr>
      <w:spacing w:before="60" w:after="60" w:line="288" w:lineRule="auto"/>
    </w:pPr>
    <w:rPr>
      <w:rFonts w:cs="Arial"/>
      <w:sz w:val="20"/>
    </w:rPr>
  </w:style>
  <w:style w:type="paragraph" w:customStyle="1" w:styleId="codeCriteriaList">
    <w:name w:val="codeCriteriaList"/>
    <w:basedOn w:val="codeRuleCriteria"/>
    <w:uiPriority w:val="99"/>
    <w:pPr>
      <w:numPr>
        <w:numId w:val="3"/>
      </w:numPr>
    </w:pPr>
  </w:style>
  <w:style w:type="paragraph" w:customStyle="1" w:styleId="codeCriteriaListA">
    <w:name w:val="codeCriteriaListA"/>
    <w:basedOn w:val="codeCriteriaList"/>
    <w:uiPriority w:val="99"/>
    <w:pPr>
      <w:numPr>
        <w:ilvl w:val="1"/>
      </w:numPr>
    </w:pPr>
  </w:style>
  <w:style w:type="paragraph" w:customStyle="1" w:styleId="codeRuleNone">
    <w:name w:val="codeRuleNone"/>
    <w:basedOn w:val="codeRuleCriteria"/>
    <w:uiPriority w:val="99"/>
    <w:rPr>
      <w:vanish/>
    </w:rPr>
  </w:style>
  <w:style w:type="character" w:styleId="PageNumber">
    <w:name w:val="page number"/>
    <w:basedOn w:val="DefaultParagraphFont"/>
    <w:uiPriority w:val="99"/>
    <w:rPr>
      <w:rFonts w:cs="Times New Roman"/>
    </w:rPr>
  </w:style>
  <w:style w:type="paragraph" w:customStyle="1" w:styleId="AH5Sec">
    <w:name w:val="A H5 Sec"/>
    <w:basedOn w:val="Normal"/>
    <w:next w:val="Normal"/>
    <w:uiPriority w:val="99"/>
    <w:pPr>
      <w:keepNext/>
      <w:numPr>
        <w:ilvl w:val="4"/>
        <w:numId w:val="5"/>
      </w:numPr>
      <w:spacing w:before="180" w:after="60"/>
      <w:outlineLvl w:val="4"/>
    </w:pPr>
    <w:rPr>
      <w:b/>
    </w:rPr>
  </w:style>
  <w:style w:type="paragraph" w:customStyle="1" w:styleId="direction">
    <w:name w:val="direction"/>
    <w:basedOn w:val="Normal"/>
    <w:next w:val="Normal"/>
    <w:uiPriority w:val="99"/>
    <w:pPr>
      <w:spacing w:before="80" w:after="60"/>
      <w:ind w:left="1100"/>
      <w:jc w:val="both"/>
    </w:pPr>
    <w:rPr>
      <w:rFonts w:ascii="Times New Roman" w:hAnsi="Times New Roman"/>
      <w:i/>
    </w:rPr>
  </w:style>
  <w:style w:type="character" w:customStyle="1" w:styleId="ElementChar">
    <w:name w:val="Element Char"/>
    <w:basedOn w:val="DefaultParagraphFont"/>
    <w:uiPriority w:val="99"/>
    <w:rPr>
      <w:rFonts w:ascii="Arial" w:hAnsi="Arial" w:cs="Arial"/>
      <w:lang w:val="en-AU" w:eastAsia="en-US" w:bidi="ar-SA"/>
    </w:rPr>
  </w:style>
  <w:style w:type="paragraph" w:customStyle="1" w:styleId="CodeItem">
    <w:name w:val="CodeItem"/>
    <w:basedOn w:val="Normal"/>
    <w:uiPriority w:val="99"/>
    <w:pPr>
      <w:spacing w:before="60" w:after="60"/>
    </w:pPr>
    <w:rPr>
      <w:rFonts w:cs="Arial"/>
      <w:b/>
      <w:bCs/>
      <w:sz w:val="20"/>
    </w:rPr>
  </w:style>
  <w:style w:type="paragraph" w:customStyle="1" w:styleId="codeHeading">
    <w:name w:val="codeHeading"/>
    <w:basedOn w:val="Normal"/>
    <w:uiPriority w:val="99"/>
    <w:pPr>
      <w:spacing w:before="60" w:after="60"/>
    </w:pPr>
    <w:rPr>
      <w:rFonts w:cs="Arial"/>
      <w:b/>
      <w:bCs/>
      <w:sz w:val="22"/>
    </w:rPr>
  </w:style>
  <w:style w:type="paragraph" w:customStyle="1" w:styleId="codeReq">
    <w:name w:val="codeReq"/>
    <w:basedOn w:val="Normal"/>
    <w:next w:val="Normal"/>
    <w:uiPriority w:val="99"/>
    <w:pPr>
      <w:tabs>
        <w:tab w:val="left" w:pos="851"/>
      </w:tabs>
      <w:spacing w:before="60" w:after="60"/>
      <w:ind w:left="851" w:hanging="851"/>
    </w:pPr>
    <w:rPr>
      <w:rFonts w:cs="Arial"/>
      <w:sz w:val="20"/>
    </w:rPr>
  </w:style>
  <w:style w:type="paragraph" w:customStyle="1" w:styleId="bodyText0">
    <w:name w:val="bodyText"/>
    <w:basedOn w:val="Normal"/>
    <w:link w:val="bodyTextChar0"/>
    <w:uiPriority w:val="99"/>
    <w:pPr>
      <w:spacing w:before="120" w:line="288" w:lineRule="auto"/>
    </w:pPr>
    <w:rPr>
      <w:rFonts w:cs="Arial"/>
      <w:sz w:val="20"/>
    </w:rPr>
  </w:style>
  <w:style w:type="character" w:customStyle="1" w:styleId="bodyTextChar0">
    <w:name w:val="bodyText Char"/>
    <w:basedOn w:val="ElementChar"/>
    <w:link w:val="bodyText0"/>
    <w:uiPriority w:val="99"/>
    <w:locked/>
    <w:rPr>
      <w:rFonts w:ascii="Arial" w:hAnsi="Arial" w:cs="Arial"/>
      <w:lang w:val="en-AU" w:eastAsia="en-US" w:bidi="ar-SA"/>
    </w:rPr>
  </w:style>
  <w:style w:type="paragraph" w:customStyle="1" w:styleId="bodySubheading">
    <w:name w:val="bodySubheading"/>
    <w:basedOn w:val="bodyText0"/>
    <w:uiPriority w:val="99"/>
    <w:pPr>
      <w:numPr>
        <w:numId w:val="7"/>
      </w:numPr>
    </w:pPr>
    <w:rPr>
      <w:b/>
      <w:bCs/>
    </w:rPr>
  </w:style>
  <w:style w:type="paragraph" w:customStyle="1" w:styleId="codeBullet">
    <w:name w:val="codeBullet"/>
    <w:basedOn w:val="Normal"/>
    <w:uiPriority w:val="99"/>
    <w:pPr>
      <w:numPr>
        <w:numId w:val="5"/>
      </w:numPr>
      <w:spacing w:after="60"/>
      <w:ind w:left="448" w:hanging="448"/>
    </w:pPr>
    <w:rPr>
      <w:rFonts w:cs="Arial"/>
      <w:sz w:val="20"/>
    </w:rPr>
  </w:style>
  <w:style w:type="paragraph" w:customStyle="1" w:styleId="elementHeading">
    <w:name w:val="elementHeading"/>
    <w:basedOn w:val="bodyText0"/>
    <w:uiPriority w:val="99"/>
    <w:pPr>
      <w:tabs>
        <w:tab w:val="left" w:pos="1418"/>
      </w:tabs>
    </w:pPr>
    <w:rPr>
      <w:b/>
      <w:bCs/>
      <w:sz w:val="24"/>
    </w:rPr>
  </w:style>
  <w:style w:type="paragraph" w:customStyle="1" w:styleId="hiddenText">
    <w:name w:val="hiddenText"/>
    <w:basedOn w:val="bodyText0"/>
    <w:uiPriority w:val="99"/>
    <w:rPr>
      <w:vanish/>
    </w:rPr>
  </w:style>
  <w:style w:type="paragraph" w:customStyle="1" w:styleId="tableSpace">
    <w:name w:val="tableSpace"/>
    <w:basedOn w:val="bodyText0"/>
    <w:uiPriority w:val="99"/>
    <w:pPr>
      <w:spacing w:before="0"/>
    </w:pPr>
    <w:rPr>
      <w:color w:val="FFFFFF"/>
      <w:sz w:val="12"/>
    </w:rPr>
  </w:style>
  <w:style w:type="paragraph" w:customStyle="1" w:styleId="zoneHeading">
    <w:name w:val="zoneHeading"/>
    <w:basedOn w:val="codeHeading"/>
    <w:uiPriority w:val="99"/>
    <w:rPr>
      <w:color w:val="FFFFFF"/>
      <w:sz w:val="28"/>
    </w:rPr>
  </w:style>
  <w:style w:type="paragraph" w:customStyle="1" w:styleId="ContentsTitle">
    <w:name w:val="ContentsTitle"/>
    <w:basedOn w:val="Heading2"/>
    <w:uiPriority w:val="99"/>
    <w:pPr>
      <w:numPr>
        <w:numId w:val="6"/>
      </w:numPr>
      <w:spacing w:before="120" w:after="120"/>
    </w:pPr>
    <w:rPr>
      <w:i w:val="0"/>
      <w:iCs w:val="0"/>
      <w:szCs w:val="20"/>
    </w:rPr>
  </w:style>
  <w:style w:type="paragraph" w:customStyle="1" w:styleId="codeRuleList">
    <w:name w:val="codeRuleList"/>
    <w:basedOn w:val="codeRuleCriteria"/>
    <w:uiPriority w:val="99"/>
    <w:pPr>
      <w:numPr>
        <w:ilvl w:val="1"/>
        <w:numId w:val="6"/>
      </w:numPr>
    </w:pPr>
  </w:style>
  <w:style w:type="paragraph" w:customStyle="1" w:styleId="Normalbold">
    <w:name w:val="Normal bold"/>
    <w:basedOn w:val="Normal"/>
    <w:link w:val="NormalboldChar"/>
    <w:uiPriority w:val="99"/>
    <w:rPr>
      <w:rFonts w:cs="Arial"/>
      <w:b/>
      <w:bCs/>
    </w:rPr>
  </w:style>
  <w:style w:type="character" w:customStyle="1" w:styleId="NormalboldChar">
    <w:name w:val="Normal bold Char"/>
    <w:basedOn w:val="DefaultParagraphFont"/>
    <w:link w:val="Normalbold"/>
    <w:uiPriority w:val="99"/>
    <w:locked/>
    <w:rPr>
      <w:rFonts w:ascii="Arial" w:hAnsi="Arial" w:cs="Arial"/>
      <w:b/>
      <w:bCs/>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oter" Target="footer8.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9.png"/><Relationship Id="rId33"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4038</Words>
  <Characters>20511</Characters>
  <Application>Microsoft Office Word</Application>
  <DocSecurity>0</DocSecurity>
  <Lines>821</Lines>
  <Paragraphs>357</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24370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2009-09-28T05:21:00Z</cp:lastPrinted>
  <dcterms:created xsi:type="dcterms:W3CDTF">2018-08-27T05:10:00Z</dcterms:created>
  <dcterms:modified xsi:type="dcterms:W3CDTF">2018-08-27T05:10:00Z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A5132960</vt:lpwstr>
  </property>
  <property fmtid="{D5CDD505-2E9C-101B-9397-08002B2CF9AE}" pid="3" name="Objective-Comment">
    <vt:lpwstr/>
  </property>
  <property fmtid="{D5CDD505-2E9C-101B-9397-08002B2CF9AE}" pid="4" name="Objective-CreationStamp">
    <vt:filetime>2009-09-26T14:00:00Z</vt:filetime>
  </property>
  <property fmtid="{D5CDD505-2E9C-101B-9397-08002B2CF9AE}" pid="5" name="Objective-IsApproved">
    <vt:lpwstr>No</vt:lpwstr>
  </property>
  <property fmtid="{D5CDD505-2E9C-101B-9397-08002B2CF9AE}" pid="6" name="Objective-IsPublished">
    <vt:lpwstr>No</vt:lpwstr>
  </property>
  <property fmtid="{D5CDD505-2E9C-101B-9397-08002B2CF9AE}" pid="7" name="Objective-DatePublished">
    <vt:lpwstr/>
  </property>
  <property fmtid="{D5CDD505-2E9C-101B-9397-08002B2CF9AE}" pid="8" name="Objective-ModificationStamp">
    <vt:filetime>2009-09-27T14:00:00Z</vt:filetime>
  </property>
  <property fmtid="{D5CDD505-2E9C-101B-9397-08002B2CF9AE}" pid="9" name="Objective-Owner">
    <vt:lpwstr>Nichole Frame</vt:lpwstr>
  </property>
  <property fmtid="{D5CDD505-2E9C-101B-9397-08002B2CF9AE}" pid="10" name="Objective-Path">
    <vt:lpwstr>Whole of ACT Government:ACTPLA:BRANCH - Planning Services:PS DEVELOPMENT POLICY SECTION:04 TERRITORY PLAN VARIATION UNIT:TPC Territory Plan Variations Planning and Development Act 2007:TPC Technical Amendments:s87(b) CODE Tech Amends:TA2009-24  - Code - P</vt:lpwstr>
  </property>
  <property fmtid="{D5CDD505-2E9C-101B-9397-08002B2CF9AE}" pid="11" name="Objective-Parent">
    <vt:lpwstr>Commencement</vt:lpwstr>
  </property>
  <property fmtid="{D5CDD505-2E9C-101B-9397-08002B2CF9AE}" pid="12" name="Objective-State">
    <vt:lpwstr>Being Edited</vt:lpwstr>
  </property>
  <property fmtid="{D5CDD505-2E9C-101B-9397-08002B2CF9AE}" pid="13" name="Objective-Title">
    <vt:lpwstr>NI 2009-24</vt:lpwstr>
  </property>
  <property fmtid="{D5CDD505-2E9C-101B-9397-08002B2CF9AE}" pid="14" name="Objective-Version">
    <vt:lpwstr>8.1</vt:lpwstr>
  </property>
  <property fmtid="{D5CDD505-2E9C-101B-9397-08002B2CF9AE}" pid="15" name="Objective-VersionComment">
    <vt:lpwstr/>
  </property>
  <property fmtid="{D5CDD505-2E9C-101B-9397-08002B2CF9AE}" pid="16" name="Objective-VersionNumber">
    <vt:i4>10</vt:i4>
  </property>
  <property fmtid="{D5CDD505-2E9C-101B-9397-08002B2CF9AE}" pid="17" name="Objective-FileNumber">
    <vt:lpwstr>1-2009/12088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